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 filed with the Securities and Exchange Commission on January 19, 2021.</w:t>
      </w:r>
    </w:p>
    <w:p>
      <w:pPr>
        <w:spacing w:after="0" w:line="4" w:lineRule="exact"/>
        <w:rPr>
          <w:sz w:val="24"/>
          <w:szCs w:val="24"/>
          <w:color w:val="auto"/>
        </w:rPr>
      </w:pPr>
    </w:p>
    <w:p>
      <w:pPr>
        <w:ind w:left="962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4"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UNITED STATES</w:t>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SECURITIES AND EXCHANGE COMMISSION</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48" w:lineRule="exact"/>
        <w:rPr>
          <w:sz w:val="24"/>
          <w:szCs w:val="24"/>
          <w:color w:val="auto"/>
        </w:rPr>
      </w:pPr>
    </w:p>
    <w:p>
      <w:pPr>
        <w:jc w:val="center"/>
        <w:ind w:right="-39"/>
        <w:spacing w:after="0" w:line="311" w:lineRule="exact"/>
        <w:rPr>
          <w:sz w:val="20"/>
          <w:szCs w:val="20"/>
          <w:color w:val="auto"/>
        </w:rPr>
      </w:pPr>
      <w:r>
        <w:rPr>
          <w:rFonts w:ascii="Arial" w:cs="Arial" w:eastAsia="Arial" w:hAnsi="Arial"/>
          <w:sz w:val="27"/>
          <w:szCs w:val="27"/>
          <w:b w:val="1"/>
          <w:bCs w:val="1"/>
          <w:color w:val="auto"/>
        </w:rPr>
        <w:t>FORM S</w:t>
      </w:r>
      <w:r>
        <w:rPr>
          <w:rFonts w:ascii="MS PGothic" w:cs="MS PGothic" w:eastAsia="MS PGothic" w:hAnsi="MS PGothic"/>
          <w:sz w:val="27"/>
          <w:szCs w:val="27"/>
          <w:color w:val="auto"/>
          <w:strike w:val="1"/>
        </w:rPr>
        <w:t>‑</w:t>
      </w:r>
      <w:r>
        <w:rPr>
          <w:rFonts w:ascii="Arial" w:cs="Arial" w:eastAsia="Arial" w:hAnsi="Arial"/>
          <w:sz w:val="27"/>
          <w:szCs w:val="27"/>
          <w:b w:val="1"/>
          <w:bCs w:val="1"/>
          <w:color w:val="auto"/>
        </w:rPr>
        <w:t>1</w:t>
      </w:r>
    </w:p>
    <w:p>
      <w:pPr>
        <w:spacing w:after="0" w:line="76"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REGISTRATION STATEMENT</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The Securities Act of 1933</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ATHIRA PHARMA, INC.</w:t>
      </w: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56" w:lineRule="exact"/>
        <w:rPr>
          <w:sz w:val="24"/>
          <w:szCs w:val="24"/>
          <w:color w:val="auto"/>
        </w:rPr>
      </w:pPr>
    </w:p>
    <w:tbl>
      <w:tblPr>
        <w:tblLayout w:type="fixed"/>
        <w:tblInd w:w="860" w:type="dxa"/>
        <w:tblCellMar>
          <w:top w:w="0" w:type="dxa"/>
          <w:left w:w="0" w:type="dxa"/>
          <w:bottom w:w="0" w:type="dxa"/>
          <w:right w:w="0" w:type="dxa"/>
        </w:tblCellMar>
      </w:tblPr>
      <w:tr>
        <w:trPr>
          <w:trHeight w:val="162"/>
        </w:trPr>
        <w:tc>
          <w:tcPr>
            <w:tcW w:w="2160" w:type="dxa"/>
            <w:vAlign w:val="bottom"/>
          </w:tcPr>
          <w:p>
            <w:pPr>
              <w:jc w:val="center"/>
              <w:ind w:right="751"/>
              <w:spacing w:after="0"/>
              <w:rPr>
                <w:sz w:val="20"/>
                <w:szCs w:val="20"/>
                <w:color w:val="auto"/>
              </w:rPr>
            </w:pPr>
            <w:r>
              <w:rPr>
                <w:rFonts w:ascii="Arial" w:cs="Arial" w:eastAsia="Arial" w:hAnsi="Arial"/>
                <w:sz w:val="14"/>
                <w:szCs w:val="14"/>
                <w:b w:val="1"/>
                <w:bCs w:val="1"/>
                <w:color w:val="auto"/>
              </w:rPr>
              <w:t>Delaware</w:t>
            </w:r>
          </w:p>
        </w:tc>
        <w:tc>
          <w:tcPr>
            <w:tcW w:w="4140" w:type="dxa"/>
            <w:vAlign w:val="bottom"/>
            <w:gridSpan w:val="2"/>
          </w:tcPr>
          <w:p>
            <w:pPr>
              <w:jc w:val="center"/>
              <w:ind w:left="995"/>
              <w:spacing w:after="0"/>
              <w:rPr>
                <w:sz w:val="20"/>
                <w:szCs w:val="20"/>
                <w:color w:val="auto"/>
              </w:rPr>
            </w:pPr>
            <w:r>
              <w:rPr>
                <w:rFonts w:ascii="Arial" w:cs="Arial" w:eastAsia="Arial" w:hAnsi="Arial"/>
                <w:sz w:val="14"/>
                <w:szCs w:val="14"/>
                <w:b w:val="1"/>
                <w:bCs w:val="1"/>
                <w:color w:val="auto"/>
              </w:rPr>
              <w:t>2836</w:t>
            </w:r>
          </w:p>
        </w:tc>
        <w:tc>
          <w:tcPr>
            <w:tcW w:w="1100" w:type="dxa"/>
            <w:vAlign w:val="bottom"/>
          </w:tcPr>
          <w:p>
            <w:pPr>
              <w:spacing w:after="0"/>
              <w:rPr>
                <w:sz w:val="14"/>
                <w:szCs w:val="14"/>
                <w:color w:val="auto"/>
              </w:rPr>
            </w:pPr>
          </w:p>
        </w:tc>
        <w:tc>
          <w:tcPr>
            <w:tcW w:w="2300" w:type="dxa"/>
            <w:vAlign w:val="bottom"/>
          </w:tcPr>
          <w:p>
            <w:pPr>
              <w:jc w:val="center"/>
              <w:ind w:left="551"/>
              <w:spacing w:after="0"/>
              <w:rPr>
                <w:sz w:val="20"/>
                <w:szCs w:val="20"/>
                <w:color w:val="auto"/>
              </w:rPr>
            </w:pPr>
            <w:r>
              <w:rPr>
                <w:rFonts w:ascii="Arial" w:cs="Arial" w:eastAsia="Arial" w:hAnsi="Arial"/>
                <w:sz w:val="14"/>
                <w:szCs w:val="14"/>
                <w:b w:val="1"/>
                <w:bCs w:val="1"/>
                <w:color w:val="auto"/>
              </w:rPr>
              <w:t>45-3368487</w:t>
            </w:r>
          </w:p>
        </w:tc>
        <w:tc>
          <w:tcPr>
            <w:tcW w:w="0" w:type="dxa"/>
            <w:vAlign w:val="bottom"/>
          </w:tcPr>
          <w:p>
            <w:pPr>
              <w:spacing w:after="0"/>
              <w:rPr>
                <w:sz w:val="1"/>
                <w:szCs w:val="1"/>
                <w:color w:val="auto"/>
              </w:rPr>
            </w:pPr>
          </w:p>
        </w:tc>
      </w:tr>
      <w:tr>
        <w:trPr>
          <w:trHeight w:val="122"/>
        </w:trPr>
        <w:tc>
          <w:tcPr>
            <w:tcW w:w="2160" w:type="dxa"/>
            <w:vAlign w:val="bottom"/>
          </w:tcPr>
          <w:p>
            <w:pPr>
              <w:jc w:val="center"/>
              <w:ind w:right="751"/>
              <w:spacing w:after="0" w:line="122" w:lineRule="exact"/>
              <w:rPr>
                <w:sz w:val="20"/>
                <w:szCs w:val="20"/>
                <w:color w:val="auto"/>
              </w:rPr>
            </w:pPr>
            <w:r>
              <w:rPr>
                <w:rFonts w:ascii="Times New Roman" w:cs="Times New Roman" w:eastAsia="Times New Roman" w:hAnsi="Times New Roman"/>
                <w:sz w:val="11"/>
                <w:szCs w:val="11"/>
                <w:b w:val="1"/>
                <w:bCs w:val="1"/>
                <w:color w:val="auto"/>
                <w:w w:val="94"/>
              </w:rPr>
              <w:t>(State or other jurisdiction of</w:t>
            </w:r>
          </w:p>
        </w:tc>
        <w:tc>
          <w:tcPr>
            <w:tcW w:w="1060" w:type="dxa"/>
            <w:vAlign w:val="bottom"/>
          </w:tcPr>
          <w:p>
            <w:pPr>
              <w:spacing w:after="0"/>
              <w:rPr>
                <w:sz w:val="10"/>
                <w:szCs w:val="10"/>
                <w:color w:val="auto"/>
              </w:rPr>
            </w:pPr>
          </w:p>
        </w:tc>
        <w:tc>
          <w:tcPr>
            <w:tcW w:w="4180" w:type="dxa"/>
            <w:vAlign w:val="bottom"/>
            <w:gridSpan w:val="2"/>
          </w:tcPr>
          <w:p>
            <w:pPr>
              <w:jc w:val="center"/>
              <w:ind w:right="11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(Primary Standard Industrial</w:t>
            </w:r>
          </w:p>
        </w:tc>
        <w:tc>
          <w:tcPr>
            <w:tcW w:w="2300" w:type="dxa"/>
            <w:vAlign w:val="bottom"/>
          </w:tcPr>
          <w:p>
            <w:pPr>
              <w:jc w:val="center"/>
              <w:ind w:left="551"/>
              <w:spacing w:after="0" w:line="122" w:lineRule="exact"/>
              <w:rPr>
                <w:sz w:val="20"/>
                <w:szCs w:val="20"/>
                <w:color w:val="auto"/>
              </w:rPr>
            </w:pPr>
            <w:r>
              <w:rPr>
                <w:rFonts w:ascii="Times New Roman" w:cs="Times New Roman" w:eastAsia="Times New Roman" w:hAnsi="Times New Roman"/>
                <w:sz w:val="11"/>
                <w:szCs w:val="11"/>
                <w:b w:val="1"/>
                <w:bCs w:val="1"/>
                <w:color w:val="auto"/>
                <w:w w:val="95"/>
              </w:rPr>
              <w:t>(I.R.S. Employer</w:t>
            </w:r>
          </w:p>
        </w:tc>
        <w:tc>
          <w:tcPr>
            <w:tcW w:w="0" w:type="dxa"/>
            <w:vAlign w:val="bottom"/>
          </w:tcPr>
          <w:p>
            <w:pPr>
              <w:spacing w:after="0"/>
              <w:rPr>
                <w:sz w:val="1"/>
                <w:szCs w:val="1"/>
                <w:color w:val="auto"/>
              </w:rPr>
            </w:pPr>
          </w:p>
        </w:tc>
      </w:tr>
      <w:tr>
        <w:trPr>
          <w:trHeight w:val="142"/>
        </w:trPr>
        <w:tc>
          <w:tcPr>
            <w:tcW w:w="2160" w:type="dxa"/>
            <w:vAlign w:val="bottom"/>
          </w:tcPr>
          <w:p>
            <w:pPr>
              <w:jc w:val="center"/>
              <w:ind w:right="731"/>
              <w:spacing w:after="0"/>
              <w:rPr>
                <w:sz w:val="20"/>
                <w:szCs w:val="20"/>
                <w:color w:val="auto"/>
              </w:rPr>
            </w:pPr>
            <w:r>
              <w:rPr>
                <w:rFonts w:ascii="Times New Roman" w:cs="Times New Roman" w:eastAsia="Times New Roman" w:hAnsi="Times New Roman"/>
                <w:sz w:val="11"/>
                <w:szCs w:val="11"/>
                <w:b w:val="1"/>
                <w:bCs w:val="1"/>
                <w:color w:val="auto"/>
                <w:w w:val="94"/>
              </w:rPr>
              <w:t>incorporation or organization)</w:t>
            </w:r>
          </w:p>
        </w:tc>
        <w:tc>
          <w:tcPr>
            <w:tcW w:w="1060" w:type="dxa"/>
            <w:vAlign w:val="bottom"/>
          </w:tcPr>
          <w:p>
            <w:pPr>
              <w:spacing w:after="0"/>
              <w:rPr>
                <w:sz w:val="12"/>
                <w:szCs w:val="12"/>
                <w:color w:val="auto"/>
              </w:rPr>
            </w:pPr>
          </w:p>
        </w:tc>
        <w:tc>
          <w:tcPr>
            <w:tcW w:w="4180" w:type="dxa"/>
            <w:vAlign w:val="bottom"/>
            <w:gridSpan w:val="2"/>
          </w:tcPr>
          <w:p>
            <w:pPr>
              <w:jc w:val="center"/>
              <w:ind w:right="1080"/>
              <w:spacing w:after="0"/>
              <w:rPr>
                <w:sz w:val="20"/>
                <w:szCs w:val="20"/>
                <w:color w:val="auto"/>
              </w:rPr>
            </w:pPr>
            <w:r>
              <w:rPr>
                <w:rFonts w:ascii="Times New Roman" w:cs="Times New Roman" w:eastAsia="Times New Roman" w:hAnsi="Times New Roman"/>
                <w:sz w:val="11"/>
                <w:szCs w:val="11"/>
                <w:b w:val="1"/>
                <w:bCs w:val="1"/>
                <w:color w:val="auto"/>
                <w:w w:val="95"/>
              </w:rPr>
              <w:t>Classification Code Number)</w:t>
            </w:r>
          </w:p>
        </w:tc>
        <w:tc>
          <w:tcPr>
            <w:tcW w:w="2300" w:type="dxa"/>
            <w:vAlign w:val="bottom"/>
          </w:tcPr>
          <w:p>
            <w:pPr>
              <w:jc w:val="center"/>
              <w:ind w:left="551"/>
              <w:spacing w:after="0"/>
              <w:rPr>
                <w:sz w:val="20"/>
                <w:szCs w:val="20"/>
                <w:color w:val="auto"/>
              </w:rPr>
            </w:pPr>
            <w:r>
              <w:rPr>
                <w:rFonts w:ascii="Times New Roman" w:cs="Times New Roman" w:eastAsia="Times New Roman" w:hAnsi="Times New Roman"/>
                <w:sz w:val="11"/>
                <w:szCs w:val="11"/>
                <w:b w:val="1"/>
                <w:bCs w:val="1"/>
                <w:color w:val="auto"/>
                <w:w w:val="95"/>
              </w:rPr>
              <w:t>Identification Number)</w:t>
            </w:r>
          </w:p>
        </w:tc>
        <w:tc>
          <w:tcPr>
            <w:tcW w:w="0" w:type="dxa"/>
            <w:vAlign w:val="bottom"/>
          </w:tcPr>
          <w:p>
            <w:pPr>
              <w:spacing w:after="0"/>
              <w:rPr>
                <w:sz w:val="1"/>
                <w:szCs w:val="1"/>
                <w:color w:val="auto"/>
              </w:rPr>
            </w:pPr>
          </w:p>
        </w:tc>
      </w:tr>
      <w:tr>
        <w:trPr>
          <w:trHeight w:val="385"/>
        </w:trPr>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9"/>
              </w:rPr>
              <w:t>18706 North Creek Parkway, Suite 104</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8"/>
              </w:rPr>
              <w:t>Bothell, WA 98011</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4140" w:type="dxa"/>
            <w:vAlign w:val="bottom"/>
            <w:gridSpan w:val="2"/>
          </w:tcPr>
          <w:p>
            <w:pPr>
              <w:jc w:val="center"/>
              <w:ind w:left="995"/>
              <w:spacing w:after="0"/>
              <w:rPr>
                <w:sz w:val="20"/>
                <w:szCs w:val="20"/>
                <w:color w:val="auto"/>
              </w:rPr>
            </w:pPr>
            <w:r>
              <w:rPr>
                <w:rFonts w:ascii="Arial" w:cs="Arial" w:eastAsia="Arial" w:hAnsi="Arial"/>
                <w:sz w:val="14"/>
                <w:szCs w:val="14"/>
                <w:b w:val="1"/>
                <w:bCs w:val="1"/>
                <w:color w:val="auto"/>
              </w:rPr>
              <w:t>(206) 221-8112</w:t>
            </w:r>
          </w:p>
        </w:tc>
        <w:tc>
          <w:tcPr>
            <w:tcW w:w="1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52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(Address, including zip code, and telephone number, including area code, of Registrant’s principal executive offices)</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1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rPr>
              <w:t>Leen Kawas, Ph.D.</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rPr>
              <w:t>President and Chief Executive Officer</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rPr>
              <w:t>Athira Pharma, Inc.</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9"/>
              </w:rPr>
              <w:t>18706 North Creek Parkway, Suite 104</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8"/>
              </w:rPr>
              <w:t>Bothell, WA 98011</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4140" w:type="dxa"/>
            <w:vAlign w:val="bottom"/>
            <w:gridSpan w:val="2"/>
          </w:tcPr>
          <w:p>
            <w:pPr>
              <w:jc w:val="center"/>
              <w:ind w:left="995"/>
              <w:spacing w:after="0"/>
              <w:rPr>
                <w:sz w:val="20"/>
                <w:szCs w:val="20"/>
                <w:color w:val="auto"/>
              </w:rPr>
            </w:pPr>
            <w:r>
              <w:rPr>
                <w:rFonts w:ascii="Arial" w:cs="Arial" w:eastAsia="Arial" w:hAnsi="Arial"/>
                <w:sz w:val="14"/>
                <w:szCs w:val="14"/>
                <w:b w:val="1"/>
                <w:bCs w:val="1"/>
                <w:color w:val="auto"/>
              </w:rPr>
              <w:t>(206) 221-8112</w:t>
            </w:r>
          </w:p>
        </w:tc>
        <w:tc>
          <w:tcPr>
            <w:tcW w:w="1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524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(Name, address, including zip code, and telephone number, including area code, of agent for service)</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16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auto"/>
              </w:rPr>
              <w:t>Michael Nordtvedt</w:t>
            </w:r>
          </w:p>
        </w:tc>
        <w:tc>
          <w:tcPr>
            <w:tcW w:w="1060" w:type="dxa"/>
            <w:vAlign w:val="bottom"/>
          </w:tcPr>
          <w:p>
            <w:pPr>
              <w:spacing w:after="0"/>
              <w:rPr>
                <w:sz w:val="22"/>
                <w:szCs w:val="22"/>
                <w:color w:val="auto"/>
              </w:rPr>
            </w:pPr>
          </w:p>
        </w:tc>
        <w:tc>
          <w:tcPr>
            <w:tcW w:w="4180" w:type="dxa"/>
            <w:vAlign w:val="bottom"/>
            <w:gridSpan w:val="2"/>
          </w:tcPr>
          <w:p>
            <w:pPr>
              <w:ind w:left="1260"/>
              <w:spacing w:after="0"/>
              <w:rPr>
                <w:sz w:val="20"/>
                <w:szCs w:val="20"/>
                <w:color w:val="auto"/>
              </w:rPr>
            </w:pPr>
            <w:r>
              <w:rPr>
                <w:rFonts w:ascii="Arial" w:cs="Arial" w:eastAsia="Arial" w:hAnsi="Arial"/>
                <w:sz w:val="14"/>
                <w:szCs w:val="14"/>
                <w:b w:val="1"/>
                <w:bCs w:val="1"/>
                <w:i w:val="1"/>
                <w:iCs w:val="1"/>
                <w:color w:val="auto"/>
              </w:rPr>
              <w:t>Copies to:</w:t>
            </w: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Charles S. Kim</w:t>
            </w:r>
          </w:p>
        </w:tc>
        <w:tc>
          <w:tcPr>
            <w:tcW w:w="0" w:type="dxa"/>
            <w:vAlign w:val="bottom"/>
          </w:tcPr>
          <w:p>
            <w:pPr>
              <w:spacing w:after="0"/>
              <w:rPr>
                <w:sz w:val="1"/>
                <w:szCs w:val="1"/>
                <w:color w:val="auto"/>
              </w:rPr>
            </w:pPr>
          </w:p>
        </w:tc>
      </w:tr>
      <w:tr>
        <w:trPr>
          <w:trHeight w:val="41"/>
        </w:trPr>
        <w:tc>
          <w:tcPr>
            <w:tcW w:w="21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Bryan D. King</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00" w:type="dxa"/>
            <w:vAlign w:val="bottom"/>
          </w:tcPr>
          <w:p>
            <w:pPr>
              <w:jc w:val="center"/>
              <w:ind w:left="11"/>
              <w:spacing w:after="0"/>
              <w:rPr>
                <w:sz w:val="20"/>
                <w:szCs w:val="20"/>
                <w:color w:val="auto"/>
              </w:rPr>
            </w:pPr>
            <w:r>
              <w:rPr>
                <w:rFonts w:ascii="Arial" w:cs="Arial" w:eastAsia="Arial" w:hAnsi="Arial"/>
                <w:sz w:val="14"/>
                <w:szCs w:val="14"/>
                <w:b w:val="1"/>
                <w:bCs w:val="1"/>
                <w:color w:val="auto"/>
              </w:rPr>
              <w:t>Alan D. Hambelton</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Donna Petkanics</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Dave Peinsipp</w:t>
            </w:r>
          </w:p>
        </w:tc>
        <w:tc>
          <w:tcPr>
            <w:tcW w:w="0" w:type="dxa"/>
            <w:vAlign w:val="bottom"/>
          </w:tcPr>
          <w:p>
            <w:pPr>
              <w:spacing w:after="0"/>
              <w:rPr>
                <w:sz w:val="1"/>
                <w:szCs w:val="1"/>
                <w:color w:val="auto"/>
              </w:rPr>
            </w:pPr>
          </w:p>
        </w:tc>
      </w:tr>
      <w:tr>
        <w:trPr>
          <w:trHeight w:val="162"/>
        </w:trPr>
        <w:tc>
          <w:tcPr>
            <w:tcW w:w="7400" w:type="dxa"/>
            <w:vAlign w:val="bottom"/>
            <w:gridSpan w:val="4"/>
          </w:tcPr>
          <w:p>
            <w:pPr>
              <w:jc w:val="center"/>
              <w:ind w:right="5080"/>
              <w:spacing w:after="0"/>
              <w:rPr>
                <w:sz w:val="20"/>
                <w:szCs w:val="20"/>
                <w:color w:val="auto"/>
              </w:rPr>
            </w:pPr>
            <w:r>
              <w:rPr>
                <w:rFonts w:ascii="Arial" w:cs="Arial" w:eastAsia="Arial" w:hAnsi="Arial"/>
                <w:sz w:val="14"/>
                <w:szCs w:val="14"/>
                <w:b w:val="1"/>
                <w:bCs w:val="1"/>
                <w:color w:val="auto"/>
              </w:rPr>
              <w:t>Wilson Sonsini Goodrich &amp; Rosati,</w:t>
            </w:r>
          </w:p>
        </w:tc>
        <w:tc>
          <w:tcPr>
            <w:tcW w:w="2300" w:type="dxa"/>
            <w:vAlign w:val="bottom"/>
          </w:tcPr>
          <w:p>
            <w:pPr>
              <w:jc w:val="center"/>
              <w:ind w:left="11"/>
              <w:spacing w:after="0"/>
              <w:rPr>
                <w:sz w:val="20"/>
                <w:szCs w:val="20"/>
                <w:color w:val="auto"/>
              </w:rPr>
            </w:pPr>
            <w:r>
              <w:rPr>
                <w:rFonts w:ascii="Arial" w:cs="Arial" w:eastAsia="Arial" w:hAnsi="Arial"/>
                <w:sz w:val="14"/>
                <w:szCs w:val="14"/>
                <w:b w:val="1"/>
                <w:bCs w:val="1"/>
                <w:color w:val="auto"/>
              </w:rPr>
              <w:t>Denny Won</w:t>
            </w:r>
          </w:p>
        </w:tc>
        <w:tc>
          <w:tcPr>
            <w:tcW w:w="0" w:type="dxa"/>
            <w:vAlign w:val="bottom"/>
          </w:tcPr>
          <w:p>
            <w:pPr>
              <w:spacing w:after="0"/>
              <w:rPr>
                <w:sz w:val="1"/>
                <w:szCs w:val="1"/>
                <w:color w:val="auto"/>
              </w:rPr>
            </w:pPr>
          </w:p>
        </w:tc>
      </w:tr>
      <w:tr>
        <w:trPr>
          <w:trHeight w:val="162"/>
        </w:trPr>
        <w:tc>
          <w:tcPr>
            <w:tcW w:w="2160" w:type="dxa"/>
            <w:vAlign w:val="bottom"/>
          </w:tcPr>
          <w:p>
            <w:pPr>
              <w:jc w:val="center"/>
              <w:ind w:left="91"/>
              <w:spacing w:after="0"/>
              <w:rPr>
                <w:sz w:val="20"/>
                <w:szCs w:val="20"/>
                <w:color w:val="auto"/>
              </w:rPr>
            </w:pPr>
            <w:r>
              <w:rPr>
                <w:rFonts w:ascii="Arial" w:cs="Arial" w:eastAsia="Arial" w:hAnsi="Arial"/>
                <w:sz w:val="14"/>
                <w:szCs w:val="14"/>
                <w:b w:val="1"/>
                <w:bCs w:val="1"/>
                <w:color w:val="auto"/>
                <w:w w:val="99"/>
              </w:rPr>
              <w:t>Professional Corporation</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00" w:type="dxa"/>
            <w:vAlign w:val="bottom"/>
          </w:tcPr>
          <w:p>
            <w:pPr>
              <w:jc w:val="center"/>
              <w:ind w:left="11"/>
              <w:spacing w:after="0"/>
              <w:rPr>
                <w:sz w:val="20"/>
                <w:szCs w:val="20"/>
                <w:color w:val="auto"/>
              </w:rPr>
            </w:pPr>
            <w:r>
              <w:rPr>
                <w:rFonts w:ascii="Arial" w:cs="Arial" w:eastAsia="Arial" w:hAnsi="Arial"/>
                <w:sz w:val="14"/>
                <w:szCs w:val="14"/>
                <w:b w:val="1"/>
                <w:bCs w:val="1"/>
                <w:color w:val="auto"/>
              </w:rPr>
              <w:t>Cooley LLP</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701 Fifth Avenue, Suite 5100</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00" w:type="dxa"/>
            <w:vAlign w:val="bottom"/>
          </w:tcPr>
          <w:p>
            <w:pPr>
              <w:jc w:val="center"/>
              <w:ind w:left="11"/>
              <w:spacing w:after="0"/>
              <w:rPr>
                <w:sz w:val="20"/>
                <w:szCs w:val="20"/>
                <w:color w:val="auto"/>
              </w:rPr>
            </w:pPr>
            <w:r>
              <w:rPr>
                <w:rFonts w:ascii="Arial" w:cs="Arial" w:eastAsia="Arial" w:hAnsi="Arial"/>
                <w:sz w:val="14"/>
                <w:szCs w:val="14"/>
                <w:b w:val="1"/>
                <w:bCs w:val="1"/>
                <w:color w:val="auto"/>
              </w:rPr>
              <w:t>1700 Seventh Avenue, Suite 1900</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w w:val="98"/>
              </w:rPr>
              <w:t>Seattle, WA 98104</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Seattle, WA 98101</w:t>
            </w:r>
          </w:p>
        </w:tc>
        <w:tc>
          <w:tcPr>
            <w:tcW w:w="0" w:type="dxa"/>
            <w:vAlign w:val="bottom"/>
          </w:tcPr>
          <w:p>
            <w:pPr>
              <w:spacing w:after="0"/>
              <w:rPr>
                <w:sz w:val="1"/>
                <w:szCs w:val="1"/>
                <w:color w:val="auto"/>
              </w:rPr>
            </w:pPr>
          </w:p>
        </w:tc>
      </w:tr>
      <w:tr>
        <w:trPr>
          <w:trHeight w:val="202"/>
        </w:trPr>
        <w:tc>
          <w:tcPr>
            <w:tcW w:w="2160" w:type="dxa"/>
            <w:vAlign w:val="bottom"/>
          </w:tcPr>
          <w:p>
            <w:pPr>
              <w:jc w:val="center"/>
              <w:ind w:left="91"/>
              <w:spacing w:after="0"/>
              <w:rPr>
                <w:sz w:val="20"/>
                <w:szCs w:val="20"/>
                <w:color w:val="auto"/>
              </w:rPr>
            </w:pPr>
            <w:r>
              <w:rPr>
                <w:rFonts w:ascii="Arial" w:cs="Arial" w:eastAsia="Arial" w:hAnsi="Arial"/>
                <w:sz w:val="14"/>
                <w:szCs w:val="14"/>
                <w:b w:val="1"/>
                <w:bCs w:val="1"/>
                <w:color w:val="auto"/>
              </w:rPr>
              <w:t>(206) 883-2500</w:t>
            </w:r>
          </w:p>
        </w:tc>
        <w:tc>
          <w:tcPr>
            <w:tcW w:w="10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(206) 452-8700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43815</wp:posOffset>
            </wp:positionV>
            <wp:extent cx="195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07" w:lineRule="exact"/>
        <w:rPr>
          <w:sz w:val="24"/>
          <w:szCs w:val="24"/>
          <w:color w:val="auto"/>
        </w:rPr>
      </w:pPr>
    </w:p>
    <w:p>
      <w:pPr>
        <w:ind w:left="5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28" w:lineRule="exact"/>
        <w:rPr>
          <w:sz w:val="24"/>
          <w:szCs w:val="24"/>
          <w:color w:val="auto"/>
        </w:rPr>
      </w:pPr>
    </w:p>
    <w:p>
      <w:pPr>
        <w:ind w:left="5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53" w:lineRule="exact"/>
        <w:rPr>
          <w:sz w:val="24"/>
          <w:szCs w:val="24"/>
          <w:color w:val="auto"/>
        </w:rPr>
      </w:pPr>
    </w:p>
    <w:p>
      <w:pPr>
        <w:ind w:right="100" w:firstLine="510"/>
        <w:spacing w:after="0" w:line="166"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7" w:lineRule="exact"/>
        <w:rPr>
          <w:sz w:val="24"/>
          <w:szCs w:val="24"/>
          <w:color w:val="auto"/>
        </w:rPr>
      </w:pPr>
    </w:p>
    <w:p>
      <w:pPr>
        <w:ind w:right="340" w:firstLine="510"/>
        <w:spacing w:after="0" w:line="166"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7" w:lineRule="exact"/>
        <w:rPr>
          <w:sz w:val="24"/>
          <w:szCs w:val="24"/>
          <w:color w:val="auto"/>
        </w:rPr>
      </w:pPr>
    </w:p>
    <w:p>
      <w:pPr>
        <w:ind w:right="340" w:firstLine="510"/>
        <w:spacing w:after="0" w:line="166"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7" w:lineRule="exact"/>
        <w:rPr>
          <w:sz w:val="24"/>
          <w:szCs w:val="24"/>
          <w:color w:val="auto"/>
        </w:rPr>
      </w:pPr>
    </w:p>
    <w:p>
      <w:pPr>
        <w:ind w:firstLine="510"/>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20"/>
                <w:szCs w:val="20"/>
                <w:color w:val="auto"/>
              </w:rPr>
            </w:pPr>
            <w:r>
              <w:rPr>
                <w:rFonts w:ascii="Arial" w:cs="Arial" w:eastAsia="Arial" w:hAnsi="Arial"/>
                <w:sz w:val="13"/>
                <w:szCs w:val="13"/>
                <w:b w:val="1"/>
                <w:bCs w:val="1"/>
                <w:color w:val="auto"/>
              </w:rPr>
              <w:t>Large accelerated filer</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60" w:type="dxa"/>
            <w:vAlign w:val="bottom"/>
          </w:tcPr>
          <w:p>
            <w:pPr>
              <w:ind w:left="1940"/>
              <w:spacing w:after="0"/>
              <w:rPr>
                <w:sz w:val="20"/>
                <w:szCs w:val="20"/>
                <w:color w:val="auto"/>
              </w:rPr>
            </w:pPr>
            <w:r>
              <w:rPr>
                <w:rFonts w:ascii="Arial" w:cs="Arial" w:eastAsia="Arial" w:hAnsi="Arial"/>
                <w:sz w:val="13"/>
                <w:szCs w:val="13"/>
                <w:b w:val="1"/>
                <w:bCs w:val="1"/>
                <w:color w:val="auto"/>
              </w:rPr>
              <w:t>Accelerated filer</w:t>
            </w:r>
          </w:p>
        </w:tc>
        <w:tc>
          <w:tcPr>
            <w:tcW w:w="1060" w:type="dxa"/>
            <w:vAlign w:val="bottom"/>
          </w:tcPr>
          <w:p>
            <w:pPr>
              <w:ind w:left="9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2"/>
        </w:trPr>
        <w:tc>
          <w:tcPr>
            <w:tcW w:w="2520" w:type="dxa"/>
            <w:vAlign w:val="bottom"/>
          </w:tcPr>
          <w:p>
            <w:pPr>
              <w:spacing w:after="0"/>
              <w:rPr>
                <w:sz w:val="20"/>
                <w:szCs w:val="20"/>
                <w:color w:val="auto"/>
              </w:rPr>
            </w:pPr>
            <w:r>
              <w:rPr>
                <w:rFonts w:ascii="Arial" w:cs="Arial" w:eastAsia="Arial" w:hAnsi="Arial"/>
                <w:sz w:val="13"/>
                <w:szCs w:val="13"/>
                <w:b w:val="1"/>
                <w:bCs w:val="1"/>
                <w:color w:val="auto"/>
              </w:rPr>
              <w:t>Non-accelerated filer</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60" w:type="dxa"/>
            <w:vAlign w:val="bottom"/>
          </w:tcPr>
          <w:p>
            <w:pPr>
              <w:ind w:left="1940"/>
              <w:spacing w:after="0"/>
              <w:rPr>
                <w:sz w:val="20"/>
                <w:szCs w:val="20"/>
                <w:color w:val="auto"/>
              </w:rPr>
            </w:pPr>
            <w:r>
              <w:rPr>
                <w:rFonts w:ascii="Arial" w:cs="Arial" w:eastAsia="Arial" w:hAnsi="Arial"/>
                <w:sz w:val="13"/>
                <w:szCs w:val="13"/>
                <w:b w:val="1"/>
                <w:bCs w:val="1"/>
                <w:color w:val="auto"/>
              </w:rPr>
              <w:t>Smaller reporting company</w:t>
            </w:r>
          </w:p>
        </w:tc>
        <w:tc>
          <w:tcPr>
            <w:tcW w:w="1060" w:type="dxa"/>
            <w:vAlign w:val="bottom"/>
          </w:tcPr>
          <w:p>
            <w:pPr>
              <w:ind w:left="9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2520" w:type="dxa"/>
            <w:vAlign w:val="bottom"/>
          </w:tcPr>
          <w:p>
            <w:pPr>
              <w:spacing w:after="0"/>
              <w:rPr>
                <w:sz w:val="20"/>
                <w:szCs w:val="20"/>
                <w:color w:val="auto"/>
              </w:rPr>
            </w:pPr>
            <w:r>
              <w:rPr>
                <w:rFonts w:ascii="Arial" w:cs="Arial" w:eastAsia="Arial" w:hAnsi="Arial"/>
                <w:sz w:val="13"/>
                <w:szCs w:val="13"/>
                <w:b w:val="1"/>
                <w:bCs w:val="1"/>
                <w:color w:val="auto"/>
              </w:rPr>
              <w:t>Emerging growth company</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6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2202815</wp:posOffset>
            </wp:positionH>
            <wp:positionV relativeFrom="paragraph">
              <wp:posOffset>-291465</wp:posOffset>
            </wp:positionV>
            <wp:extent cx="60960" cy="61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6931025</wp:posOffset>
            </wp:positionH>
            <wp:positionV relativeFrom="paragraph">
              <wp:posOffset>-291465</wp:posOffset>
            </wp:positionV>
            <wp:extent cx="60960" cy="61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-196850</wp:posOffset>
            </wp:positionV>
            <wp:extent cx="60960" cy="61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6931025</wp:posOffset>
            </wp:positionH>
            <wp:positionV relativeFrom="paragraph">
              <wp:posOffset>-196850</wp:posOffset>
            </wp:positionV>
            <wp:extent cx="60960" cy="61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-93980</wp:posOffset>
            </wp:positionV>
            <wp:extent cx="60960" cy="61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60" cy="61595"/>
                    </a:xfrm>
                    <a:prstGeom prst="rect">
                      <a:avLst/>
                    </a:prstGeom>
                    <a:noFill/>
                  </pic:spPr>
                </pic:pic>
              </a:graphicData>
            </a:graphic>
          </wp:anchor>
        </w:drawing>
      </w:r>
    </w:p>
    <w:p>
      <w:pPr>
        <w:spacing w:after="0" w:line="9" w:lineRule="exact"/>
        <w:rPr>
          <w:sz w:val="24"/>
          <w:szCs w:val="24"/>
          <w:color w:val="auto"/>
        </w:rPr>
      </w:pPr>
    </w:p>
    <w:p>
      <w:pPr>
        <w:ind w:right="400" w:firstLine="51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27305</wp:posOffset>
            </wp:positionV>
            <wp:extent cx="1954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38" w:lineRule="exact"/>
        <w:rPr>
          <w:sz w:val="24"/>
          <w:szCs w:val="24"/>
          <w:color w:val="auto"/>
        </w:rPr>
      </w:pPr>
    </w:p>
    <w:tbl>
      <w:tblPr>
        <w:tblLayout w:type="fixed"/>
        <w:tblInd w:w="5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10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r>
      <w:tr>
        <w:trPr>
          <w:trHeight w:val="12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4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rPr>
              <w:t>Proposed Maximum</w:t>
            </w:r>
          </w:p>
        </w:tc>
        <w:tc>
          <w:tcPr>
            <w:tcW w:w="1920" w:type="dxa"/>
            <w:vAlign w:val="bottom"/>
          </w:tcPr>
          <w:p>
            <w:pPr>
              <w:jc w:val="center"/>
              <w:ind w:right="128"/>
              <w:spacing w:after="0" w:line="127" w:lineRule="exact"/>
              <w:rPr>
                <w:sz w:val="20"/>
                <w:szCs w:val="20"/>
                <w:color w:val="auto"/>
              </w:rPr>
            </w:pPr>
            <w:r>
              <w:rPr>
                <w:rFonts w:ascii="Arial" w:cs="Arial" w:eastAsia="Arial" w:hAnsi="Arial"/>
                <w:sz w:val="14"/>
                <w:szCs w:val="14"/>
                <w:b w:val="1"/>
                <w:bCs w:val="1"/>
                <w:color w:val="auto"/>
              </w:rPr>
              <w:t>Proposed Maximum</w:t>
            </w:r>
          </w:p>
        </w:tc>
        <w:tc>
          <w:tcPr>
            <w:tcW w:w="20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00" w:type="dxa"/>
            <w:vAlign w:val="bottom"/>
          </w:tcPr>
          <w:p>
            <w:pPr>
              <w:jc w:val="center"/>
              <w:ind w:left="88"/>
              <w:spacing w:after="0" w:line="159" w:lineRule="exact"/>
              <w:rPr>
                <w:sz w:val="20"/>
                <w:szCs w:val="20"/>
                <w:color w:val="auto"/>
              </w:rPr>
            </w:pPr>
            <w:r>
              <w:rPr>
                <w:rFonts w:ascii="Arial" w:cs="Arial" w:eastAsia="Arial" w:hAnsi="Arial"/>
                <w:sz w:val="14"/>
                <w:szCs w:val="14"/>
                <w:b w:val="1"/>
                <w:bCs w:val="1"/>
                <w:color w:val="auto"/>
              </w:rPr>
              <w:t>Title of Each Class of Securities</w:t>
            </w:r>
          </w:p>
        </w:tc>
        <w:tc>
          <w:tcPr>
            <w:tcW w:w="1320" w:type="dxa"/>
            <w:vAlign w:val="bottom"/>
          </w:tcPr>
          <w:p>
            <w:pPr>
              <w:jc w:val="center"/>
              <w:ind w:left="68"/>
              <w:spacing w:after="0" w:line="159" w:lineRule="exact"/>
              <w:rPr>
                <w:sz w:val="20"/>
                <w:szCs w:val="20"/>
                <w:color w:val="auto"/>
              </w:rPr>
            </w:pPr>
            <w:r>
              <w:rPr>
                <w:rFonts w:ascii="Arial" w:cs="Arial" w:eastAsia="Arial" w:hAnsi="Arial"/>
                <w:sz w:val="14"/>
                <w:szCs w:val="14"/>
                <w:b w:val="1"/>
                <w:bCs w:val="1"/>
                <w:color w:val="auto"/>
              </w:rPr>
              <w:t>Amount to be</w:t>
            </w:r>
          </w:p>
        </w:tc>
        <w:tc>
          <w:tcPr>
            <w:tcW w:w="16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Offering Price Per</w:t>
            </w:r>
          </w:p>
        </w:tc>
        <w:tc>
          <w:tcPr>
            <w:tcW w:w="1920" w:type="dxa"/>
            <w:vAlign w:val="bottom"/>
          </w:tcPr>
          <w:p>
            <w:pPr>
              <w:jc w:val="center"/>
              <w:ind w:right="128"/>
              <w:spacing w:after="0" w:line="159" w:lineRule="exact"/>
              <w:rPr>
                <w:sz w:val="20"/>
                <w:szCs w:val="20"/>
                <w:color w:val="auto"/>
              </w:rPr>
            </w:pPr>
            <w:r>
              <w:rPr>
                <w:rFonts w:ascii="Arial" w:cs="Arial" w:eastAsia="Arial" w:hAnsi="Arial"/>
                <w:sz w:val="14"/>
                <w:szCs w:val="14"/>
                <w:b w:val="1"/>
                <w:bCs w:val="1"/>
                <w:color w:val="auto"/>
              </w:rPr>
              <w:t>Aggregate Offering</w:t>
            </w:r>
          </w:p>
        </w:tc>
        <w:tc>
          <w:tcPr>
            <w:tcW w:w="2080" w:type="dxa"/>
            <w:vAlign w:val="bottom"/>
          </w:tcPr>
          <w:p>
            <w:pPr>
              <w:jc w:val="center"/>
              <w:ind w:right="168"/>
              <w:spacing w:after="0" w:line="159" w:lineRule="exact"/>
              <w:rPr>
                <w:sz w:val="20"/>
                <w:szCs w:val="20"/>
                <w:color w:val="auto"/>
              </w:rPr>
            </w:pPr>
            <w:r>
              <w:rPr>
                <w:rFonts w:ascii="Arial" w:cs="Arial" w:eastAsia="Arial" w:hAnsi="Arial"/>
                <w:sz w:val="14"/>
                <w:szCs w:val="14"/>
                <w:b w:val="1"/>
                <w:bCs w:val="1"/>
                <w:color w:val="auto"/>
              </w:rPr>
              <w:t>Amount of</w:t>
            </w:r>
          </w:p>
        </w:tc>
      </w:tr>
      <w:tr>
        <w:trPr>
          <w:trHeight w:val="329"/>
        </w:trPr>
        <w:tc>
          <w:tcPr>
            <w:tcW w:w="20" w:type="dxa"/>
            <w:vAlign w:val="bottom"/>
          </w:tcPr>
          <w:p>
            <w:pPr>
              <w:spacing w:after="0"/>
              <w:rPr>
                <w:sz w:val="24"/>
                <w:szCs w:val="24"/>
                <w:color w:val="auto"/>
              </w:rPr>
            </w:pPr>
          </w:p>
        </w:tc>
        <w:tc>
          <w:tcPr>
            <w:tcW w:w="31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To Be Registered</w:t>
            </w:r>
          </w:p>
        </w:tc>
        <w:tc>
          <w:tcPr>
            <w:tcW w:w="13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7"/>
              </w:rPr>
              <w:t>Registered</w:t>
            </w:r>
            <w:r>
              <w:rPr>
                <w:rFonts w:ascii="Arial" w:cs="Arial" w:eastAsia="Arial" w:hAnsi="Arial"/>
                <w:sz w:val="24"/>
                <w:szCs w:val="24"/>
                <w:b w:val="1"/>
                <w:bCs w:val="1"/>
                <w:color w:val="auto"/>
                <w:w w:val="97"/>
                <w:vertAlign w:val="superscript"/>
              </w:rPr>
              <w:t>(1)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19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2"/>
              </w:rPr>
              <w:t>Price</w:t>
            </w:r>
            <w:r>
              <w:rPr>
                <w:rFonts w:ascii="Arial" w:cs="Arial" w:eastAsia="Arial" w:hAnsi="Arial"/>
                <w:sz w:val="24"/>
                <w:szCs w:val="24"/>
                <w:b w:val="1"/>
                <w:bCs w:val="1"/>
                <w:color w:val="auto"/>
                <w:w w:val="92"/>
                <w:vertAlign w:val="superscript"/>
              </w:rPr>
              <w:t>(2)</w:t>
            </w:r>
          </w:p>
        </w:tc>
        <w:tc>
          <w:tcPr>
            <w:tcW w:w="20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Registration Fee</w:t>
            </w:r>
          </w:p>
        </w:tc>
      </w:tr>
      <w:tr>
        <w:trPr>
          <w:trHeight w:val="192"/>
        </w:trPr>
        <w:tc>
          <w:tcPr>
            <w:tcW w:w="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$0.0001 par value per share</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4,600,000</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$26.01</w:t>
            </w:r>
          </w:p>
        </w:tc>
        <w:tc>
          <w:tcPr>
            <w:tcW w:w="19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rPr>
              <w:t>$119,646,000</w:t>
            </w:r>
          </w:p>
        </w:tc>
        <w:tc>
          <w:tcPr>
            <w:tcW w:w="20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$13,054</w:t>
            </w:r>
          </w:p>
        </w:tc>
      </w:tr>
      <w:tr>
        <w:trPr>
          <w:trHeight w:val="20"/>
        </w:trPr>
        <w:tc>
          <w:tcPr>
            <w:tcW w:w="2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59"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600,000 shares the underwriters have the option to purchase.</w:t>
      </w:r>
    </w:p>
    <w:p>
      <w:pPr>
        <w:spacing w:after="0" w:line="39" w:lineRule="exact"/>
        <w:rPr>
          <w:rFonts w:ascii="Arial" w:cs="Arial" w:eastAsia="Arial" w:hAnsi="Arial"/>
          <w:sz w:val="13"/>
          <w:szCs w:val="13"/>
          <w:color w:val="auto"/>
        </w:rPr>
      </w:pPr>
    </w:p>
    <w:p>
      <w:pPr>
        <w:ind w:left="860" w:right="20" w:hanging="366"/>
        <w:spacing w:after="0" w:line="287"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457(c) under the Securities Act of 1933, as amended, on the basis of the average of the high and low prices of the registrant's common stock as reported on The Nasdaq Global Select Market on January 15, 2021.</w:t>
      </w:r>
    </w:p>
    <w:p>
      <w:pPr>
        <w:spacing w:after="0" w:line="175" w:lineRule="exact"/>
        <w:rPr>
          <w:sz w:val="24"/>
          <w:szCs w:val="24"/>
          <w:color w:val="auto"/>
        </w:rPr>
      </w:pPr>
    </w:p>
    <w:p>
      <w:pPr>
        <w:ind w:right="40" w:firstLine="499"/>
        <w:spacing w:after="0" w:line="23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51" w:right="359" w:bottom="1440" w:gutter="0" w:footer="0" w:header="0"/>
        </w:sectPr>
      </w:pPr>
    </w:p>
    <w:bookmarkStart w:id="1" w:name="page2"/>
    <w:bookmarkEnd w:id="1"/>
    <w:p>
      <w:pPr>
        <w:ind w:right="40"/>
        <w:spacing w:after="0" w:line="230" w:lineRule="auto"/>
        <w:rPr>
          <w:sz w:val="20"/>
          <w:szCs w:val="20"/>
          <w:color w:val="auto"/>
        </w:rPr>
      </w:pPr>
      <w:r>
        <w:rPr>
          <w:rFonts w:ascii="Arial" w:cs="Arial" w:eastAsia="Arial" w:hAnsi="Arial"/>
          <w:sz w:val="18"/>
          <w:szCs w:val="18"/>
          <w:color w:val="C00000"/>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C00000"/>
        </w:rPr>
        <w:t>Subject to Completion, Dated January 19, 2021</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4,000,000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111125</wp:posOffset>
            </wp:positionV>
            <wp:extent cx="2726055" cy="1354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605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171450</wp:posOffset>
            </wp:positionV>
            <wp:extent cx="19888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offering 4,000,000 shares of common stock.</w:t>
      </w:r>
    </w:p>
    <w:p>
      <w:pPr>
        <w:spacing w:after="0" w:line="144" w:lineRule="exact"/>
        <w:rPr>
          <w:sz w:val="20"/>
          <w:szCs w:val="20"/>
          <w:color w:val="auto"/>
        </w:rPr>
      </w:pPr>
    </w:p>
    <w:p>
      <w:pPr>
        <w:ind w:right="20" w:firstLine="499"/>
        <w:spacing w:after="0" w:line="248" w:lineRule="auto"/>
        <w:rPr>
          <w:sz w:val="20"/>
          <w:szCs w:val="20"/>
          <w:color w:val="auto"/>
        </w:rPr>
      </w:pPr>
      <w:r>
        <w:rPr>
          <w:rFonts w:ascii="Arial" w:cs="Arial" w:eastAsia="Arial" w:hAnsi="Arial"/>
          <w:sz w:val="18"/>
          <w:szCs w:val="18"/>
          <w:color w:val="auto"/>
        </w:rPr>
        <w:t>Our common stock is listed on the Nasdaq Global Select Market under the symbol “ATHA.” On January 15, 2021, the last reported sale price of our common stock on the Nasdaq Global Select Market was $26.55 per share. The final public offering price will be determined through negotiation between us and the lead underwriters in the offering and the recent market price used throughout the prospectus may not be indicative of the final offering price.</w:t>
      </w:r>
    </w:p>
    <w:p>
      <w:pPr>
        <w:spacing w:after="0" w:line="89" w:lineRule="exact"/>
        <w:rPr>
          <w:sz w:val="20"/>
          <w:szCs w:val="20"/>
          <w:color w:val="auto"/>
        </w:rPr>
      </w:pPr>
    </w:p>
    <w:p>
      <w:pPr>
        <w:ind w:right="160" w:firstLine="499"/>
        <w:spacing w:after="0" w:line="27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 in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114935</wp:posOffset>
            </wp:positionV>
            <wp:extent cx="198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356" w:lineRule="exact"/>
        <w:rPr>
          <w:sz w:val="20"/>
          <w:szCs w:val="20"/>
          <w:color w:val="auto"/>
        </w:rPr>
      </w:pPr>
    </w:p>
    <w:p>
      <w:pPr>
        <w:ind w:right="600" w:firstLine="499"/>
        <w:spacing w:after="0" w:line="274" w:lineRule="auto"/>
        <w:rPr>
          <w:sz w:val="20"/>
          <w:szCs w:val="20"/>
          <w:color w:val="auto"/>
        </w:rPr>
      </w:pPr>
      <w:r>
        <w:rPr>
          <w:rFonts w:ascii="Arial" w:cs="Arial" w:eastAsia="Arial" w:hAnsi="Arial"/>
          <w:sz w:val="18"/>
          <w:szCs w:val="18"/>
          <w:i w:val="1"/>
          <w:iCs w:val="1"/>
          <w:color w:val="auto"/>
        </w:rPr>
        <w:t>See the section titled “</w:t>
      </w:r>
      <w:r>
        <w:rPr>
          <w:rFonts w:ascii="Arial" w:cs="Arial" w:eastAsia="Arial" w:hAnsi="Arial"/>
          <w:sz w:val="18"/>
          <w:szCs w:val="18"/>
          <w:i w:val="1"/>
          <w:iCs w:val="1"/>
          <w:u w:val="single" w:color="auto"/>
          <w:color w:val="auto"/>
        </w:rPr>
        <w:t>Risk Factors</w:t>
      </w:r>
      <w:r>
        <w:rPr>
          <w:rFonts w:ascii="Arial" w:cs="Arial" w:eastAsia="Arial" w:hAnsi="Arial"/>
          <w:sz w:val="18"/>
          <w:szCs w:val="18"/>
          <w:i w:val="1"/>
          <w:iCs w:val="1"/>
          <w:color w:val="auto"/>
        </w:rPr>
        <w:t>” beginning on page 16 to read about factors you should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107315</wp:posOffset>
            </wp:positionV>
            <wp:extent cx="19888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40" w:lineRule="exact"/>
        <w:rPr>
          <w:sz w:val="20"/>
          <w:szCs w:val="20"/>
          <w:color w:val="auto"/>
        </w:rPr>
      </w:pPr>
    </w:p>
    <w:p>
      <w:pPr>
        <w:ind w:right="40" w:firstLine="499"/>
        <w:spacing w:after="0" w:line="31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80010</wp:posOffset>
            </wp:positionV>
            <wp:extent cx="1988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20" w:type="dxa"/>
            <w:vAlign w:val="bottom"/>
          </w:tcPr>
          <w:p>
            <w:pPr>
              <w:spacing w:after="0"/>
              <w:rPr>
                <w:sz w:val="21"/>
                <w:szCs w:val="21"/>
                <w:color w:val="auto"/>
              </w:rPr>
            </w:pPr>
          </w:p>
        </w:tc>
        <w:tc>
          <w:tcPr>
            <w:tcW w:w="3420" w:type="dxa"/>
            <w:vAlign w:val="bottom"/>
          </w:tcPr>
          <w:p>
            <w:pPr>
              <w:jc w:val="right"/>
              <w:ind w:right="150"/>
              <w:spacing w:after="0"/>
              <w:rPr>
                <w:sz w:val="20"/>
                <w:szCs w:val="20"/>
                <w:color w:val="auto"/>
              </w:rPr>
            </w:pPr>
            <w:r>
              <w:rPr>
                <w:rFonts w:ascii="Arial" w:cs="Arial" w:eastAsia="Arial" w:hAnsi="Arial"/>
                <w:sz w:val="18"/>
                <w:szCs w:val="18"/>
                <w:color w:val="auto"/>
              </w:rPr>
              <w:t>Per Share</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Total</w:t>
            </w:r>
          </w:p>
        </w:tc>
      </w:tr>
      <w:tr>
        <w:trPr>
          <w:trHeight w:val="221"/>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Public offering price</w:t>
            </w:r>
          </w:p>
        </w:tc>
        <w:tc>
          <w:tcPr>
            <w:tcW w:w="3420" w:type="dxa"/>
            <w:vAlign w:val="bottom"/>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3420" w:type="dxa"/>
            <w:vAlign w:val="bottom"/>
          </w:tcPr>
          <w:p>
            <w:pPr>
              <w:jc w:val="right"/>
              <w:ind w:right="125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5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Proceeds, before expenses, to Athira Pharma, Inc.</w:t>
            </w:r>
          </w:p>
        </w:tc>
        <w:tc>
          <w:tcPr>
            <w:tcW w:w="3420" w:type="dxa"/>
            <w:vAlign w:val="bottom"/>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423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4" w:lineRule="exact"/>
        <w:rPr>
          <w:sz w:val="20"/>
          <w:szCs w:val="20"/>
          <w:color w:val="auto"/>
        </w:rPr>
      </w:pPr>
    </w:p>
    <w:p>
      <w:pPr>
        <w:ind w:left="420" w:hanging="412"/>
        <w:spacing w:after="0"/>
        <w:tabs>
          <w:tab w:leader="none" w:pos="42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the section titled “Underwriting” for a description of the compensation payable to the underwriters.</w:t>
      </w:r>
    </w:p>
    <w:p>
      <w:pPr>
        <w:spacing w:after="0" w:line="129" w:lineRule="exact"/>
        <w:rPr>
          <w:sz w:val="20"/>
          <w:szCs w:val="20"/>
          <w:color w:val="auto"/>
        </w:rPr>
      </w:pPr>
    </w:p>
    <w:p>
      <w:pPr>
        <w:ind w:right="140" w:firstLine="499"/>
        <w:spacing w:after="0" w:line="250" w:lineRule="auto"/>
        <w:rPr>
          <w:sz w:val="20"/>
          <w:szCs w:val="20"/>
          <w:color w:val="auto"/>
        </w:rPr>
      </w:pPr>
      <w:r>
        <w:rPr>
          <w:rFonts w:ascii="Arial" w:cs="Arial" w:eastAsia="Arial" w:hAnsi="Arial"/>
          <w:sz w:val="18"/>
          <w:szCs w:val="18"/>
          <w:color w:val="auto"/>
        </w:rPr>
        <w:t>To the extent that the underwriters sell more than 4,000,000 shares of common stock, the underwriters have an option to purchase up to an additional 600,000 shares from us at the public offering price, less the underwriting discounts and commissions.</w:t>
      </w:r>
    </w:p>
    <w:p>
      <w:pPr>
        <w:spacing w:after="0" w:line="100" w:lineRule="exact"/>
        <w:rPr>
          <w:sz w:val="20"/>
          <w:szCs w:val="20"/>
          <w:color w:val="auto"/>
        </w:rPr>
      </w:pPr>
    </w:p>
    <w:tbl>
      <w:tblPr>
        <w:tblLayout w:type="fixed"/>
        <w:tblInd w:w="500" w:type="dxa"/>
        <w:tblCellMar>
          <w:top w:w="0" w:type="dxa"/>
          <w:left w:w="0" w:type="dxa"/>
          <w:bottom w:w="0" w:type="dxa"/>
          <w:right w:w="0" w:type="dxa"/>
        </w:tblCellMar>
      </w:tblPr>
      <w:tr>
        <w:trPr>
          <w:trHeight w:val="243"/>
        </w:trPr>
        <w:tc>
          <w:tcPr>
            <w:tcW w:w="7300" w:type="dxa"/>
            <w:vAlign w:val="bottom"/>
          </w:tcPr>
          <w:p>
            <w:pPr>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74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126365</wp:posOffset>
            </wp:positionV>
            <wp:extent cx="198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3940" w:type="dxa"/>
            <w:vAlign w:val="bottom"/>
          </w:tcPr>
          <w:p>
            <w:pPr>
              <w:spacing w:after="0"/>
              <w:rPr>
                <w:sz w:val="20"/>
                <w:szCs w:val="20"/>
                <w:color w:val="auto"/>
              </w:rPr>
            </w:pPr>
            <w:r>
              <w:rPr>
                <w:rFonts w:ascii="Arial" w:cs="Arial" w:eastAsia="Arial" w:hAnsi="Arial"/>
                <w:sz w:val="28"/>
                <w:szCs w:val="28"/>
                <w:b w:val="1"/>
                <w:bCs w:val="1"/>
                <w:color w:val="auto"/>
              </w:rPr>
              <w:t>Goldman Sachs &amp; Co. LLC</w:t>
            </w:r>
          </w:p>
        </w:tc>
        <w:tc>
          <w:tcPr>
            <w:tcW w:w="2420" w:type="dxa"/>
            <w:vAlign w:val="bottom"/>
          </w:tcPr>
          <w:p>
            <w:pPr>
              <w:ind w:left="1200"/>
              <w:spacing w:after="0"/>
              <w:rPr>
                <w:sz w:val="20"/>
                <w:szCs w:val="20"/>
                <w:color w:val="auto"/>
              </w:rPr>
            </w:pPr>
            <w:r>
              <w:rPr>
                <w:rFonts w:ascii="Arial" w:cs="Arial" w:eastAsia="Arial" w:hAnsi="Arial"/>
                <w:sz w:val="28"/>
                <w:szCs w:val="28"/>
                <w:b w:val="1"/>
                <w:bCs w:val="1"/>
                <w:color w:val="auto"/>
              </w:rPr>
              <w:t>Jefferies</w:t>
            </w:r>
          </w:p>
        </w:tc>
        <w:tc>
          <w:tcPr>
            <w:tcW w:w="4900" w:type="dxa"/>
            <w:vAlign w:val="bottom"/>
          </w:tcPr>
          <w:p>
            <w:pPr>
              <w:jc w:val="right"/>
              <w:spacing w:after="0"/>
              <w:rPr>
                <w:sz w:val="20"/>
                <w:szCs w:val="20"/>
                <w:color w:val="auto"/>
              </w:rPr>
            </w:pPr>
            <w:r>
              <w:rPr>
                <w:rFonts w:ascii="Arial" w:cs="Arial" w:eastAsia="Arial" w:hAnsi="Arial"/>
                <w:sz w:val="28"/>
                <w:szCs w:val="28"/>
                <w:b w:val="1"/>
                <w:bCs w:val="1"/>
                <w:color w:val="auto"/>
              </w:rPr>
              <w:t>Stifel</w:t>
            </w:r>
          </w:p>
        </w:tc>
      </w:tr>
      <w:tr>
        <w:trPr>
          <w:trHeight w:val="624"/>
        </w:trPr>
        <w:tc>
          <w:tcPr>
            <w:tcW w:w="3940" w:type="dxa"/>
            <w:vAlign w:val="bottom"/>
          </w:tcPr>
          <w:p>
            <w:pPr>
              <w:spacing w:after="0"/>
              <w:rPr>
                <w:sz w:val="24"/>
                <w:szCs w:val="24"/>
                <w:color w:val="auto"/>
              </w:rPr>
            </w:pPr>
          </w:p>
        </w:tc>
        <w:tc>
          <w:tcPr>
            <w:tcW w:w="7320" w:type="dxa"/>
            <w:vAlign w:val="bottom"/>
            <w:gridSpan w:val="2"/>
          </w:tcPr>
          <w:p>
            <w:pPr>
              <w:jc w:val="right"/>
              <w:ind w:right="4625"/>
              <w:spacing w:after="0"/>
              <w:rPr>
                <w:sz w:val="20"/>
                <w:szCs w:val="20"/>
                <w:color w:val="auto"/>
              </w:rPr>
            </w:pPr>
            <w:r>
              <w:rPr>
                <w:rFonts w:ascii="Arial" w:cs="Arial" w:eastAsia="Arial" w:hAnsi="Arial"/>
                <w:sz w:val="25"/>
                <w:szCs w:val="25"/>
                <w:b w:val="1"/>
                <w:bCs w:val="1"/>
                <w:color w:val="auto"/>
              </w:rPr>
              <w:t>JMP Securities</w:t>
            </w:r>
          </w:p>
        </w:tc>
      </w:tr>
      <w:tr>
        <w:trPr>
          <w:trHeight w:val="558"/>
        </w:trPr>
        <w:tc>
          <w:tcPr>
            <w:tcW w:w="3940" w:type="dxa"/>
            <w:vAlign w:val="bottom"/>
          </w:tcPr>
          <w:p>
            <w:pPr>
              <w:spacing w:after="0"/>
              <w:rPr>
                <w:sz w:val="24"/>
                <w:szCs w:val="24"/>
                <w:color w:val="auto"/>
              </w:rPr>
            </w:pPr>
          </w:p>
        </w:tc>
        <w:tc>
          <w:tcPr>
            <w:tcW w:w="2420" w:type="dxa"/>
            <w:vAlign w:val="bottom"/>
          </w:tcPr>
          <w:p>
            <w:pPr>
              <w:ind w:left="380"/>
              <w:spacing w:after="0"/>
              <w:rPr>
                <w:sz w:val="20"/>
                <w:szCs w:val="20"/>
                <w:color w:val="auto"/>
              </w:rPr>
            </w:pPr>
            <w:r>
              <w:rPr>
                <w:rFonts w:ascii="Arial" w:cs="Arial" w:eastAsia="Arial" w:hAnsi="Arial"/>
                <w:sz w:val="18"/>
                <w:szCs w:val="18"/>
                <w:color w:val="auto"/>
              </w:rPr>
              <w:t>Prospectus dated</w:t>
            </w:r>
          </w:p>
        </w:tc>
        <w:tc>
          <w:tcPr>
            <w:tcW w:w="4900" w:type="dxa"/>
            <w:vAlign w:val="bottom"/>
          </w:tcPr>
          <w:p>
            <w:pPr>
              <w:jc w:val="right"/>
              <w:ind w:right="4225"/>
              <w:spacing w:after="0"/>
              <w:rPr>
                <w:sz w:val="20"/>
                <w:szCs w:val="20"/>
                <w:color w:val="auto"/>
              </w:rPr>
            </w:pPr>
            <w:r>
              <w:rPr>
                <w:rFonts w:ascii="Arial" w:cs="Arial" w:eastAsia="Arial" w:hAnsi="Arial"/>
                <w:sz w:val="18"/>
                <w:szCs w:val="18"/>
                <w:color w:val="auto"/>
              </w:rPr>
              <w:t>, 2021</w:t>
            </w:r>
          </w:p>
        </w:tc>
      </w:tr>
      <w:tr>
        <w:trPr>
          <w:trHeight w:val="611"/>
        </w:trPr>
        <w:tc>
          <w:tcPr>
            <w:tcW w:w="39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4060" w:type="dxa"/>
            <w:vAlign w:val="bottom"/>
          </w:tcPr>
          <w:p>
            <w:pPr>
              <w:spacing w:after="0"/>
              <w:rPr>
                <w:sz w:val="21"/>
                <w:szCs w:val="21"/>
                <w:color w:val="auto"/>
              </w:rPr>
            </w:pPr>
          </w:p>
        </w:tc>
        <w:tc>
          <w:tcPr>
            <w:tcW w:w="6240" w:type="dxa"/>
            <w:vAlign w:val="bottom"/>
            <w:gridSpan w:val="2"/>
          </w:tcPr>
          <w:p>
            <w:pPr>
              <w:ind w:left="60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0300" w:type="dxa"/>
            <w:vAlign w:val="bottom"/>
            <w:gridSpan w:val="3"/>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0300" w:type="dxa"/>
            <w:vAlign w:val="bottom"/>
            <w:gridSpan w:val="3"/>
            <w:vMerge w:val="continue"/>
          </w:tcPr>
          <w:p>
            <w:pPr>
              <w:spacing w:after="0"/>
              <w:rPr>
                <w:sz w:val="16"/>
                <w:szCs w:val="16"/>
                <w:color w:val="auto"/>
              </w:rPr>
            </w:pPr>
          </w:p>
        </w:tc>
        <w:tc>
          <w:tcPr>
            <w:tcW w:w="940" w:type="dxa"/>
            <w:vAlign w:val="bottom"/>
          </w:tcPr>
          <w:p>
            <w:pPr>
              <w:jc w:val="right"/>
              <w:spacing w:after="0" w:line="187"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Special Note Regarding Forward-Looking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Market, Industry and Other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Use of Proceeds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Dividend Policy</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Capitalization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Dilution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Selected Financial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Business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Management</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Executive Compensation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Certain Relationships and Related Party Transactions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Principal Stockholders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Description of Capital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Shares Eligible for Future Sale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Material U.S. Federal Income and Estate Tax Consequences for Non-U.S. Holders of Common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Underwriting</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Legal Matters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Experts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Where You Can Find Additional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6"/>
        </w:trPr>
        <w:tc>
          <w:tcPr>
            <w:tcW w:w="10300" w:type="dxa"/>
            <w:vAlign w:val="bottom"/>
            <w:gridSpan w:val="3"/>
          </w:tcPr>
          <w:p>
            <w:pPr>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Index to Financial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2"/>
        </w:trPr>
        <w:tc>
          <w:tcPr>
            <w:tcW w:w="4060" w:type="dxa"/>
            <w:vAlign w:val="bottom"/>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80" w:firstLine="468"/>
        <w:spacing w:after="0" w:line="243" w:lineRule="auto"/>
        <w:rPr>
          <w:sz w:val="20"/>
          <w:szCs w:val="20"/>
          <w:color w:val="auto"/>
        </w:rPr>
      </w:pPr>
      <w:r>
        <w:rPr>
          <w:rFonts w:ascii="Arial" w:cs="Arial" w:eastAsia="Arial" w:hAnsi="Arial"/>
          <w:sz w:val="18"/>
          <w:szCs w:val="18"/>
          <w:color w:val="auto"/>
        </w:rPr>
        <w:t>You should rely only on the information contained in this prospectus and any free writing prospectus prepared by or on behalf of us or to which we have referred you. Neither we nor any of the underwriters have authorized anyone to provide you with information that is different. This prospectus is an offer to sell only the securities offered hereby and only under circumstances and in jurisdictions where it is lawful to do so. The information contained in this prospectus is accurate only as of the date of this prospectus, regardless of the time of delivery of this prospectus or of any sale of the securities offered hereby. Our business, financial condition, results of operations and prospects may have changed since that date.</w:t>
      </w:r>
    </w:p>
    <w:p>
      <w:pPr>
        <w:spacing w:after="0" w:line="174" w:lineRule="exact"/>
        <w:rPr>
          <w:sz w:val="20"/>
          <w:szCs w:val="20"/>
          <w:color w:val="auto"/>
        </w:rPr>
      </w:pPr>
    </w:p>
    <w:p>
      <w:pPr>
        <w:ind w:right="600" w:firstLine="562"/>
        <w:spacing w:after="0" w:line="248" w:lineRule="auto"/>
        <w:rPr>
          <w:sz w:val="20"/>
          <w:szCs w:val="20"/>
          <w:color w:val="auto"/>
        </w:rPr>
      </w:pPr>
      <w:r>
        <w:rPr>
          <w:rFonts w:ascii="Arial" w:cs="Arial" w:eastAsia="Arial" w:hAnsi="Arial"/>
          <w:sz w:val="18"/>
          <w:szCs w:val="18"/>
          <w:color w:val="auto"/>
        </w:rPr>
        <w:t>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right="80" w:firstLine="576"/>
        <w:spacing w:after="0" w:line="244" w:lineRule="auto"/>
        <w:rPr>
          <w:sz w:val="20"/>
          <w:szCs w:val="20"/>
          <w:color w:val="auto"/>
        </w:rPr>
      </w:pPr>
      <w:r>
        <w:rPr>
          <w:rFonts w:ascii="Arial" w:cs="Arial" w:eastAsia="Arial" w:hAnsi="Arial"/>
          <w:sz w:val="18"/>
          <w:szCs w:val="18"/>
          <w:i w:val="1"/>
          <w:iCs w:val="1"/>
          <w:color w:val="auto"/>
        </w:rPr>
        <w:t>The following summary highlights information contained elsewhere in this prospectus. It may not contain all the information that may be important to you. You should read this entire prospectus carefully, including the sections of this prospectus titled “Risk Factors” and “Management’s Discussion and Analysis of Financial Condition and Results of Operations,” and our financial statements and related notes included elsewhere in this prospectus, before making an investment decision. In this prospectus, unless the context requires otherwise, all references to “we,” “our,” “us,” “Athira,” and the “Company” refer to Athira Pharma, Inc.</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mild-to-moderate AD with topline results expected by the end of 2022. In November 2020, we also initiated ACT-AD, a P300 Phase 2 clinical trial, in mild-to-moderate AD to better understand the overall effects of ATH-1017 on working memory processing speed and cognitive measures, with topline results expected by early 2022.</w:t>
      </w:r>
    </w:p>
    <w:p>
      <w:pPr>
        <w:spacing w:after="0" w:line="182"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increased high frequency gamma power activity with a single dose in both young healthy volunteers and elderly healthy volunteers. Gamma power also improved in AD subjects. P300 latency, a functional measure of working memory processing speed and executive function that highly correlates with cognition, was also substantially improved.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These results suggest that ATH-1017 has the potential to substantially improve synaptic connectivity and brain function in AD subjects.</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47" w:right="439" w:bottom="1440" w:gutter="0" w:footer="0" w:header="0"/>
        </w:sectPr>
      </w:pPr>
    </w:p>
    <w:bookmarkStart w:id="4" w:name="page5"/>
    <w:bookmarkEnd w:id="4"/>
    <w:p>
      <w:pPr>
        <w:ind w:right="80" w:firstLine="547"/>
        <w:spacing w:after="0" w:line="24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2710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4271010"/>
                    </a:xfrm>
                    <a:prstGeom prst="rect">
                      <a:avLst/>
                    </a:prstGeom>
                    <a:noFill/>
                  </pic:spPr>
                </pic:pic>
              </a:graphicData>
            </a:graphic>
          </wp:anchor>
        </w:drawing>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HGF/MET growth factor in the brain will lead to increased synaptic density, network recovery, and information transmission in the brain, which could ultimately result in cognitive improvement and clinical benefit.</w:t>
      </w:r>
    </w:p>
    <w:p>
      <w:pPr>
        <w:spacing w:after="0" w:line="179" w:lineRule="exact"/>
        <w:rPr>
          <w:sz w:val="20"/>
          <w:szCs w:val="20"/>
          <w:color w:val="auto"/>
        </w:rPr>
      </w:pPr>
    </w:p>
    <w:p>
      <w:pPr>
        <w:ind w:right="80" w:firstLine="553"/>
        <w:spacing w:after="0"/>
        <w:rPr>
          <w:sz w:val="20"/>
          <w:szCs w:val="20"/>
          <w:color w:val="auto"/>
        </w:rPr>
      </w:pPr>
      <w:r>
        <w:rPr>
          <w:rFonts w:ascii="Arial" w:cs="Arial" w:eastAsia="Arial" w:hAnsi="Arial"/>
          <w:sz w:val="18"/>
          <w:szCs w:val="18"/>
          <w:color w:val="auto"/>
        </w:rPr>
        <w:t>We are pioneering the use of small molecules that are designed to promote the hepatocyte growth factor/MET, or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180" w:lineRule="exact"/>
        <w:rPr>
          <w:sz w:val="20"/>
          <w:szCs w:val="20"/>
          <w:color w:val="auto"/>
        </w:rPr>
      </w:pPr>
    </w:p>
    <w:p>
      <w:pPr>
        <w:ind w:firstLine="553"/>
        <w:spacing w:after="0" w:line="206" w:lineRule="exact"/>
        <w:rPr>
          <w:sz w:val="20"/>
          <w:szCs w:val="20"/>
          <w:color w:val="auto"/>
        </w:rPr>
      </w:pPr>
      <w:r>
        <w:rPr>
          <w:rFonts w:ascii="Arial" w:cs="Arial" w:eastAsia="Arial" w:hAnsi="Arial"/>
          <w:sz w:val="18"/>
          <w:szCs w:val="18"/>
          <w:color w:val="auto"/>
        </w:rPr>
        <w:t>It is our goal to establish in current and future clinical trials that our ATH platform, which is designed to enhance the body’s repair mechanism of HGF/MET, can potentially address a wide range of clinical applications ranging from CNS disorders, such as AD, Parkinson’s disease dementia, or PDD, multiple sclerosis, or MS, and amyotrophic lateral sclerosis, or ALS, to more peripheral conditions such as neuropathy. In addition, we believe that HGF/MET biology plays a role in neuropsychiatric indications such as depression and anxiety. We are planning to initiate a Phase 2 clinical trial for ATH-1017 for the treatment of PDD by the end of 2021. Currently we have several preclinical candidates for non-AD indications, including ATH-1018, which is being developed to address peripheral indications, and ATH-1019 / ATH</w:t>
      </w:r>
      <w:r>
        <w:rPr>
          <w:rFonts w:ascii="MS PGothic" w:cs="MS PGothic" w:eastAsia="MS PGothic" w:hAnsi="MS PGothic"/>
          <w:sz w:val="18"/>
          <w:szCs w:val="18"/>
          <w:color w:val="auto"/>
        </w:rPr>
        <w:t>‑</w:t>
      </w:r>
      <w:r>
        <w:rPr>
          <w:rFonts w:ascii="Arial" w:cs="Arial" w:eastAsia="Arial" w:hAnsi="Arial"/>
          <w:sz w:val="18"/>
          <w:szCs w:val="18"/>
          <w:color w:val="auto"/>
        </w:rPr>
        <w:t>1020 compounds, which are being advanced to address neuropsychiatric indications. ATH</w:t>
      </w:r>
      <w:r>
        <w:rPr>
          <w:rFonts w:ascii="MS PGothic" w:cs="MS PGothic" w:eastAsia="MS PGothic" w:hAnsi="MS PGothic"/>
          <w:sz w:val="18"/>
          <w:szCs w:val="18"/>
          <w:color w:val="auto"/>
        </w:rPr>
        <w:t>‑</w:t>
      </w:r>
      <w:r>
        <w:rPr>
          <w:rFonts w:ascii="Arial" w:cs="Arial" w:eastAsia="Arial" w:hAnsi="Arial"/>
          <w:sz w:val="18"/>
          <w:szCs w:val="18"/>
          <w:color w:val="auto"/>
        </w:rPr>
        <w:t>1020 is a new compound that recently moved from the discovery to the development stage. Similar to ATH</w:t>
      </w:r>
      <w:r>
        <w:rPr>
          <w:rFonts w:ascii="MS PGothic" w:cs="MS PGothic" w:eastAsia="MS PGothic" w:hAnsi="MS PGothic"/>
          <w:sz w:val="18"/>
          <w:szCs w:val="18"/>
          <w:color w:val="auto"/>
        </w:rPr>
        <w:t>‑</w:t>
      </w:r>
      <w:r>
        <w:rPr>
          <w:rFonts w:ascii="Arial" w:cs="Arial" w:eastAsia="Arial" w:hAnsi="Arial"/>
          <w:sz w:val="18"/>
          <w:szCs w:val="18"/>
          <w:color w:val="auto"/>
        </w:rPr>
        <w:t>1019, it is designed to activate HGF/MET and is neuroactive in animal models. Late-stage non-clinical development work and potentially early clinical studies will support decisions on selection of the lead product candidate and indication moving forward. Our ATH platform allows us the flexibility to engineer compounds that are BBB-penetrating or that generate specific activity in the periphery and molecules for subcutaneous or oral route of administration.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765" w:right="5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543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6543040"/>
                    </a:xfrm>
                    <a:prstGeom prst="rect">
                      <a:avLst/>
                    </a:prstGeom>
                    <a:noFill/>
                  </pic:spPr>
                </pic:pic>
              </a:graphicData>
            </a:graphic>
          </wp:anchor>
        </w:drawing>
        <w:t>Our Pipeline and ATH Platform</w:t>
      </w:r>
    </w:p>
    <w:p>
      <w:pPr>
        <w:spacing w:after="0" w:line="106" w:lineRule="exact"/>
        <w:rPr>
          <w:sz w:val="20"/>
          <w:szCs w:val="20"/>
          <w:color w:val="auto"/>
        </w:rPr>
      </w:pPr>
    </w:p>
    <w:p>
      <w:pPr>
        <w:ind w:right="320" w:firstLine="553"/>
        <w:spacing w:after="0" w:line="248" w:lineRule="auto"/>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 w:hanging="458"/>
        <w:spacing w:after="0"/>
        <w:tabs>
          <w:tab w:leader="none" w:pos="4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RoA: route of administration; SC: subcutaneous; PO: oral.</w:t>
      </w:r>
    </w:p>
    <w:p>
      <w:pPr>
        <w:spacing w:after="0" w:line="26" w:lineRule="exact"/>
        <w:rPr>
          <w:rFonts w:ascii="Arial" w:cs="Arial" w:eastAsia="Arial" w:hAnsi="Arial"/>
          <w:sz w:val="24"/>
          <w:szCs w:val="24"/>
          <w:color w:val="auto"/>
          <w:vertAlign w:val="superscript"/>
        </w:rPr>
      </w:pPr>
    </w:p>
    <w:p>
      <w:pPr>
        <w:ind w:left="460" w:hanging="458"/>
        <w:spacing w:after="0" w:line="183" w:lineRule="auto"/>
        <w:tabs>
          <w:tab w:leader="none" w:pos="46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ATH-1017 for AD is moving from Phase 1b to a Phase 2/3 clinical trial that may provide pivotal data in support of registration based on discussions with FDA.</w:t>
      </w:r>
    </w:p>
    <w:p>
      <w:pPr>
        <w:spacing w:after="0" w:line="27" w:lineRule="exact"/>
        <w:rPr>
          <w:rFonts w:ascii="Arial" w:cs="Arial" w:eastAsia="Arial" w:hAnsi="Arial"/>
          <w:sz w:val="20"/>
          <w:szCs w:val="20"/>
          <w:color w:val="auto"/>
          <w:vertAlign w:val="superscript"/>
        </w:rPr>
      </w:pPr>
    </w:p>
    <w:p>
      <w:pPr>
        <w:ind w:left="460" w:right="140" w:hanging="458"/>
        <w:spacing w:after="0" w:line="200" w:lineRule="auto"/>
        <w:tabs>
          <w:tab w:leader="none" w:pos="4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176"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56" w:lineRule="exact"/>
        <w:rPr>
          <w:sz w:val="20"/>
          <w:szCs w:val="20"/>
          <w:color w:val="auto"/>
        </w:rPr>
      </w:pPr>
    </w:p>
    <w:p>
      <w:pPr>
        <w:ind w:left="780" w:hanging="238"/>
        <w:spacing w:after="0"/>
        <w:tabs>
          <w:tab w:leader="none" w:pos="7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small molecule focus;</w:t>
      </w:r>
    </w:p>
    <w:p>
      <w:pPr>
        <w:spacing w:after="0" w:line="116" w:lineRule="exact"/>
        <w:rPr>
          <w:rFonts w:ascii="Times New Roman" w:cs="Times New Roman" w:eastAsia="Times New Roman" w:hAnsi="Times New Roman"/>
          <w:sz w:val="18"/>
          <w:szCs w:val="18"/>
          <w:color w:val="auto"/>
        </w:rPr>
      </w:pPr>
    </w:p>
    <w:p>
      <w:pPr>
        <w:ind w:left="780" w:hanging="238"/>
        <w:spacing w:after="0"/>
        <w:tabs>
          <w:tab w:leader="none" w:pos="7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efficient and scalable manufacturing process; and</w:t>
      </w:r>
    </w:p>
    <w:p>
      <w:pPr>
        <w:spacing w:after="0" w:line="116" w:lineRule="exact"/>
        <w:rPr>
          <w:rFonts w:ascii="Times New Roman" w:cs="Times New Roman" w:eastAsia="Times New Roman" w:hAnsi="Times New Roman"/>
          <w:sz w:val="18"/>
          <w:szCs w:val="18"/>
          <w:color w:val="auto"/>
        </w:rPr>
      </w:pPr>
    </w:p>
    <w:p>
      <w:pPr>
        <w:ind w:left="780" w:hanging="238"/>
        <w:spacing w:after="0"/>
        <w:tabs>
          <w:tab w:leader="none" w:pos="7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avoids alteration of target system regulation.</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560" w:top="871" w:right="5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571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4571365"/>
                    </a:xfrm>
                    <a:prstGeom prst="rect">
                      <a:avLst/>
                    </a:prstGeom>
                    <a:noFill/>
                  </pic:spPr>
                </pic:pic>
              </a:graphicData>
            </a:graphic>
          </wp:anchor>
        </w:drawing>
        <w:t>ATH-1017 for the Potential Treatment of AD</w:t>
      </w:r>
    </w:p>
    <w:p>
      <w:pPr>
        <w:spacing w:after="0" w:line="106" w:lineRule="exact"/>
        <w:rPr>
          <w:sz w:val="20"/>
          <w:szCs w:val="20"/>
          <w:color w:val="auto"/>
        </w:rPr>
      </w:pPr>
    </w:p>
    <w:p>
      <w:pPr>
        <w:ind w:right="40" w:firstLine="553"/>
        <w:spacing w:after="0" w:line="248"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w:t>
      </w:r>
    </w:p>
    <w:p>
      <w:pPr>
        <w:spacing w:after="0" w:line="62" w:lineRule="exact"/>
        <w:rPr>
          <w:sz w:val="20"/>
          <w:szCs w:val="20"/>
          <w:color w:val="auto"/>
        </w:rPr>
      </w:pPr>
    </w:p>
    <w:p>
      <w:pPr>
        <w:ind w:left="780" w:right="20" w:hanging="238"/>
        <w:spacing w:after="0" w:line="275" w:lineRule="auto"/>
        <w:tabs>
          <w:tab w:leader="none" w:pos="7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was well tolerated with no serious adverse events across 88 subjects recruited in the study, including 11 subjects with mild-to-moderate AD, who were assigned to treatment and control groups;</w:t>
      </w:r>
    </w:p>
    <w:p>
      <w:pPr>
        <w:spacing w:after="0" w:line="37" w:lineRule="exact"/>
        <w:rPr>
          <w:rFonts w:ascii="Times New Roman" w:cs="Times New Roman" w:eastAsia="Times New Roman" w:hAnsi="Times New Roman"/>
          <w:sz w:val="18"/>
          <w:szCs w:val="18"/>
          <w:color w:val="auto"/>
        </w:rPr>
      </w:pPr>
    </w:p>
    <w:p>
      <w:pPr>
        <w:ind w:left="780" w:hanging="238"/>
        <w:spacing w:after="0"/>
        <w:tabs>
          <w:tab w:leader="none" w:pos="7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led to improvements in brain network activity that indicated potentially positive effects on brain function; and</w:t>
      </w:r>
    </w:p>
    <w:p>
      <w:pPr>
        <w:spacing w:after="0" w:line="116" w:lineRule="exact"/>
        <w:rPr>
          <w:rFonts w:ascii="Times New Roman" w:cs="Times New Roman" w:eastAsia="Times New Roman" w:hAnsi="Times New Roman"/>
          <w:sz w:val="18"/>
          <w:szCs w:val="18"/>
          <w:color w:val="auto"/>
        </w:rPr>
      </w:pPr>
    </w:p>
    <w:p>
      <w:pPr>
        <w:ind w:left="780" w:right="40" w:hanging="238"/>
        <w:spacing w:after="0" w:line="255" w:lineRule="auto"/>
        <w:tabs>
          <w:tab w:leader="none" w:pos="7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demonstrated significant improvement in P300 latency, a functional measure that is highly correlated with cognition, in the AD subjects with multiple dosing; however, we have not yet established a connection between these P300 latency results and improved cognition.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from Our Phase 1b Clinical Trial</w:t>
      </w:r>
    </w:p>
    <w:p>
      <w:pPr>
        <w:spacing w:after="0" w:line="104" w:lineRule="exact"/>
        <w:rPr>
          <w:sz w:val="20"/>
          <w:szCs w:val="20"/>
          <w:color w:val="auto"/>
        </w:rPr>
      </w:pPr>
    </w:p>
    <w:p>
      <w:pPr>
        <w:ind w:firstLine="553"/>
        <w:spacing w:after="0" w:line="253" w:lineRule="auto"/>
        <w:rPr>
          <w:sz w:val="20"/>
          <w:szCs w:val="20"/>
          <w:color w:val="auto"/>
        </w:rPr>
      </w:pPr>
      <w:r>
        <w:rPr>
          <w:rFonts w:ascii="Arial" w:cs="Arial" w:eastAsia="Arial" w:hAnsi="Arial"/>
          <w:sz w:val="17"/>
          <w:szCs w:val="17"/>
          <w:color w:val="auto"/>
        </w:rPr>
        <w:t>In our Phase 1b clinical trial, event-related potential, or ERP, P300 recordings were collected from the multiple ascending dose, or MAD, healthy elderly and AD subjects. Analysis of these P300 data demonstrated that one daily dose of ATH-1017 improved P300 latency over an 8-day dosing period in AD subjects, as shown in the figures below. P300 latency, a functional measure of working memory processing speed and executive function that highly correlates with cognition, was dramatically improved; however, we have not yet established a connection between these P300 latency results and improved cognition.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We also observed sustained effects on P300 latency in the pre-dose recordings on subsequent testing days (the arrows in the figure below show the average P300 latency value from the ATH-1017 group as a heat map). At these time points, which are 24 hours after the last dose, ATH-1017 was measured and shown to be completely cleared from the plasma, while recorded P300 latency values remained lower than baseline. These data indicate ATH-1017 treatment potentially recovered disruptions to brain function and network connectivity, which we believe are likely through several components of the mechanism, including NMDA receptor modulation, increased connectivity through recovery of synaptic density, and overall improvement in neuronal health and function.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1195" w:right="579" w:bottom="1440" w:gutter="0" w:footer="0" w:header="0"/>
        </w:sectPr>
      </w:pPr>
    </w:p>
    <w:bookmarkStart w:id="7" w:name="page8"/>
    <w:bookmarkEnd w:id="7"/>
    <w:p>
      <w:pPr>
        <w:ind w:right="200" w:firstLine="553"/>
        <w:spacing w:after="0" w:line="27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717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7717155"/>
                    </a:xfrm>
                    <a:prstGeom prst="rect">
                      <a:avLst/>
                    </a:prstGeom>
                    <a:noFill/>
                  </pic:spPr>
                </pic:pic>
              </a:graphicData>
            </a:graphic>
          </wp:anchor>
        </w:drawing>
        <w:t xml:space="preserve">ATH-1017 Treatment Led to Continued and Sustained Improvement in P300 Latency in AD Subjects. </w:t>
      </w:r>
      <w:r>
        <w:rPr>
          <w:rFonts w:ascii="Arial" w:cs="Arial" w:eastAsia="Arial" w:hAnsi="Arial"/>
          <w:sz w:val="18"/>
          <w:szCs w:val="18"/>
          <w:color w:val="auto"/>
        </w:rPr>
        <w:t>The arrows highlight the</w:t>
      </w:r>
      <w:r>
        <w:rPr>
          <w:rFonts w:ascii="Arial" w:cs="Arial" w:eastAsia="Arial" w:hAnsi="Arial"/>
          <w:sz w:val="18"/>
          <w:szCs w:val="18"/>
          <w:i w:val="1"/>
          <w:iCs w:val="1"/>
          <w:color w:val="auto"/>
        </w:rPr>
        <w:t xml:space="preserve"> </w:t>
      </w:r>
      <w:r>
        <w:rPr>
          <w:rFonts w:ascii="Arial" w:cs="Arial" w:eastAsia="Arial" w:hAnsi="Arial"/>
          <w:sz w:val="18"/>
          <w:szCs w:val="18"/>
          <w:color w:val="auto"/>
        </w:rPr>
        <w:t>sustained P300 latency benefit due to ATH-1017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553"/>
        <w:spacing w:after="0" w:line="254" w:lineRule="auto"/>
        <w:rPr>
          <w:sz w:val="20"/>
          <w:szCs w:val="20"/>
          <w:color w:val="auto"/>
        </w:rPr>
      </w:pPr>
      <w:r>
        <w:rPr>
          <w:rFonts w:ascii="Arial" w:cs="Arial" w:eastAsia="Arial" w:hAnsi="Arial"/>
          <w:sz w:val="18"/>
          <w:szCs w:val="18"/>
          <w:i w:val="1"/>
          <w:iCs w:val="1"/>
          <w:color w:val="auto"/>
        </w:rPr>
        <w:t xml:space="preserve">Quantification of the Change in P300 Latency from Baseline, ATH-1017 Significantly Reduced P300 Latency Compared to the Placebo Group on Day 8 Recordings. </w:t>
      </w:r>
      <w:r>
        <w:rPr>
          <w:rFonts w:ascii="Arial" w:cs="Arial" w:eastAsia="Arial" w:hAnsi="Arial"/>
          <w:sz w:val="18"/>
          <w:szCs w:val="18"/>
          <w:color w:val="auto"/>
        </w:rPr>
        <w:t>Data show the average of P300 latency values of 7 AD subjects treated with ATH-1017 vs. 4 AD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subjects on placebo * p≤0.05.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LIFT-AD Trial: A 26-Week Phase 2/3 Clinical Trial in Mild-to-Moderate AD Subjects</w:t>
      </w:r>
    </w:p>
    <w:p>
      <w:pPr>
        <w:spacing w:after="0" w:line="102" w:lineRule="exact"/>
        <w:rPr>
          <w:sz w:val="20"/>
          <w:szCs w:val="20"/>
          <w:color w:val="auto"/>
        </w:rPr>
      </w:pPr>
    </w:p>
    <w:p>
      <w:pPr>
        <w:ind w:firstLine="553"/>
        <w:spacing w:after="0" w:line="248" w:lineRule="auto"/>
        <w:rPr>
          <w:sz w:val="20"/>
          <w:szCs w:val="20"/>
          <w:color w:val="auto"/>
        </w:rPr>
      </w:pPr>
      <w:r>
        <w:rPr>
          <w:rFonts w:ascii="Arial" w:cs="Arial" w:eastAsia="Arial" w:hAnsi="Arial"/>
          <w:sz w:val="18"/>
          <w:szCs w:val="18"/>
          <w:color w:val="auto"/>
        </w:rPr>
        <w:t>Based on the safety and translational Phase 1a and Phase 1b clinical trial results, including AD subjects, we have initiated LIFT-AD, a Phase 2/3 randomized, double-blind, placebo-controlled clinical trial. This clinical trial is designed to assess the efficacy, safety, and tolerability of two dose levels of ATH-1017 (low and high) in subjects with mild-to-moderate AD compared to placebo. The clinical trial is intended to enroll approximately 240 to 300 AD subjects. In September 2020, we began site initiation and</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20"/>
          </w:cols>
          <w:pgMar w:left="560" w:top="765" w:right="619" w:bottom="1440" w:gutter="0" w:footer="0" w:header="0"/>
        </w:sectPr>
      </w:pPr>
    </w:p>
    <w:bookmarkStart w:id="8" w:name="page9"/>
    <w:bookmarkEnd w:id="8"/>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7913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6791325"/>
                    </a:xfrm>
                    <a:prstGeom prst="rect">
                      <a:avLst/>
                    </a:prstGeom>
                    <a:noFill/>
                  </pic:spPr>
                </pic:pic>
              </a:graphicData>
            </a:graphic>
          </wp:anchor>
        </w:drawing>
        <w:t>patient screening for the LIFT-AD trial and anticipate topline results by the end of 2022. These topline results may provide pivotal data in support of registration, but the FDA or other regulators may still require additional trials even if results from the LIFT-AD trial are positive.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ACT-AD P300 Trial: A 26-Week Phase 2 Clinical Trial in Mild-to-Moderate AD Subjects</w:t>
      </w:r>
    </w:p>
    <w:p>
      <w:pPr>
        <w:spacing w:after="0" w:line="102" w:lineRule="exact"/>
        <w:rPr>
          <w:sz w:val="20"/>
          <w:szCs w:val="20"/>
          <w:color w:val="auto"/>
        </w:rPr>
      </w:pPr>
    </w:p>
    <w:p>
      <w:pPr>
        <w:ind w:right="180" w:firstLine="553"/>
        <w:spacing w:after="0" w:line="245" w:lineRule="auto"/>
        <w:rPr>
          <w:sz w:val="20"/>
          <w:szCs w:val="20"/>
          <w:color w:val="auto"/>
        </w:rPr>
      </w:pPr>
      <w:r>
        <w:rPr>
          <w:rFonts w:ascii="Arial" w:cs="Arial" w:eastAsia="Arial" w:hAnsi="Arial"/>
          <w:sz w:val="18"/>
          <w:szCs w:val="18"/>
          <w:color w:val="auto"/>
        </w:rPr>
        <w:t>In addition to LIFT-AD, in November 2020 we initiated ACT-AD, a randomized, placebo-controlled clinical trial designed to test the same dose levels of ATH-1017 (low and high) in subjects with mild-to-moderate AD compared to placebo. We intend to enroll approximately 60 to 75 mild-to-moderate AD subjects. The ACT-AD P300 Phase 2 clinical trial in mild-to-moderate AD is intended to better understand the overall effects of ATH-1017 on working memory processing speed and cognitive measures, with topline results expected by early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6" w:lineRule="exact"/>
        <w:rPr>
          <w:sz w:val="20"/>
          <w:szCs w:val="20"/>
          <w:color w:val="auto"/>
        </w:rPr>
      </w:pPr>
    </w:p>
    <w:p>
      <w:pPr>
        <w:ind w:right="240" w:firstLine="553"/>
        <w:spacing w:after="0" w:line="276"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37" w:lineRule="exact"/>
        <w:rPr>
          <w:sz w:val="20"/>
          <w:szCs w:val="20"/>
          <w:color w:val="auto"/>
        </w:rPr>
      </w:pPr>
    </w:p>
    <w:p>
      <w:pPr>
        <w:ind w:left="780" w:hanging="238"/>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advance ATH-1017 through clinical development for AD;</w:t>
      </w:r>
    </w:p>
    <w:p>
      <w:pPr>
        <w:spacing w:after="0" w:line="116" w:lineRule="exact"/>
        <w:rPr>
          <w:rFonts w:ascii="Times New Roman" w:cs="Times New Roman" w:eastAsia="Times New Roman" w:hAnsi="Times New Roman"/>
          <w:sz w:val="18"/>
          <w:szCs w:val="18"/>
          <w:color w:val="auto"/>
        </w:rPr>
      </w:pPr>
    </w:p>
    <w:p>
      <w:pPr>
        <w:ind w:left="780" w:hanging="238"/>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development of ATH-1017 to include additional indications and delivery methods;</w:t>
      </w:r>
    </w:p>
    <w:p>
      <w:pPr>
        <w:spacing w:after="0" w:line="116" w:lineRule="exact"/>
        <w:rPr>
          <w:rFonts w:ascii="Times New Roman" w:cs="Times New Roman" w:eastAsia="Times New Roman" w:hAnsi="Times New Roman"/>
          <w:sz w:val="18"/>
          <w:szCs w:val="18"/>
          <w:color w:val="auto"/>
        </w:rPr>
      </w:pPr>
    </w:p>
    <w:p>
      <w:pPr>
        <w:ind w:left="780" w:hanging="238"/>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focus on translational and functional endpoints to efficiently develop product candidates;</w:t>
      </w:r>
    </w:p>
    <w:p>
      <w:pPr>
        <w:spacing w:after="0" w:line="116" w:lineRule="exact"/>
        <w:rPr>
          <w:rFonts w:ascii="Times New Roman" w:cs="Times New Roman" w:eastAsia="Times New Roman" w:hAnsi="Times New Roman"/>
          <w:sz w:val="18"/>
          <w:szCs w:val="18"/>
          <w:color w:val="auto"/>
        </w:rPr>
      </w:pPr>
    </w:p>
    <w:p>
      <w:pPr>
        <w:ind w:left="780" w:hanging="238"/>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continue developing additional pipeline programs and utilize our ATH platform for further drug discovery; and</w:t>
      </w:r>
    </w:p>
    <w:p>
      <w:pPr>
        <w:spacing w:after="0" w:line="116" w:lineRule="exact"/>
        <w:rPr>
          <w:rFonts w:ascii="Times New Roman" w:cs="Times New Roman" w:eastAsia="Times New Roman" w:hAnsi="Times New Roman"/>
          <w:sz w:val="18"/>
          <w:szCs w:val="18"/>
          <w:color w:val="auto"/>
        </w:rPr>
      </w:pPr>
    </w:p>
    <w:p>
      <w:pPr>
        <w:ind w:left="780" w:hanging="238"/>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optimize the value of ATH-1017 and other candidates in major markets.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Scientific Data Support HGF/MET’s Role in Maintaining Neuronal Health and Function</w:t>
      </w:r>
    </w:p>
    <w:p>
      <w:pPr>
        <w:spacing w:after="0" w:line="106" w:lineRule="exact"/>
        <w:rPr>
          <w:sz w:val="20"/>
          <w:szCs w:val="20"/>
          <w:color w:val="auto"/>
        </w:rPr>
      </w:pPr>
    </w:p>
    <w:p>
      <w:pPr>
        <w:ind w:right="120" w:firstLine="553"/>
        <w:spacing w:after="0" w:line="255"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Promoting the HGF/MET system has been shown to have multiple beneficial downstream effects that are relevant to AD:</w:t>
      </w:r>
    </w:p>
    <w:p>
      <w:pPr>
        <w:spacing w:after="0" w:line="56" w:lineRule="exact"/>
        <w:rPr>
          <w:sz w:val="20"/>
          <w:szCs w:val="20"/>
          <w:color w:val="auto"/>
        </w:rPr>
      </w:pPr>
    </w:p>
    <w:p>
      <w:pPr>
        <w:ind w:left="780" w:hanging="238"/>
        <w:spacing w:after="0"/>
        <w:tabs>
          <w:tab w:leader="none" w:pos="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116" w:lineRule="exact"/>
        <w:rPr>
          <w:rFonts w:ascii="Times New Roman" w:cs="Times New Roman" w:eastAsia="Times New Roman" w:hAnsi="Times New Roman"/>
          <w:sz w:val="18"/>
          <w:szCs w:val="18"/>
          <w:color w:val="auto"/>
        </w:rPr>
      </w:pPr>
    </w:p>
    <w:p>
      <w:pPr>
        <w:ind w:left="780" w:right="120" w:hanging="238"/>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37" w:lineRule="exact"/>
        <w:rPr>
          <w:rFonts w:ascii="Times New Roman" w:cs="Times New Roman" w:eastAsia="Times New Roman" w:hAnsi="Times New Roman"/>
          <w:sz w:val="18"/>
          <w:szCs w:val="18"/>
          <w:color w:val="auto"/>
        </w:rPr>
      </w:pPr>
    </w:p>
    <w:p>
      <w:pPr>
        <w:ind w:left="780" w:right="20" w:hanging="238"/>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146" w:lineRule="exact"/>
        <w:rPr>
          <w:sz w:val="20"/>
          <w:szCs w:val="20"/>
          <w:color w:val="auto"/>
        </w:rPr>
      </w:pPr>
    </w:p>
    <w:p>
      <w:pPr>
        <w:ind w:firstLine="553"/>
        <w:spacing w:after="0" w:line="248"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Notably, promotion of the HGF/MET system improved memory in AD and PDD models and improvement in neuronal survival was reported in various disease models including MS and ALS. These studies support the HGF/MET system as a therapeutic target in a diverse array of nervous system disorders.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06" w:lineRule="exact"/>
        <w:rPr>
          <w:sz w:val="20"/>
          <w:szCs w:val="20"/>
          <w:color w:val="auto"/>
        </w:rPr>
      </w:pPr>
    </w:p>
    <w:p>
      <w:pPr>
        <w:ind w:right="120" w:firstLine="553"/>
        <w:spacing w:after="0" w:line="248"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20"/>
          </w:cols>
          <w:pgMar w:left="560" w:top="657" w:right="619" w:bottom="1440" w:gutter="0" w:footer="0" w:header="0"/>
        </w:sectPr>
      </w:pPr>
    </w:p>
    <w:bookmarkStart w:id="9" w:name="page10"/>
    <w:bookmarkEnd w:id="9"/>
    <w:p>
      <w:pPr>
        <w:ind w:right="26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517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6517005"/>
                    </a:xfrm>
                    <a:prstGeom prst="rect">
                      <a:avLst/>
                    </a:prstGeom>
                    <a:noFill/>
                  </pic:spPr>
                </pic:pic>
              </a:graphicData>
            </a:graphic>
          </wp:anchor>
        </w:drawing>
        <w:t>urgent need for new and novel approaches to address most neuronal disorders including progressive and severe conditions such as AD, PDD, MS, and others.</w:t>
      </w:r>
    </w:p>
    <w:p>
      <w:pPr>
        <w:spacing w:after="0" w:line="145" w:lineRule="exact"/>
        <w:rPr>
          <w:sz w:val="20"/>
          <w:szCs w:val="20"/>
          <w:color w:val="auto"/>
        </w:rPr>
      </w:pPr>
    </w:p>
    <w:p>
      <w:pPr>
        <w:ind w:right="40" w:firstLine="553"/>
        <w:spacing w:after="0" w:line="241"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and hence can lead to variability of treatment outcomes and longer clinical development timelines.</w:t>
      </w:r>
    </w:p>
    <w:p>
      <w:pPr>
        <w:spacing w:after="0" w:line="179" w:lineRule="exact"/>
        <w:rPr>
          <w:sz w:val="20"/>
          <w:szCs w:val="20"/>
          <w:color w:val="auto"/>
        </w:rPr>
      </w:pPr>
    </w:p>
    <w:p>
      <w:pPr>
        <w:ind w:right="20" w:firstLine="553"/>
        <w:spacing w:after="0" w:line="245" w:lineRule="auto"/>
        <w:rPr>
          <w:sz w:val="20"/>
          <w:szCs w:val="20"/>
          <w:color w:val="auto"/>
        </w:rPr>
      </w:pPr>
      <w:r>
        <w:rPr>
          <w:rFonts w:ascii="Arial" w:cs="Arial" w:eastAsia="Arial" w:hAnsi="Arial"/>
          <w:sz w:val="18"/>
          <w:szCs w:val="18"/>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Traditionally, AD testing in clinical trials has relied heavily on imaging techniques to assess changes in amyloid PET scans over several years, creating enormous costs and elongated timelines for the development process while not showing any direct correlation to cognitive functional improvement.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Differentiated Approach</w:t>
      </w:r>
    </w:p>
    <w:p>
      <w:pPr>
        <w:spacing w:after="0" w:line="106" w:lineRule="exact"/>
        <w:rPr>
          <w:sz w:val="20"/>
          <w:szCs w:val="20"/>
          <w:color w:val="auto"/>
        </w:rPr>
      </w:pPr>
    </w:p>
    <w:p>
      <w:pPr>
        <w:ind w:right="160" w:firstLine="553"/>
        <w:spacing w:after="0" w:line="277" w:lineRule="auto"/>
        <w:rPr>
          <w:sz w:val="20"/>
          <w:szCs w:val="20"/>
          <w:color w:val="auto"/>
        </w:rPr>
      </w:pPr>
      <w:r>
        <w:rPr>
          <w:rFonts w:ascii="Arial" w:cs="Arial" w:eastAsia="Arial" w:hAnsi="Arial"/>
          <w:sz w:val="17"/>
          <w:szCs w:val="17"/>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39" w:lineRule="exact"/>
        <w:rPr>
          <w:sz w:val="20"/>
          <w:szCs w:val="20"/>
          <w:color w:val="auto"/>
        </w:rPr>
      </w:pPr>
    </w:p>
    <w:p>
      <w:pPr>
        <w:ind w:left="780" w:right="60" w:hanging="238"/>
        <w:spacing w:after="0" w:line="248" w:lineRule="auto"/>
        <w:tabs>
          <w:tab w:leader="none" w:pos="7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 to a rapid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61" w:lineRule="exact"/>
        <w:rPr>
          <w:rFonts w:ascii="Times New Roman" w:cs="Times New Roman" w:eastAsia="Times New Roman" w:hAnsi="Times New Roman"/>
          <w:sz w:val="18"/>
          <w:szCs w:val="18"/>
          <w:color w:val="auto"/>
        </w:rPr>
      </w:pPr>
    </w:p>
    <w:p>
      <w:pPr>
        <w:ind w:left="780" w:right="20" w:hanging="238"/>
        <w:spacing w:after="0" w:line="255" w:lineRule="auto"/>
        <w:tabs>
          <w:tab w:leader="none" w:pos="7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 activate brain systems that</w:t>
      </w:r>
      <w:r>
        <w:rPr>
          <w:rFonts w:ascii="Arial" w:cs="Arial" w:eastAsia="Arial" w:hAnsi="Arial"/>
          <w:sz w:val="18"/>
          <w:szCs w:val="18"/>
          <w:i w:val="1"/>
          <w:iCs w:val="1"/>
          <w:color w:val="auto"/>
        </w:rPr>
        <w:t xml:space="preserve"> </w:t>
      </w:r>
      <w:r>
        <w:rPr>
          <w:rFonts w:ascii="Arial" w:cs="Arial" w:eastAsia="Arial" w:hAnsi="Arial"/>
          <w:sz w:val="18"/>
          <w:szCs w:val="18"/>
          <w:color w:val="auto"/>
        </w:rPr>
        <w:t>reduce oxidative stress, which is expected to reduce damage and slow down disease progression and improve network activity. Many therapies in development are focused only on slowing disease progression.</w:t>
      </w:r>
    </w:p>
    <w:p>
      <w:pPr>
        <w:spacing w:after="0" w:line="54" w:lineRule="exact"/>
        <w:rPr>
          <w:rFonts w:ascii="Times New Roman" w:cs="Times New Roman" w:eastAsia="Times New Roman" w:hAnsi="Times New Roman"/>
          <w:sz w:val="18"/>
          <w:szCs w:val="18"/>
          <w:color w:val="auto"/>
        </w:rPr>
      </w:pPr>
    </w:p>
    <w:p>
      <w:pPr>
        <w:ind w:left="780" w:right="200" w:hanging="238"/>
        <w:spacing w:after="0" w:line="275" w:lineRule="auto"/>
        <w:tabs>
          <w:tab w:leader="none" w:pos="7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Improvement in cerebral blood flow, as well as reducing inflammation </w:t>
      </w:r>
      <w:r>
        <w:rPr>
          <w:rFonts w:ascii="Arial" w:cs="Arial" w:eastAsia="Arial" w:hAnsi="Arial"/>
          <w:sz w:val="18"/>
          <w:szCs w:val="18"/>
          <w:color w:val="auto"/>
        </w:rPr>
        <w:t>by modulating inflammatory cytokine expression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glia. Many other therapies only have a single mode of activity.</w:t>
      </w:r>
    </w:p>
    <w:p>
      <w:pPr>
        <w:spacing w:after="0" w:line="146" w:lineRule="exact"/>
        <w:rPr>
          <w:sz w:val="20"/>
          <w:szCs w:val="20"/>
          <w:color w:val="auto"/>
        </w:rPr>
      </w:pPr>
    </w:p>
    <w:p>
      <w:pPr>
        <w:ind w:right="340" w:firstLine="553"/>
        <w:spacing w:after="0" w:line="255" w:lineRule="auto"/>
        <w:rPr>
          <w:sz w:val="20"/>
          <w:szCs w:val="20"/>
          <w:color w:val="auto"/>
        </w:rPr>
      </w:pPr>
      <w:r>
        <w:rPr>
          <w:rFonts w:ascii="Arial" w:cs="Arial" w:eastAsia="Arial" w:hAnsi="Arial"/>
          <w:sz w:val="18"/>
          <w:szCs w:val="18"/>
          <w:color w:val="auto"/>
        </w:rPr>
        <w:t>It is our goal to establish in current and future clinical trials that our ATH platform can positively impact neuronal health and function, not only by slowing down disease progression, but also by improving brain network activity and function. We believe these effects could position Athira, and initially ATH-1017, to address the complex pathology in neurodegenerative diseases.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04" w:lineRule="exact"/>
        <w:rPr>
          <w:sz w:val="20"/>
          <w:szCs w:val="20"/>
          <w:color w:val="auto"/>
        </w:rPr>
      </w:pPr>
    </w:p>
    <w:p>
      <w:pPr>
        <w:ind w:firstLine="553"/>
        <w:spacing w:after="0" w:line="248"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cognitive processing and function, can result in more efficient and cost-effective clinical trials, and potentially provide an accelerated development path compared to traditional AD drug development programs.</w:t>
      </w:r>
    </w:p>
    <w:p>
      <w:pPr>
        <w:spacing w:after="0" w:line="170" w:lineRule="exact"/>
        <w:rPr>
          <w:sz w:val="20"/>
          <w:szCs w:val="20"/>
          <w:color w:val="auto"/>
        </w:rPr>
      </w:pPr>
    </w:p>
    <w:p>
      <w:pPr>
        <w:ind w:right="100" w:firstLine="553"/>
        <w:spacing w:after="0" w:line="276" w:lineRule="auto"/>
        <w:rPr>
          <w:sz w:val="20"/>
          <w:szCs w:val="20"/>
          <w:color w:val="auto"/>
        </w:rPr>
      </w:pPr>
      <w:r>
        <w:rPr>
          <w:rFonts w:ascii="Arial" w:cs="Arial" w:eastAsia="Arial" w:hAnsi="Arial"/>
          <w:sz w:val="18"/>
          <w:szCs w:val="18"/>
          <w:color w:val="auto"/>
        </w:rPr>
        <w:t>Our focused drug development approach aims to understand the potential clinical benefit of a product candidate at early stages of clinical development by utilizing EEG and ERP methods. Commonly</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657" w:right="579" w:bottom="1440" w:gutter="0" w:footer="0" w:header="0"/>
        </w:sectPr>
      </w:pPr>
    </w:p>
    <w:bookmarkStart w:id="10" w:name="page11"/>
    <w:bookmarkEnd w:id="10"/>
    <w:p>
      <w:pPr>
        <w:ind w:right="160"/>
        <w:spacing w:after="0" w:line="24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5531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5531485"/>
                    </a:xfrm>
                    <a:prstGeom prst="rect">
                      <a:avLst/>
                    </a:prstGeom>
                    <a:noFill/>
                  </pic:spPr>
                </pic:pic>
              </a:graphicData>
            </a:graphic>
          </wp:anchor>
        </w:drawing>
        <w:t>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By focusing on these direct measures of brain activity and cognitive processing, we believe we will be able to develop ATH-1017 more efficiently for treatment of AD and broader dementia.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 and Applications to Our ATH Platform</w:t>
      </w:r>
    </w:p>
    <w:p>
      <w:pPr>
        <w:spacing w:after="0" w:line="104" w:lineRule="exact"/>
        <w:rPr>
          <w:sz w:val="20"/>
          <w:szCs w:val="20"/>
          <w:color w:val="auto"/>
        </w:rPr>
      </w:pPr>
    </w:p>
    <w:p>
      <w:pPr>
        <w:ind w:right="40" w:firstLine="553"/>
        <w:spacing w:after="0" w:line="245" w:lineRule="auto"/>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the Alzheimer’s Disease Assessment Scale-Cognitive Subscale, or ADAS-cog, as shown in the table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Studies Suggest Changes in P300 Latency Have Been Predictive of Changes in 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spacing w:after="0" w:line="288" w:lineRule="auto"/>
        <w:rPr>
          <w:sz w:val="20"/>
          <w:szCs w:val="20"/>
          <w:color w:val="auto"/>
        </w:rPr>
      </w:pPr>
      <w:r>
        <w:rPr>
          <w:rFonts w:ascii="Arial" w:cs="Arial" w:eastAsia="Arial" w:hAnsi="Arial"/>
          <w:sz w:val="14"/>
          <w:szCs w:val="14"/>
          <w:i w:val="1"/>
          <w:iCs w:val="1"/>
          <w:color w:val="auto"/>
        </w:rPr>
        <w:t>Source: Results for donepezil and rivastigmine adapted from Thomas et al., 2001; results for memantine adapted from Sallach et al., 2011, and results for scopolamine adapted from Potter et al., 2000.</w:t>
      </w:r>
    </w:p>
    <w:p>
      <w:pPr>
        <w:spacing w:after="0" w:line="142" w:lineRule="exact"/>
        <w:rPr>
          <w:sz w:val="20"/>
          <w:szCs w:val="20"/>
          <w:color w:val="auto"/>
        </w:rPr>
      </w:pPr>
    </w:p>
    <w:p>
      <w:pPr>
        <w:ind w:firstLine="553"/>
        <w:spacing w:after="0" w:line="245"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the connection of these biomarkers to cognition is not clear. We sought to develop a translational strategy for ATH that was highly correlated to brain function and cognition which led us to use EEG/ERP for the clinical development of ATH-1017. Positive changes in EEG and ERP P300 latency potentially indicate a positive cognitive effect of ATH treatment, which increases our confidence that these effects may translate to clinical benefit in later-stage clinical trials.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765" w:right="5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517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6517005"/>
                    </a:xfrm>
                    <a:prstGeom prst="rect">
                      <a:avLst/>
                    </a:prstGeom>
                    <a:noFill/>
                  </pic:spPr>
                </pic:pic>
              </a:graphicData>
            </a:graphic>
          </wp:anchor>
        </w:drawing>
        <w:t>NIH Grant</w:t>
      </w:r>
    </w:p>
    <w:p>
      <w:pPr>
        <w:spacing w:after="0" w:line="106" w:lineRule="exact"/>
        <w:rPr>
          <w:sz w:val="20"/>
          <w:szCs w:val="20"/>
          <w:color w:val="auto"/>
        </w:rPr>
      </w:pPr>
    </w:p>
    <w:p>
      <w:pPr>
        <w:ind w:right="340" w:firstLine="547"/>
        <w:spacing w:after="0" w:line="248" w:lineRule="auto"/>
        <w:rPr>
          <w:sz w:val="20"/>
          <w:szCs w:val="20"/>
          <w:color w:val="auto"/>
        </w:rPr>
      </w:pPr>
      <w:r>
        <w:rPr>
          <w:rFonts w:ascii="Arial" w:cs="Arial" w:eastAsia="Arial" w:hAnsi="Arial"/>
          <w:sz w:val="18"/>
          <w:szCs w:val="18"/>
          <w:color w:val="auto"/>
        </w:rPr>
        <w:t>In December 2020, we determined that we would accept a grant from the National Institutes of Health, or NIH, to support our ACT-AD Phase 2 clinical trial for ATH-1017. Under the terms of the agreement, we may receive approximately $7.8 million with the potential for an additional $7.4 million up to an aggregate of $15.2 million. For additional information regarding this grant, see the section of this prospectus titled “Business—Our Collaboration and Grant Agreements.”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Preliminary Financial Position Information</w:t>
      </w:r>
    </w:p>
    <w:p>
      <w:pPr>
        <w:spacing w:after="0" w:line="106" w:lineRule="exact"/>
        <w:rPr>
          <w:sz w:val="20"/>
          <w:szCs w:val="20"/>
          <w:color w:val="auto"/>
        </w:rPr>
      </w:pPr>
    </w:p>
    <w:p>
      <w:pPr>
        <w:ind w:right="100" w:firstLine="547"/>
        <w:spacing w:after="0" w:line="258" w:lineRule="auto"/>
        <w:rPr>
          <w:sz w:val="20"/>
          <w:szCs w:val="20"/>
          <w:color w:val="auto"/>
        </w:rPr>
      </w:pPr>
      <w:r>
        <w:rPr>
          <w:rFonts w:ascii="Arial" w:cs="Arial" w:eastAsia="Arial" w:hAnsi="Arial"/>
          <w:sz w:val="17"/>
          <w:szCs w:val="17"/>
          <w:color w:val="auto"/>
        </w:rPr>
        <w:t>Our consolidated financial statements for the year ended December 31, 2020 are not yet available. The preliminary financial data included in this prospectus supplement has been prepared by, and is the responsibility of, management. Our independent registered public accounting firm, Ernst &amp; Young LLP, has not audited, reviewed, compiled, or applied agreed -upon procedures with respect to the preliminary financial data. Accordingly, Ernst &amp; Young LLP does not express an opinion or any other form of assurance with respect thereto. It is possible that we or Ernst &amp; Young LLP may identify items that require us to make adjustments to the financial information set forth below. We expect to complete our audited consolidated financial statements for the year ended December 31, 2020 subsequent to the completion of this offering. Accordingly, undue reliance should not be placed on this preliminary estimate.</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December 31, 2020, we had approximately $268.2 million in cash, cash equivalents and investments.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06" w:lineRule="exact"/>
        <w:rPr>
          <w:sz w:val="20"/>
          <w:szCs w:val="20"/>
          <w:color w:val="auto"/>
        </w:rPr>
      </w:pPr>
    </w:p>
    <w:p>
      <w:pPr>
        <w:ind w:right="80" w:firstLine="547"/>
        <w:spacing w:after="0" w:line="255"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These risks are described more fully in the section titled “Risk Factors” in this prospectus. The following is a summary of the principal risks we face:</w:t>
      </w:r>
    </w:p>
    <w:p>
      <w:pPr>
        <w:spacing w:after="0" w:line="15" w:lineRule="exact"/>
        <w:rPr>
          <w:sz w:val="20"/>
          <w:szCs w:val="20"/>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are a late clinical-stage biopharmaceutical company with a limited operating history.</w:t>
      </w:r>
    </w:p>
    <w:p>
      <w:pPr>
        <w:spacing w:after="0" w:line="75" w:lineRule="exact"/>
        <w:rPr>
          <w:rFonts w:ascii="Times New Roman" w:cs="Times New Roman" w:eastAsia="Times New Roman" w:hAnsi="Times New Roman"/>
          <w:sz w:val="18"/>
          <w:szCs w:val="18"/>
          <w:color w:val="auto"/>
        </w:rPr>
      </w:pPr>
    </w:p>
    <w:p>
      <w:pPr>
        <w:ind w:left="1240" w:right="480" w:hanging="415"/>
        <w:spacing w:after="0" w:line="273" w:lineRule="auto"/>
        <w:tabs>
          <w:tab w:leader="none" w:pos="12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development of ATH-1017 may never lead to a marketable product.</w:t>
      </w:r>
    </w:p>
    <w:p>
      <w:pPr>
        <w:spacing w:after="0" w:line="75" w:lineRule="exact"/>
        <w:rPr>
          <w:rFonts w:ascii="Times New Roman" w:cs="Times New Roman" w:eastAsia="Times New Roman" w:hAnsi="Times New Roman"/>
          <w:sz w:val="18"/>
          <w:szCs w:val="18"/>
          <w:color w:val="auto"/>
        </w:rPr>
      </w:pPr>
    </w:p>
    <w:p>
      <w:pPr>
        <w:ind w:left="1240" w:hanging="415"/>
        <w:spacing w:after="0" w:line="242" w:lineRule="auto"/>
        <w:tabs>
          <w:tab w:leader="none" w:pos="12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Alzheimer’s disease, and we cannot be certain that future trials will yield similar data. In addition, our use of electroencephalogram methods to gather data requires placement of electrodes on a subject’s scalp and, if not properly placed, we may be unable to obtain the data sought or data obtained may be unreliable.</w:t>
      </w:r>
    </w:p>
    <w:p>
      <w:pPr>
        <w:spacing w:after="0" w:line="29" w:lineRule="exact"/>
        <w:rPr>
          <w:rFonts w:ascii="Times New Roman" w:cs="Times New Roman" w:eastAsia="Times New Roman" w:hAnsi="Times New Roman"/>
          <w:sz w:val="18"/>
          <w:szCs w:val="18"/>
          <w:color w:val="auto"/>
        </w:rPr>
      </w:pPr>
    </w:p>
    <w:p>
      <w:pPr>
        <w:ind w:left="1240" w:right="60" w:hanging="415"/>
        <w:spacing w:after="0" w:line="273" w:lineRule="auto"/>
        <w:tabs>
          <w:tab w:leader="none" w:pos="12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have concentrated our research and development efforts on the treatment of central nervous system and peripheral degenerative disorders, a field that has seen very limited success in product development.</w:t>
      </w:r>
    </w:p>
    <w:p>
      <w:pPr>
        <w:ind w:left="1240" w:right="20" w:hanging="415"/>
        <w:spacing w:after="0" w:line="248" w:lineRule="auto"/>
        <w:tabs>
          <w:tab w:leader="none" w:pos="12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involves a lengthy and expensive process with an uncertain outcome, and results of early, smaller-scale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21" w:lineRule="exact"/>
        <w:rPr>
          <w:rFonts w:ascii="Times New Roman" w:cs="Times New Roman" w:eastAsia="Times New Roman" w:hAnsi="Times New Roman"/>
          <w:sz w:val="18"/>
          <w:szCs w:val="18"/>
          <w:color w:val="auto"/>
        </w:rPr>
      </w:pPr>
    </w:p>
    <w:p>
      <w:pPr>
        <w:ind w:left="1240" w:right="640" w:hanging="415"/>
        <w:spacing w:after="0" w:line="273" w:lineRule="auto"/>
        <w:tabs>
          <w:tab w:leader="none" w:pos="12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If we experience delays or difficulties in the enrollment and/or retention of patients in clinical trials, our regulatory submissions or receipt of necessary marketing approvals could be delayed or prevented.</w:t>
      </w:r>
    </w:p>
    <w:p>
      <w:pPr>
        <w:ind w:left="1240" w:right="160" w:hanging="415"/>
        <w:spacing w:after="0" w:line="255" w:lineRule="auto"/>
        <w:tabs>
          <w:tab w:leader="none" w:pos="12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560" w:top="763" w:right="559" w:bottom="1440" w:gutter="0" w:footer="0" w:header="0"/>
        </w:sectPr>
      </w:pPr>
    </w:p>
    <w:bookmarkStart w:id="12" w:name="page13"/>
    <w:bookmarkEnd w:id="12"/>
    <w:p>
      <w:pPr>
        <w:ind w:left="1240" w:right="780" w:hanging="415"/>
        <w:spacing w:after="0" w:line="273" w:lineRule="auto"/>
        <w:tabs>
          <w:tab w:leader="none" w:pos="12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139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6139815"/>
                    </a:xfrm>
                    <a:prstGeom prst="rect">
                      <a:avLst/>
                    </a:prstGeom>
                    <a:noFill/>
                  </pic:spPr>
                </pic:pic>
              </a:graphicData>
            </a:graphic>
          </wp:anchor>
        </w:drawing>
        <w:t>The outbreak of the novel coronavirus disease, COVID-19, could adversely impact our business, including our nonclinical studies and clinical trials.</w:t>
      </w:r>
    </w:p>
    <w:p>
      <w:pPr>
        <w:ind w:left="1240" w:right="20" w:hanging="415"/>
        <w:spacing w:after="0" w:line="273" w:lineRule="auto"/>
        <w:tabs>
          <w:tab w:leader="none" w:pos="12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ind w:left="1240" w:right="20" w:hanging="415"/>
        <w:spacing w:after="0" w:line="275" w:lineRule="auto"/>
        <w:tabs>
          <w:tab w:leader="none" w:pos="12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2" w:lineRule="exact"/>
        <w:rPr>
          <w:rFonts w:ascii="Times New Roman" w:cs="Times New Roman" w:eastAsia="Times New Roman" w:hAnsi="Times New Roman"/>
          <w:sz w:val="17"/>
          <w:szCs w:val="17"/>
          <w:color w:val="auto"/>
        </w:rPr>
      </w:pPr>
    </w:p>
    <w:p>
      <w:pPr>
        <w:ind w:left="1240" w:right="140" w:hanging="415"/>
        <w:spacing w:after="0" w:line="267" w:lineRule="auto"/>
        <w:tabs>
          <w:tab w:leader="none" w:pos="12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6" w:lineRule="exact"/>
        <w:rPr>
          <w:rFonts w:ascii="Times New Roman" w:cs="Times New Roman" w:eastAsia="Times New Roman" w:hAnsi="Times New Roman"/>
          <w:sz w:val="17"/>
          <w:szCs w:val="17"/>
          <w:color w:val="auto"/>
        </w:rPr>
      </w:pPr>
    </w:p>
    <w:p>
      <w:pPr>
        <w:jc w:val="both"/>
        <w:ind w:left="1240" w:right="80" w:hanging="415"/>
        <w:spacing w:after="0" w:line="255" w:lineRule="auto"/>
        <w:tabs>
          <w:tab w:leader="none" w:pos="12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14" w:lineRule="exact"/>
        <w:rPr>
          <w:rFonts w:ascii="Times New Roman" w:cs="Times New Roman" w:eastAsia="Times New Roman" w:hAnsi="Times New Roman"/>
          <w:sz w:val="18"/>
          <w:szCs w:val="18"/>
          <w:color w:val="auto"/>
        </w:rPr>
      </w:pPr>
    </w:p>
    <w:p>
      <w:pPr>
        <w:ind w:left="1240" w:right="240" w:hanging="415"/>
        <w:spacing w:after="0" w:line="273" w:lineRule="auto"/>
        <w:tabs>
          <w:tab w:leader="none" w:pos="12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Even if approved, our product candidates may not achieve adequate market acceptance among physicians, patients, healthcare payors and others in the medical community necessary for commercial success.</w:t>
      </w:r>
    </w:p>
    <w:p>
      <w:pPr>
        <w:ind w:left="1240" w:right="540" w:hanging="415"/>
        <w:spacing w:after="0" w:line="273" w:lineRule="auto"/>
        <w:tabs>
          <w:tab w:leader="none" w:pos="12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have never commercialized a product candidate before and may lack the necessary expertise, personnel and resources to successfully commercialize any products on our own or together with suitable collaborators.</w:t>
      </w: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75" w:lineRule="exact"/>
        <w:rPr>
          <w:rFonts w:ascii="Times New Roman" w:cs="Times New Roman" w:eastAsia="Times New Roman" w:hAnsi="Times New Roman"/>
          <w:sz w:val="18"/>
          <w:szCs w:val="18"/>
          <w:color w:val="auto"/>
        </w:rPr>
      </w:pPr>
    </w:p>
    <w:p>
      <w:pPr>
        <w:ind w:left="1240" w:right="320" w:hanging="415"/>
        <w:spacing w:after="0" w:line="255" w:lineRule="auto"/>
        <w:tabs>
          <w:tab w:leader="none" w:pos="12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4"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price of our common stock may be volatile, which could result in substantial losses for investors.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6" w:lineRule="exact"/>
        <w:rPr>
          <w:sz w:val="20"/>
          <w:szCs w:val="20"/>
          <w:color w:val="auto"/>
        </w:rPr>
      </w:pPr>
    </w:p>
    <w:p>
      <w:pPr>
        <w:ind w:firstLine="553"/>
        <w:spacing w:after="0" w:line="245" w:lineRule="auto"/>
        <w:rPr>
          <w:sz w:val="20"/>
          <w:szCs w:val="20"/>
          <w:color w:val="auto"/>
        </w:rPr>
      </w:pPr>
      <w:r>
        <w:rPr>
          <w:rFonts w:ascii="Arial" w:cs="Arial" w:eastAsia="Arial" w:hAnsi="Arial"/>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(206) 221-8115. Our website is www.athira.com. Information contained in, or that can be accessed through, our website is not a part of, and is not incorporated into, this prospectus, and the inclusion of our website address in this prospectus is an inactive textual reference only.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106" w:lineRule="exact"/>
        <w:rPr>
          <w:sz w:val="20"/>
          <w:szCs w:val="20"/>
          <w:color w:val="auto"/>
        </w:rPr>
      </w:pPr>
    </w:p>
    <w:p>
      <w:pPr>
        <w:ind w:firstLine="547"/>
        <w:spacing w:after="0" w:line="241" w:lineRule="auto"/>
        <w:rPr>
          <w:sz w:val="20"/>
          <w:szCs w:val="20"/>
          <w:color w:val="auto"/>
        </w:rPr>
      </w:pPr>
      <w:r>
        <w:rPr>
          <w:rFonts w:ascii="Arial" w:cs="Arial" w:eastAsia="Arial" w:hAnsi="Arial"/>
          <w:sz w:val="18"/>
          <w:szCs w:val="18"/>
          <w:color w:val="auto"/>
        </w:rPr>
        <w:t xml:space="preserve">We use Athira, Athira Pharma, the Athira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616" w:right="5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251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6251575"/>
                    </a:xfrm>
                    <a:prstGeom prst="rect">
                      <a:avLst/>
                    </a:prstGeom>
                    <a:noFill/>
                  </pic:spPr>
                </pic:pic>
              </a:graphicData>
            </a:graphic>
          </wp:anchor>
        </w:drawing>
        <w:t>Implications of Being an Emerging Growth Company</w:t>
      </w:r>
    </w:p>
    <w:p>
      <w:pPr>
        <w:spacing w:after="0" w:line="106" w:lineRule="exact"/>
        <w:rPr>
          <w:sz w:val="20"/>
          <w:szCs w:val="20"/>
          <w:color w:val="auto"/>
        </w:rPr>
      </w:pPr>
    </w:p>
    <w:p>
      <w:pPr>
        <w:jc w:val="both"/>
        <w:ind w:right="400" w:firstLine="553"/>
        <w:spacing w:after="0" w:line="255" w:lineRule="auto"/>
        <w:rPr>
          <w:sz w:val="20"/>
          <w:szCs w:val="20"/>
          <w:color w:val="auto"/>
        </w:rPr>
      </w:pPr>
      <w:r>
        <w:rPr>
          <w:rFonts w:ascii="Arial" w:cs="Arial" w:eastAsia="Arial" w:hAnsi="Arial"/>
          <w:sz w:val="18"/>
          <w:szCs w:val="18"/>
          <w:color w:val="auto"/>
          <w:highlight w:val="white"/>
        </w:rPr>
        <w:t>We are an “emerging growth company” as defined in the Jumpstart Our Business Startups Act of 2012, as amended, or the JOBS Act. As such, we may take advantage of reduced disclosure and other requirements otherwise generally applicable to public companies, including:</w:t>
      </w:r>
    </w:p>
    <w:p>
      <w:pPr>
        <w:spacing w:after="0" w:line="56" w:lineRule="exact"/>
        <w:rPr>
          <w:sz w:val="20"/>
          <w:szCs w:val="20"/>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presentation of only two years of audited financial statements and related financial disclosure;</w:t>
      </w:r>
    </w:p>
    <w:p>
      <w:pPr>
        <w:spacing w:after="0" w:line="116" w:lineRule="exact"/>
        <w:rPr>
          <w:rFonts w:ascii="Times New Roman" w:cs="Times New Roman" w:eastAsia="Times New Roman" w:hAnsi="Times New Roman"/>
          <w:sz w:val="18"/>
          <w:szCs w:val="18"/>
          <w:color w:val="auto"/>
        </w:rPr>
      </w:pPr>
    </w:p>
    <w:p>
      <w:pPr>
        <w:ind w:left="1240" w:right="760" w:hanging="415"/>
        <w:spacing w:after="0" w:line="275" w:lineRule="auto"/>
        <w:tabs>
          <w:tab w:leader="none" w:pos="12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exemption from requirement to have our registered independent public accounting firm attest to management's assessment of our internal control over financial reporting;</w:t>
      </w:r>
    </w:p>
    <w:p>
      <w:pPr>
        <w:spacing w:after="0" w:line="3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reduced disclosure about our executive compensation arrangements; and</w:t>
      </w:r>
    </w:p>
    <w:p>
      <w:pPr>
        <w:spacing w:after="0" w:line="116" w:lineRule="exact"/>
        <w:rPr>
          <w:rFonts w:ascii="Times New Roman" w:cs="Times New Roman" w:eastAsia="Times New Roman" w:hAnsi="Times New Roman"/>
          <w:sz w:val="18"/>
          <w:szCs w:val="18"/>
          <w:color w:val="auto"/>
        </w:rPr>
      </w:pPr>
    </w:p>
    <w:p>
      <w:pPr>
        <w:ind w:left="1240" w:right="640" w:hanging="415"/>
        <w:spacing w:after="0" w:line="275" w:lineRule="auto"/>
        <w:tabs>
          <w:tab w:leader="none" w:pos="12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exemption from requirement to hold non-binding advisory votes on executive compensation or golden parachute arrangements.</w:t>
      </w:r>
    </w:p>
    <w:p>
      <w:pPr>
        <w:spacing w:after="0" w:line="146" w:lineRule="exact"/>
        <w:rPr>
          <w:sz w:val="20"/>
          <w:szCs w:val="20"/>
          <w:color w:val="auto"/>
        </w:rPr>
      </w:pPr>
    </w:p>
    <w:p>
      <w:pPr>
        <w:ind w:right="80" w:firstLine="547"/>
        <w:spacing w:after="0" w:line="243" w:lineRule="auto"/>
        <w:rPr>
          <w:sz w:val="20"/>
          <w:szCs w:val="20"/>
          <w:color w:val="auto"/>
        </w:rPr>
      </w:pPr>
      <w:r>
        <w:rPr>
          <w:rFonts w:ascii="Arial" w:cs="Arial" w:eastAsia="Arial" w:hAnsi="Arial"/>
          <w:sz w:val="18"/>
          <w:szCs w:val="18"/>
          <w:color w:val="auto"/>
          <w:highlight w:val="white"/>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our initial public offering.</w:t>
      </w:r>
    </w:p>
    <w:p>
      <w:pPr>
        <w:spacing w:after="0" w:line="174" w:lineRule="exact"/>
        <w:rPr>
          <w:sz w:val="20"/>
          <w:szCs w:val="20"/>
          <w:color w:val="auto"/>
        </w:rPr>
      </w:pPr>
    </w:p>
    <w:p>
      <w:pPr>
        <w:ind w:firstLine="547"/>
        <w:spacing w:after="0" w:line="239" w:lineRule="auto"/>
        <w:rPr>
          <w:sz w:val="20"/>
          <w:szCs w:val="20"/>
          <w:color w:val="auto"/>
        </w:rPr>
      </w:pPr>
      <w:r>
        <w:rPr>
          <w:rFonts w:ascii="Arial" w:cs="Arial" w:eastAsia="Arial" w:hAnsi="Arial"/>
          <w:sz w:val="18"/>
          <w:szCs w:val="18"/>
          <w:color w:val="auto"/>
          <w:highlight w:val="white"/>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that have different effective dates for public and private companies until the earlier of the date that we are no longer an emerging growth company or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76" w:lineRule="exact"/>
        <w:rPr>
          <w:sz w:val="20"/>
          <w:szCs w:val="20"/>
          <w:color w:val="auto"/>
        </w:rPr>
      </w:pPr>
    </w:p>
    <w:p>
      <w:pPr>
        <w:ind w:right="20" w:firstLine="547"/>
        <w:spacing w:after="0" w:line="239" w:lineRule="auto"/>
        <w:rPr>
          <w:sz w:val="20"/>
          <w:szCs w:val="20"/>
          <w:color w:val="auto"/>
        </w:rPr>
      </w:pPr>
      <w:r>
        <w:rPr>
          <w:rFonts w:ascii="Arial" w:cs="Arial" w:eastAsia="Arial" w:hAnsi="Arial"/>
          <w:sz w:val="18"/>
          <w:szCs w:val="18"/>
          <w:color w:val="auto"/>
        </w:rPr>
        <w:t>In addition, we are also a “smaller reporting company” because the market value of our stock held by non-affiliates plus the proposed aggregate amount of gross proceeds to us as a result of this offering is less than $ 700 million as of June 30, 2019 and our annual revenue was less than $100 million during the fiscal year ended December 31, 2019. We may continue to be a smaller reporting company after this offering in any given year if either (1) the market value of our stock held by non-affiliates is less than $250 million as of June 30 in the most recently completed fiscal year or (2) our annual revenue is less than $100 million during the most recently completed fiscal year and the market value of our stock held by non-affiliates is less than $ 700 million as of June 30 in the most recently completed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560" w:top="871" w:right="55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660"/>
        </w:trPr>
        <w:tc>
          <w:tcPr>
            <w:tcW w:w="4140" w:type="dxa"/>
            <w:vAlign w:val="bottom"/>
            <w:tcBorders>
              <w:top w:val="single" w:sz="8" w:color="auto"/>
              <w:left w:val="single" w:sz="8" w:color="auto"/>
            </w:tcBorders>
          </w:tcPr>
          <w:p>
            <w:pPr>
              <w:spacing w:after="0"/>
              <w:rPr>
                <w:sz w:val="24"/>
                <w:szCs w:val="24"/>
                <w:color w:val="auto"/>
              </w:rPr>
            </w:pPr>
          </w:p>
        </w:tc>
        <w:tc>
          <w:tcPr>
            <w:tcW w:w="71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The Offering</w:t>
            </w:r>
          </w:p>
        </w:tc>
      </w:tr>
      <w:tr>
        <w:trPr>
          <w:trHeight w:val="438"/>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Common stock offered by us</w:t>
            </w: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4,000,000 shares.</w:t>
            </w:r>
          </w:p>
        </w:tc>
      </w:tr>
      <w:tr>
        <w:trPr>
          <w:trHeight w:val="405"/>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Option to purchase additional shares</w:t>
            </w: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We have granted the underwriters an option to purchase up</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to 600,000 additional shares of common stock from us. The</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underwriters can exercise this option at any time within 30 days from</w:t>
            </w:r>
          </w:p>
        </w:tc>
      </w:tr>
      <w:tr>
        <w:trPr>
          <w:trHeight w:val="243"/>
        </w:trPr>
        <w:tc>
          <w:tcPr>
            <w:tcW w:w="4140" w:type="dxa"/>
            <w:vAlign w:val="bottom"/>
            <w:tcBorders>
              <w:left w:val="single" w:sz="8" w:color="auto"/>
            </w:tcBorders>
          </w:tcPr>
          <w:p>
            <w:pPr>
              <w:spacing w:after="0"/>
              <w:rPr>
                <w:sz w:val="21"/>
                <w:szCs w:val="21"/>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the date of this prospectus.</w:t>
            </w:r>
          </w:p>
        </w:tc>
      </w:tr>
      <w:tr>
        <w:trPr>
          <w:trHeight w:val="405"/>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Common stock to be outstanding</w:t>
            </w: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35,087,395 shares (or 35,687,395 shares if the underwriters exercise</w:t>
            </w:r>
          </w:p>
        </w:tc>
      </w:tr>
      <w:tr>
        <w:trPr>
          <w:trHeight w:val="243"/>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after the offering</w:t>
            </w: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in full their option to purchase additional shares).</w:t>
            </w:r>
          </w:p>
        </w:tc>
      </w:tr>
      <w:tr>
        <w:trPr>
          <w:trHeight w:val="405"/>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Use of proceeds</w:t>
            </w: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We estimate that the net proceeds from this offering will be</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approximately $99.3 million, or $114.3 million if the underwriters</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exercise in full their option to purchase additional shares of common</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stock, assuming a public offering price of $26.55 per share, which was</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the last reported sale price of our common stock on the Nasdaq</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Global Select Market on January 15, 2021, and after deducting</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underwriting discounts and commissions and estimated offering</w:t>
            </w:r>
          </w:p>
        </w:tc>
      </w:tr>
      <w:tr>
        <w:trPr>
          <w:trHeight w:val="243"/>
        </w:trPr>
        <w:tc>
          <w:tcPr>
            <w:tcW w:w="4140" w:type="dxa"/>
            <w:vAlign w:val="bottom"/>
            <w:tcBorders>
              <w:left w:val="single" w:sz="8" w:color="auto"/>
            </w:tcBorders>
          </w:tcPr>
          <w:p>
            <w:pPr>
              <w:spacing w:after="0"/>
              <w:rPr>
                <w:sz w:val="21"/>
                <w:szCs w:val="21"/>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expenses payable by us.</w:t>
            </w:r>
          </w:p>
        </w:tc>
      </w:tr>
      <w:tr>
        <w:trPr>
          <w:trHeight w:val="338"/>
        </w:trPr>
        <w:tc>
          <w:tcPr>
            <w:tcW w:w="4140" w:type="dxa"/>
            <w:vAlign w:val="bottom"/>
            <w:tcBorders>
              <w:left w:val="single" w:sz="8" w:color="auto"/>
            </w:tcBorders>
          </w:tcPr>
          <w:p>
            <w:pPr>
              <w:spacing w:after="0"/>
              <w:rPr>
                <w:sz w:val="24"/>
                <w:szCs w:val="24"/>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We currently intend to use the net proceeds from this offering for the</w:t>
            </w:r>
          </w:p>
        </w:tc>
      </w:tr>
      <w:tr>
        <w:trPr>
          <w:trHeight w:val="202"/>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following purposes: (1) approximately $37 million to fund the</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continued development of ATH-1017, including for our planned Phase</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2 trial of ATH-1017 for the treatment of Parkinson’s disease dementia</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and for clinical pharmacology and safety studies to support the</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development of ATH-1017 for both mild-to-moderate Alzheimer’s</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disease and Parkinson’s disease dementia; (2) approximately $51</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million to fund our IND-enabling studies and early-stage clinical</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development of ATH-1019 or ATH-1020 for the treatment of</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neuropsychiatric indications; and (3) the remainder for our other</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research and development activities, as well as for working capital</w:t>
            </w:r>
          </w:p>
        </w:tc>
      </w:tr>
      <w:tr>
        <w:trPr>
          <w:trHeight w:val="243"/>
        </w:trPr>
        <w:tc>
          <w:tcPr>
            <w:tcW w:w="4140" w:type="dxa"/>
            <w:vAlign w:val="bottom"/>
            <w:tcBorders>
              <w:left w:val="single" w:sz="8" w:color="auto"/>
            </w:tcBorders>
          </w:tcPr>
          <w:p>
            <w:pPr>
              <w:spacing w:after="0"/>
              <w:rPr>
                <w:sz w:val="21"/>
                <w:szCs w:val="21"/>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and other general corporate purposes.</w:t>
            </w:r>
          </w:p>
        </w:tc>
      </w:tr>
      <w:tr>
        <w:trPr>
          <w:trHeight w:val="338"/>
        </w:trPr>
        <w:tc>
          <w:tcPr>
            <w:tcW w:w="4140" w:type="dxa"/>
            <w:vAlign w:val="bottom"/>
            <w:tcBorders>
              <w:left w:val="single" w:sz="8" w:color="auto"/>
            </w:tcBorders>
          </w:tcPr>
          <w:p>
            <w:pPr>
              <w:spacing w:after="0"/>
              <w:rPr>
                <w:sz w:val="24"/>
                <w:szCs w:val="24"/>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We currently intend to use our existing cash, cash equivalents and</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investments to fund the ongoing clinical development of ATH-1017 for</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the treatment of mild-to-moderate Alzheimer’s disease, including our</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ongoing LIFT-AD and ACT-AD clinical trials, and for working capital</w:t>
            </w:r>
          </w:p>
        </w:tc>
      </w:tr>
      <w:tr>
        <w:trPr>
          <w:trHeight w:val="243"/>
        </w:trPr>
        <w:tc>
          <w:tcPr>
            <w:tcW w:w="4140" w:type="dxa"/>
            <w:vAlign w:val="bottom"/>
            <w:tcBorders>
              <w:left w:val="single" w:sz="8" w:color="auto"/>
            </w:tcBorders>
          </w:tcPr>
          <w:p>
            <w:pPr>
              <w:spacing w:after="0"/>
              <w:rPr>
                <w:sz w:val="21"/>
                <w:szCs w:val="21"/>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and other general corporate purposes.</w:t>
            </w:r>
          </w:p>
        </w:tc>
      </w:tr>
      <w:tr>
        <w:trPr>
          <w:trHeight w:val="351"/>
        </w:trPr>
        <w:tc>
          <w:tcPr>
            <w:tcW w:w="4140" w:type="dxa"/>
            <w:vAlign w:val="bottom"/>
            <w:tcBorders>
              <w:left w:val="single" w:sz="8" w:color="auto"/>
            </w:tcBorders>
          </w:tcPr>
          <w:p>
            <w:pPr>
              <w:spacing w:after="0"/>
              <w:rPr>
                <w:sz w:val="24"/>
                <w:szCs w:val="24"/>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For a more complete description of our intended use of the proceeds</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from this offering, see the section of this prospectus titled “Use of</w:t>
            </w:r>
          </w:p>
        </w:tc>
      </w:tr>
      <w:tr>
        <w:trPr>
          <w:trHeight w:val="243"/>
        </w:trPr>
        <w:tc>
          <w:tcPr>
            <w:tcW w:w="4140" w:type="dxa"/>
            <w:vAlign w:val="bottom"/>
            <w:tcBorders>
              <w:left w:val="single" w:sz="8" w:color="auto"/>
            </w:tcBorders>
          </w:tcPr>
          <w:p>
            <w:pPr>
              <w:spacing w:after="0"/>
              <w:rPr>
                <w:sz w:val="21"/>
                <w:szCs w:val="21"/>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Proceeds.”</w:t>
            </w:r>
          </w:p>
        </w:tc>
      </w:tr>
      <w:tr>
        <w:trPr>
          <w:trHeight w:val="384"/>
        </w:trPr>
        <w:tc>
          <w:tcPr>
            <w:tcW w:w="4140" w:type="dxa"/>
            <w:vAlign w:val="bottom"/>
            <w:tcBorders>
              <w:left w:val="single" w:sz="8" w:color="auto"/>
              <w:bottom w:val="single" w:sz="8" w:color="auto"/>
            </w:tcBorders>
          </w:tcPr>
          <w:p>
            <w:pPr>
              <w:spacing w:after="0"/>
              <w:rPr>
                <w:sz w:val="24"/>
                <w:szCs w:val="24"/>
                <w:color w:val="auto"/>
              </w:rPr>
            </w:pPr>
          </w:p>
        </w:tc>
        <w:tc>
          <w:tcPr>
            <w:tcW w:w="7140" w:type="dxa"/>
            <w:vAlign w:val="bottom"/>
            <w:tcBorders>
              <w:bottom w:val="single" w:sz="8" w:color="auto"/>
              <w:right w:val="single" w:sz="8" w:color="auto"/>
            </w:tcBorders>
          </w:tcPr>
          <w:p>
            <w:pPr>
              <w:spacing w:after="0"/>
              <w:rPr>
                <w:sz w:val="24"/>
                <w:szCs w:val="24"/>
                <w:color w:val="auto"/>
              </w:rPr>
            </w:pPr>
          </w:p>
        </w:tc>
      </w:tr>
      <w:tr>
        <w:trPr>
          <w:trHeight w:val="433"/>
        </w:trPr>
        <w:tc>
          <w:tcPr>
            <w:tcW w:w="4140" w:type="dxa"/>
            <w:vAlign w:val="bottom"/>
          </w:tcPr>
          <w:p>
            <w:pPr>
              <w:spacing w:after="0"/>
              <w:rPr>
                <w:sz w:val="24"/>
                <w:szCs w:val="24"/>
                <w:color w:val="auto"/>
              </w:rPr>
            </w:pPr>
          </w:p>
        </w:tc>
        <w:tc>
          <w:tcPr>
            <w:tcW w:w="7140" w:type="dxa"/>
            <w:vAlign w:val="bottom"/>
          </w:tcPr>
          <w:p>
            <w:pPr>
              <w:ind w:left="1320"/>
              <w:spacing w:after="0"/>
              <w:rPr>
                <w:sz w:val="20"/>
                <w:szCs w:val="20"/>
                <w:color w:val="auto"/>
              </w:rPr>
            </w:pPr>
            <w:r>
              <w:rPr>
                <w:rFonts w:ascii="Arial" w:cs="Arial" w:eastAsia="Arial" w:hAnsi="Arial"/>
                <w:sz w:val="18"/>
                <w:szCs w:val="18"/>
                <w:color w:val="auto"/>
              </w:rPr>
              <w:t>-12-</w:t>
            </w:r>
          </w:p>
        </w:tc>
      </w:tr>
      <w:tr>
        <w:trPr>
          <w:trHeight w:val="98"/>
        </w:trPr>
        <w:tc>
          <w:tcPr>
            <w:tcW w:w="4140" w:type="dxa"/>
            <w:vAlign w:val="bottom"/>
            <w:tcBorders>
              <w:bottom w:val="single" w:sz="8" w:color="9A9A9A"/>
            </w:tcBorders>
          </w:tcPr>
          <w:p>
            <w:pPr>
              <w:spacing w:after="0"/>
              <w:rPr>
                <w:sz w:val="8"/>
                <w:szCs w:val="8"/>
                <w:color w:val="auto"/>
              </w:rPr>
            </w:pPr>
          </w:p>
        </w:tc>
        <w:tc>
          <w:tcPr>
            <w:tcW w:w="7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80"/>
          </w:cols>
          <w:pgMar w:left="320" w:top="120" w:right="29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248" w:lineRule="auto"/>
        <w:rPr>
          <w:sz w:val="20"/>
          <w:szCs w:val="20"/>
          <w:color w:val="auto"/>
        </w:rPr>
      </w:pPr>
      <w:r>
        <w:rPr>
          <w:rFonts w:ascii="Arial" w:cs="Arial" w:eastAsia="Arial" w:hAnsi="Arial"/>
          <w:sz w:val="18"/>
          <w:szCs w:val="18"/>
          <w:color w:val="auto"/>
        </w:rPr>
        <w:t>See the section of this prospectus titled “Risk Factors” beginning on page 16 and other information included in this prospectus for a discussion of factors you should carefully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-802640</wp:posOffset>
            </wp:positionV>
            <wp:extent cx="7153275" cy="3251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325120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480" w:space="720"/>
            <w:col w:w="5480"/>
          </w:cols>
          <w:pgMar w:left="560" w:top="549" w:right="659" w:bottom="1440" w:gutter="0" w:footer="0" w:header="0"/>
        </w:sectPr>
      </w:pPr>
    </w:p>
    <w:p>
      <w:pPr>
        <w:spacing w:after="0"/>
        <w:rPr>
          <w:sz w:val="20"/>
          <w:szCs w:val="20"/>
          <w:color w:val="auto"/>
        </w:rPr>
      </w:pPr>
      <w:r>
        <w:rPr>
          <w:rFonts w:ascii="Arial" w:cs="Arial" w:eastAsia="Arial" w:hAnsi="Arial"/>
          <w:sz w:val="17"/>
          <w:szCs w:val="17"/>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“ATHA”</w:t>
      </w:r>
    </w:p>
    <w:p>
      <w:pPr>
        <w:spacing w:after="0" w:line="200" w:lineRule="exact"/>
        <w:rPr>
          <w:sz w:val="20"/>
          <w:szCs w:val="20"/>
          <w:color w:val="auto"/>
        </w:rPr>
      </w:pPr>
    </w:p>
    <w:p>
      <w:pPr>
        <w:sectPr>
          <w:pgSz w:w="11900" w:h="16838" w:orient="portrait"/>
          <w:cols w:equalWidth="0" w:num="2">
            <w:col w:w="4480" w:space="720"/>
            <w:col w:w="5480"/>
          </w:cols>
          <w:pgMar w:left="560" w:top="549" w:right="659" w:bottom="1440" w:gutter="0" w:footer="0" w:header="0"/>
          <w:type w:val="continuous"/>
        </w:sectPr>
      </w:pPr>
    </w:p>
    <w:p>
      <w:pPr>
        <w:spacing w:after="0" w:line="23" w:lineRule="exact"/>
        <w:rPr>
          <w:sz w:val="20"/>
          <w:szCs w:val="20"/>
          <w:color w:val="auto"/>
        </w:rPr>
      </w:pPr>
    </w:p>
    <w:p>
      <w:pPr>
        <w:ind w:right="360" w:firstLine="553"/>
        <w:spacing w:after="0" w:line="276" w:lineRule="auto"/>
        <w:rPr>
          <w:sz w:val="20"/>
          <w:szCs w:val="20"/>
          <w:color w:val="auto"/>
        </w:rPr>
      </w:pPr>
      <w:r>
        <w:rPr>
          <w:rFonts w:ascii="Arial" w:cs="Arial" w:eastAsia="Arial" w:hAnsi="Arial"/>
          <w:sz w:val="18"/>
          <w:szCs w:val="18"/>
          <w:color w:val="auto"/>
        </w:rPr>
        <w:t>The number of shares of our common stock outstanding after this offering is based on 31,087,395 shares of common stock outstanding as of September 30, 2020, and excludes:</w:t>
      </w:r>
    </w:p>
    <w:p>
      <w:pPr>
        <w:spacing w:after="0" w:line="37" w:lineRule="exact"/>
        <w:rPr>
          <w:sz w:val="20"/>
          <w:szCs w:val="20"/>
          <w:color w:val="auto"/>
        </w:rPr>
      </w:pPr>
    </w:p>
    <w:p>
      <w:pPr>
        <w:ind w:left="1240" w:right="20" w:hanging="415"/>
        <w:spacing w:after="0" w:line="275" w:lineRule="auto"/>
        <w:tabs>
          <w:tab w:leader="none" w:pos="1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1,927,428 shares of common stock issuable upon the exercise of outstanding options as of September 30, 2020 with a weighted-average exercise price of $8.85 per share;</w:t>
      </w:r>
    </w:p>
    <w:p>
      <w:pPr>
        <w:spacing w:after="0" w:line="37" w:lineRule="exact"/>
        <w:rPr>
          <w:rFonts w:ascii="Times New Roman" w:cs="Times New Roman" w:eastAsia="Times New Roman" w:hAnsi="Times New Roman"/>
          <w:sz w:val="18"/>
          <w:szCs w:val="18"/>
          <w:color w:val="auto"/>
        </w:rPr>
      </w:pPr>
    </w:p>
    <w:p>
      <w:pPr>
        <w:ind w:left="1240" w:hanging="415"/>
        <w:spacing w:after="0" w:line="275" w:lineRule="auto"/>
        <w:tabs>
          <w:tab w:leader="none" w:pos="1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3,790,279 shares of common stock reserved for future issuance under our 2020 Equity Incentive Plan as of September 30, 2020, and any future automatic increase in shares reserved for issuance under such plan; and</w:t>
      </w:r>
    </w:p>
    <w:p>
      <w:pPr>
        <w:spacing w:after="0" w:line="37" w:lineRule="exact"/>
        <w:rPr>
          <w:rFonts w:ascii="Times New Roman" w:cs="Times New Roman" w:eastAsia="Times New Roman" w:hAnsi="Times New Roman"/>
          <w:sz w:val="18"/>
          <w:szCs w:val="18"/>
          <w:color w:val="auto"/>
        </w:rPr>
      </w:pPr>
    </w:p>
    <w:p>
      <w:pPr>
        <w:ind w:left="1240" w:right="740" w:hanging="415"/>
        <w:spacing w:after="0" w:line="275" w:lineRule="auto"/>
        <w:tabs>
          <w:tab w:leader="none" w:pos="1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323,000 shares of common stock reserved for issuance under our 2020 Employee Stock Purchase Plan as of September 30, 2020, and any future automatic increase in shares reserved for issuance under such plan.</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04" w:lineRule="exact"/>
        <w:rPr>
          <w:sz w:val="20"/>
          <w:szCs w:val="20"/>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no exercise of outstanding options described above; and</w:t>
      </w:r>
    </w:p>
    <w:p>
      <w:pPr>
        <w:spacing w:after="0" w:line="116"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no exercise of the underwriters’ option to purchase additional shares.</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560" w:top="549" w:right="65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028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6028690"/>
                    </a:xfrm>
                    <a:prstGeom prst="rect">
                      <a:avLst/>
                    </a:prstGeom>
                    <a:noFill/>
                  </pic:spPr>
                </pic:pic>
              </a:graphicData>
            </a:graphic>
          </wp:anchor>
        </w:drawing>
        <w:t>Summary Financial Data</w:t>
      </w:r>
    </w:p>
    <w:p>
      <w:pPr>
        <w:spacing w:after="0" w:line="214" w:lineRule="exact"/>
        <w:rPr>
          <w:sz w:val="20"/>
          <w:szCs w:val="20"/>
          <w:color w:val="auto"/>
        </w:rPr>
      </w:pPr>
    </w:p>
    <w:p>
      <w:pPr>
        <w:ind w:right="60" w:firstLine="553"/>
        <w:spacing w:after="0" w:line="238" w:lineRule="auto"/>
        <w:rPr>
          <w:sz w:val="20"/>
          <w:szCs w:val="20"/>
          <w:color w:val="auto"/>
        </w:rPr>
      </w:pPr>
      <w:r>
        <w:rPr>
          <w:rFonts w:ascii="Arial" w:cs="Arial" w:eastAsia="Arial" w:hAnsi="Arial"/>
          <w:sz w:val="18"/>
          <w:szCs w:val="18"/>
          <w:color w:val="auto"/>
        </w:rPr>
        <w:t>The following tables set forth a summary of our financial data. The summary statements of operations data for the years ended December 31, 2018 and 2019 are derived from our audited financial statements included elsewhere in this prospectus. The summary statements of operations data for the nine months ended September 30, 2019 and 2020 and the summary balance sheet data as of September 30, 2020 are derived from our unaudited interim condensed financial statements included elsewhere in this prospectus. Our unaudited interim condensed financial statements have been prepared on a basis consistent with our audited financial statements and, in the opinion of management, reflect all adjustments, consisting solely of normal recurring adjustments, necessary for the fair presentation of the financial information in those statements. You should read this summary data together with our financial statements and related notes included elsewhere in this prospectus and the information in the sections of this prospectus titled “Selected Financial Data” and “Management’s Discussion and Analysis of Financial Condition and Results of Operations.” Our historical results are not necessarily indicative of our future results, and the results of operations for the nine months ended September 30, 2020 are not necessarily indicative of the results to be expected for the full year ending December 31, 2020 or any other period. The summary financial data in this section are not intended to replace the financial statements and related notes included elsewhere in this prospectus.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center"/>
              <w:ind w:left="535"/>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12"/>
          </w:tcPr>
          <w:p>
            <w:pPr>
              <w:jc w:val="right"/>
              <w:spacing w:after="0"/>
              <w:rPr>
                <w:sz w:val="20"/>
                <w:szCs w:val="20"/>
                <w:color w:val="auto"/>
              </w:rPr>
            </w:pPr>
            <w:r>
              <w:rPr>
                <w:rFonts w:ascii="Arial" w:cs="Arial" w:eastAsia="Arial" w:hAnsi="Arial"/>
                <w:sz w:val="14"/>
                <w:szCs w:val="14"/>
                <w:b w:val="1"/>
                <w:bCs w:val="1"/>
                <w:color w:val="auto"/>
              </w:rPr>
              <w:t>(in thousands, except share and per share data)</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50"/>
        </w:trPr>
        <w:tc>
          <w:tcPr>
            <w:tcW w:w="46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Unrealized gain on available-for-sale</w:t>
            </w:r>
          </w:p>
        </w:tc>
        <w:tc>
          <w:tcPr>
            <w:tcW w:w="9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660" w:type="dxa"/>
            <w:vAlign w:val="bottom"/>
            <w:gridSpan w:val="2"/>
          </w:tcPr>
          <w:p>
            <w:pPr>
              <w:spacing w:after="0" w:line="187" w:lineRule="exact"/>
              <w:rPr>
                <w:sz w:val="20"/>
                <w:szCs w:val="20"/>
                <w:color w:val="auto"/>
              </w:rPr>
            </w:pPr>
            <w:r>
              <w:rPr>
                <w:rFonts w:ascii="Arial" w:cs="Arial" w:eastAsia="Arial" w:hAnsi="Arial"/>
                <w:sz w:val="18"/>
                <w:szCs w:val="18"/>
                <w:color w:val="auto"/>
              </w:rPr>
              <w:t>Comprehensive loss attributable to common</w:t>
            </w:r>
          </w:p>
        </w:tc>
        <w:tc>
          <w:tcPr>
            <w:tcW w:w="9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stockholders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(5,097)</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(5,161)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(4,187)</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40" w:type="dxa"/>
            <w:vAlign w:val="bottom"/>
            <w:tcBorders>
              <w:top w:val="single" w:sz="8" w:color="CFF0FC"/>
            </w:tcBorders>
            <w:shd w:val="clear" w:color="auto" w:fill="CFF0FC"/>
          </w:tcPr>
          <w:p>
            <w:pPr>
              <w:spacing w:after="0" w:line="173" w:lineRule="exact"/>
              <w:rPr>
                <w:sz w:val="20"/>
                <w:szCs w:val="20"/>
                <w:color w:val="auto"/>
              </w:rPr>
            </w:pPr>
            <w:r>
              <w:rPr>
                <w:rFonts w:ascii="Arial" w:cs="Arial" w:eastAsia="Arial" w:hAnsi="Arial"/>
                <w:sz w:val="18"/>
                <w:szCs w:val="18"/>
                <w:color w:val="auto"/>
              </w:rPr>
              <w:t>Net loss per share attributable to common</w:t>
            </w:r>
          </w:p>
        </w:tc>
        <w:tc>
          <w:tcPr>
            <w:tcW w:w="9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(1.47)</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(1.45)</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used</w:t>
            </w: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66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ind w:left="140"/>
              <w:spacing w:after="0" w:line="202" w:lineRule="exact"/>
              <w:rPr>
                <w:sz w:val="20"/>
                <w:szCs w:val="20"/>
                <w:color w:val="auto"/>
              </w:rPr>
            </w:pPr>
            <w:r>
              <w:rPr>
                <w:rFonts w:ascii="Arial" w:cs="Arial" w:eastAsia="Arial" w:hAnsi="Arial"/>
                <w:sz w:val="18"/>
                <w:szCs w:val="18"/>
                <w:color w:val="auto"/>
              </w:rPr>
              <w:t>in computing net loss per share attributable</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to common stockholders, basic and diluted</w:t>
            </w:r>
            <w:r>
              <w:rPr>
                <w:rFonts w:ascii="Arial" w:cs="Arial" w:eastAsia="Arial" w:hAnsi="Arial"/>
                <w:sz w:val="15"/>
                <w:szCs w:val="15"/>
                <w:color w:val="auto"/>
              </w:rPr>
              <w:t>(1)</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3,469,153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3,566,849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3,551,586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5,155,338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460" w:right="240" w:hanging="458"/>
        <w:spacing w:after="0" w:line="208" w:lineRule="auto"/>
        <w:tabs>
          <w:tab w:leader="none" w:pos="46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See Note 15 to our audited financial statements and Note 12 to our unaudited interim condensed financial statements included elsewhere in this prospectus for the calculation of our basic and diluted net loss per share attributable to common stockholders, and the weighted-average number of shares used in computing the per share amounts.</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560" w:top="763" w:right="5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3"/>
          </w:tcPr>
          <w:p>
            <w:pPr>
              <w:jc w:val="center"/>
              <w:ind w:right="213"/>
              <w:spacing w:after="0"/>
              <w:rPr>
                <w:sz w:val="20"/>
                <w:szCs w:val="20"/>
                <w:color w:val="auto"/>
              </w:rPr>
            </w:pPr>
            <w:r>
              <w:rPr>
                <w:rFonts w:ascii="Arial" w:cs="Arial" w:eastAsia="Arial" w:hAnsi="Arial"/>
                <w:sz w:val="14"/>
                <w:szCs w:val="14"/>
                <w:b w:val="1"/>
                <w:bCs w:val="1"/>
                <w:color w:val="auto"/>
              </w:rPr>
              <w:t>As of September 30, 2020</w:t>
            </w:r>
          </w:p>
        </w:tc>
        <w:tc>
          <w:tcPr>
            <w:tcW w:w="12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577"/>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9"/>
                <w:szCs w:val="19"/>
                <w:color w:val="auto"/>
              </w:rPr>
            </w:pPr>
          </w:p>
        </w:tc>
        <w:tc>
          <w:tcPr>
            <w:tcW w:w="1460" w:type="dxa"/>
            <w:vAlign w:val="bottom"/>
            <w:gridSpan w:val="2"/>
          </w:tcPr>
          <w:p>
            <w:pPr>
              <w:ind w:left="80"/>
              <w:spacing w:after="0" w:line="222"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24"/>
                <w:szCs w:val="24"/>
                <w:b w:val="1"/>
                <w:bCs w:val="1"/>
                <w:color w:val="auto"/>
                <w:vertAlign w:val="superscript"/>
              </w:rPr>
              <w:t>(1)</w:t>
            </w:r>
          </w:p>
        </w:tc>
      </w:tr>
      <w:tr>
        <w:trPr>
          <w:trHeight w:val="167"/>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960" w:type="dxa"/>
            <w:vAlign w:val="bottom"/>
            <w:tcBorders>
              <w:top w:val="single" w:sz="8" w:color="auto"/>
            </w:tcBorders>
            <w:gridSpan w:val="3"/>
          </w:tcPr>
          <w:p>
            <w:pPr>
              <w:jc w:val="center"/>
              <w:ind w:right="213"/>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2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2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259,928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359,240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tc>
        <w:tc>
          <w:tcPr>
            <w:tcW w:w="2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224,712</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324,024</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 assets</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267,939</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367,251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2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 liabilities</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8,469</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259,470</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358,782</w:t>
            </w:r>
          </w:p>
        </w:tc>
        <w:tc>
          <w:tcPr>
            <w:tcW w:w="120" w:type="dxa"/>
            <w:vAlign w:val="bottom"/>
            <w:shd w:val="clear" w:color="auto" w:fill="CFF0FC"/>
          </w:tcPr>
          <w:p>
            <w:pPr>
              <w:spacing w:after="0"/>
              <w:rPr>
                <w:sz w:val="18"/>
                <w:szCs w:val="18"/>
                <w:color w:val="auto"/>
              </w:rPr>
            </w:pPr>
          </w:p>
        </w:tc>
      </w:tr>
    </w:tbl>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35598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3559810"/>
                    </a:xfrm>
                    <a:prstGeom prst="rect">
                      <a:avLst/>
                    </a:prstGeom>
                    <a:noFill/>
                  </pic:spPr>
                </pic:pic>
              </a:graphicData>
            </a:graphic>
          </wp:anchor>
        </w:drawing>
      </w:r>
    </w:p>
    <w:p>
      <w:pPr>
        <w:ind w:left="460" w:right="20" w:hanging="458"/>
        <w:spacing w:after="0" w:line="229" w:lineRule="auto"/>
        <w:tabs>
          <w:tab w:leader="none" w:pos="46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Reflects, on an as adjusted basis the sale and issuance by us of 4,000,000 shares of common stock in this offering at the assumed public offering price of $26.55 per share, which was the last reported sale price of our common stock on the Nasdaq Global Select Market on January 15, 2021, after deducting underwriting discounts and commissions and estimated offering expenses paid and payable by us. Each $1.00 increase or decrease in the assumed public offering price of $26.55 per share would increase or decrease, as applicable, each of our cash, cash equivalents and investments, working capital, total assets and total stockholders’ equity by $3.8 million,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or decrease of 1.0 million in the number of shares offered by us would increase or decrease, as applicable, each of our cash, cash equivalents and investments, working capital, total assets and total stockholders’ equity by $25.0 million, assuming that the assumed public offering price remains the same, and after deducting the underwriting discounts and commissions and estimated offering expenses payable by us. The as adjusted information discussed above is illustrative only and will adjust based on the actual public offering price and other terms of this offering determined at pricing.</w:t>
      </w:r>
    </w:p>
    <w:p>
      <w:pPr>
        <w:spacing w:after="0" w:line="14" w:lineRule="exact"/>
        <w:rPr>
          <w:rFonts w:ascii="Arial" w:cs="Arial" w:eastAsia="Arial" w:hAnsi="Arial"/>
          <w:sz w:val="24"/>
          <w:szCs w:val="24"/>
          <w:color w:val="auto"/>
          <w:vertAlign w:val="superscript"/>
        </w:rPr>
      </w:pPr>
    </w:p>
    <w:p>
      <w:pPr>
        <w:ind w:left="460" w:right="260" w:hanging="458"/>
        <w:spacing w:after="0" w:line="195" w:lineRule="auto"/>
        <w:tabs>
          <w:tab w:leader="none" w:pos="46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560" w:top="867" w:right="5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6027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6602730"/>
                    </a:xfrm>
                    <a:prstGeom prst="rect">
                      <a:avLst/>
                    </a:prstGeom>
                    <a:noFill/>
                  </pic:spPr>
                </pic:pic>
              </a:graphicData>
            </a:graphic>
          </wp:anchor>
        </w:drawing>
        <w:t>RISK FACTORS</w:t>
      </w:r>
    </w:p>
    <w:p>
      <w:pPr>
        <w:spacing w:after="0" w:line="216" w:lineRule="exact"/>
        <w:rPr>
          <w:sz w:val="20"/>
          <w:szCs w:val="20"/>
          <w:color w:val="auto"/>
        </w:rPr>
      </w:pPr>
    </w:p>
    <w:p>
      <w:pPr>
        <w:ind w:right="40" w:firstLine="553"/>
        <w:spacing w:after="0" w:line="24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the section of this prospectus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252" w:lineRule="exact"/>
        <w:rPr>
          <w:sz w:val="20"/>
          <w:szCs w:val="20"/>
          <w:color w:val="auto"/>
        </w:rPr>
      </w:pPr>
    </w:p>
    <w:p>
      <w:pPr>
        <w:ind w:right="140" w:firstLine="547"/>
        <w:spacing w:after="0" w:line="239"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We have initiated clinical trials for our lead product candidate, ATH-1017, and have not initiated clinical trials for any of our other product candidates.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180" w:lineRule="exact"/>
        <w:rPr>
          <w:sz w:val="20"/>
          <w:szCs w:val="20"/>
          <w:color w:val="auto"/>
        </w:rPr>
      </w:pPr>
    </w:p>
    <w:p>
      <w:pPr>
        <w:ind w:firstLine="553"/>
        <w:spacing w:after="0"/>
        <w:rPr>
          <w:sz w:val="20"/>
          <w:szCs w:val="20"/>
          <w:color w:val="auto"/>
        </w:rPr>
      </w:pPr>
      <w:r>
        <w:rPr>
          <w:rFonts w:ascii="Arial" w:cs="Arial" w:eastAsia="Arial" w:hAnsi="Arial"/>
          <w:sz w:val="18"/>
          <w:szCs w:val="18"/>
          <w:color w:val="auto"/>
        </w:rPr>
        <w:t>We may fail to or be unable to design and execute clinical trials to support marketing approval of ATH-1017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84" w:lineRule="exact"/>
        <w:rPr>
          <w:sz w:val="20"/>
          <w:szCs w:val="20"/>
          <w:color w:val="auto"/>
        </w:rPr>
      </w:pPr>
    </w:p>
    <w:p>
      <w:pPr>
        <w:ind w:right="420" w:firstLine="547"/>
        <w:spacing w:after="0" w:line="285"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156" w:lineRule="exact"/>
        <w:rPr>
          <w:sz w:val="20"/>
          <w:szCs w:val="20"/>
          <w:color w:val="auto"/>
        </w:rPr>
      </w:pPr>
    </w:p>
    <w:p>
      <w:pPr>
        <w:ind w:right="160" w:firstLine="547"/>
        <w:spacing w:after="0" w:line="245"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ATH-1017 and one or more of our other future product candidates. Our ability to generate revenue and achieve profitability depends significantly on our ability to achieve a number of objectives, including:</w:t>
      </w:r>
    </w:p>
    <w:p>
      <w:pPr>
        <w:spacing w:after="0" w:line="64" w:lineRule="exact"/>
        <w:rPr>
          <w:sz w:val="20"/>
          <w:szCs w:val="20"/>
          <w:color w:val="auto"/>
        </w:rPr>
      </w:pPr>
    </w:p>
    <w:p>
      <w:pPr>
        <w:ind w:left="1240" w:right="540" w:hanging="415"/>
        <w:spacing w:after="0" w:line="275" w:lineRule="auto"/>
        <w:tabs>
          <w:tab w:leader="none" w:pos="12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w:t>
      </w: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560" w:top="763" w:right="539" w:bottom="1440" w:gutter="0" w:footer="0" w:header="0"/>
        </w:sectPr>
      </w:pPr>
    </w:p>
    <w:bookmarkStart w:id="19" w:name="page20"/>
    <w:bookmarkEnd w:id="19"/>
    <w:p>
      <w:pPr>
        <w:ind w:left="1300"/>
        <w:spacing w:after="0" w:line="276" w:lineRule="auto"/>
        <w:rPr>
          <w:sz w:val="20"/>
          <w:szCs w:val="20"/>
          <w:color w:val="auto"/>
        </w:rPr>
      </w:pPr>
      <w:r>
        <w:rPr>
          <w:rFonts w:ascii="Arial" w:cs="Arial" w:eastAsia="Arial" w:hAnsi="Arial"/>
          <w:sz w:val="18"/>
          <w:szCs w:val="18"/>
          <w:color w:val="auto"/>
        </w:rPr>
        <w:t>unforeseen costs we may incur as a result of nonclinical study or clinical trial delays due to the novel coronavirus disease, or COVID-19, pandemic or other causes;</w:t>
      </w:r>
    </w:p>
    <w:p>
      <w:pPr>
        <w:spacing w:after="0" w:line="37" w:lineRule="exact"/>
        <w:rPr>
          <w:sz w:val="20"/>
          <w:szCs w:val="20"/>
          <w:color w:val="auto"/>
        </w:rPr>
      </w:pPr>
    </w:p>
    <w:p>
      <w:pPr>
        <w:ind w:left="1300" w:right="260" w:hanging="442"/>
        <w:spacing w:after="0" w:line="305" w:lineRule="auto"/>
        <w:tabs>
          <w:tab w:leader="none" w:pos="130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15" w:lineRule="exact"/>
        <w:rPr>
          <w:rFonts w:ascii="Times New Roman" w:cs="Times New Roman" w:eastAsia="Times New Roman" w:hAnsi="Times New Roman"/>
          <w:sz w:val="17"/>
          <w:szCs w:val="17"/>
          <w:color w:val="auto"/>
        </w:rPr>
      </w:pPr>
    </w:p>
    <w:p>
      <w:pPr>
        <w:ind w:left="1300" w:right="740" w:hanging="442"/>
        <w:spacing w:after="0" w:line="275" w:lineRule="auto"/>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116"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37" w:lineRule="exact"/>
        <w:rPr>
          <w:rFonts w:ascii="Times New Roman" w:cs="Times New Roman" w:eastAsia="Times New Roman" w:hAnsi="Times New Roman"/>
          <w:sz w:val="18"/>
          <w:szCs w:val="18"/>
          <w:color w:val="auto"/>
        </w:rPr>
      </w:pPr>
    </w:p>
    <w:p>
      <w:pPr>
        <w:jc w:val="both"/>
        <w:ind w:left="1300" w:right="140" w:hanging="442"/>
        <w:spacing w:after="0" w:line="255" w:lineRule="auto"/>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54" w:lineRule="exact"/>
        <w:rPr>
          <w:rFonts w:ascii="Times New Roman" w:cs="Times New Roman" w:eastAsia="Times New Roman" w:hAnsi="Times New Roman"/>
          <w:sz w:val="18"/>
          <w:szCs w:val="18"/>
          <w:color w:val="auto"/>
        </w:rPr>
      </w:pPr>
    </w:p>
    <w:p>
      <w:pPr>
        <w:ind w:left="1300" w:right="160" w:hanging="442"/>
        <w:spacing w:after="0" w:line="275" w:lineRule="auto"/>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w:t>
      </w:r>
    </w:p>
    <w:p>
      <w:pPr>
        <w:spacing w:after="0" w:line="116"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protecting our rights in our intellectual property portfolio;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116" w:lineRule="exact"/>
        <w:rPr>
          <w:rFonts w:ascii="Times New Roman" w:cs="Times New Roman" w:eastAsia="Times New Roman" w:hAnsi="Times New Roman"/>
          <w:sz w:val="18"/>
          <w:szCs w:val="18"/>
          <w:color w:val="auto"/>
        </w:rPr>
      </w:pPr>
    </w:p>
    <w:p>
      <w:pPr>
        <w:ind w:left="1300" w:right="440" w:hanging="442"/>
        <w:spacing w:after="0" w:line="275" w:lineRule="auto"/>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37"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170"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20" w:name="page21"/>
    <w:bookmarkEnd w:id="20"/>
    <w:p>
      <w:pPr>
        <w:ind w:right="500"/>
        <w:spacing w:after="0" w:line="276" w:lineRule="auto"/>
        <w:rPr>
          <w:sz w:val="20"/>
          <w:szCs w:val="20"/>
          <w:color w:val="auto"/>
        </w:rPr>
      </w:pPr>
      <w:r>
        <w:rPr>
          <w:rFonts w:ascii="Arial" w:cs="Arial" w:eastAsia="Arial" w:hAnsi="Arial"/>
          <w:sz w:val="18"/>
          <w:szCs w:val="18"/>
          <w:color w:val="auto"/>
        </w:rPr>
        <w:t>development, and could require additional clinical trials, including bridging studies, to demonstrate consistent and continued safety and efficacy.</w:t>
      </w:r>
    </w:p>
    <w:p>
      <w:pPr>
        <w:spacing w:after="0" w:line="145"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8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development of ATH-</w:t>
      </w:r>
      <w:r>
        <w:rPr>
          <w:rFonts w:ascii="Arial" w:cs="Arial" w:eastAsia="Arial" w:hAnsi="Arial"/>
          <w:sz w:val="18"/>
          <w:szCs w:val="18"/>
          <w:color w:val="auto"/>
        </w:rPr>
        <w:t>1017</w:t>
      </w:r>
      <w:r>
        <w:rPr>
          <w:rFonts w:ascii="Arial" w:cs="Arial" w:eastAsia="Arial" w:hAnsi="Arial"/>
          <w:sz w:val="18"/>
          <w:szCs w:val="18"/>
          <w:b w:val="1"/>
          <w:bCs w:val="1"/>
          <w:i w:val="1"/>
          <w:iCs w:val="1"/>
          <w:color w:val="auto"/>
        </w:rPr>
        <w:t xml:space="preserve"> may never lead to a marketable product.</w:t>
      </w:r>
    </w:p>
    <w:p>
      <w:pPr>
        <w:spacing w:after="0" w:line="252" w:lineRule="exact"/>
        <w:rPr>
          <w:sz w:val="20"/>
          <w:szCs w:val="20"/>
          <w:color w:val="auto"/>
        </w:rPr>
      </w:pPr>
    </w:p>
    <w:p>
      <w:pPr>
        <w:ind w:right="200" w:firstLine="569"/>
        <w:spacing w:after="0" w:line="248" w:lineRule="auto"/>
        <w:rPr>
          <w:sz w:val="20"/>
          <w:szCs w:val="20"/>
          <w:color w:val="auto"/>
        </w:rPr>
      </w:pPr>
      <w:r>
        <w:rPr>
          <w:rFonts w:ascii="Arial" w:cs="Arial" w:eastAsia="Arial" w:hAnsi="Arial"/>
          <w:sz w:val="18"/>
          <w:szCs w:val="18"/>
          <w:color w:val="auto"/>
        </w:rPr>
        <w:t>We are developing ATH-1017 as a small molecule aimed at restoring neuronal health. We have not received regulatory approval for ATH-1017 and cannot be certain that our approach will lead to the development of an approvable or marketable product, alone or in combination with other therapies. We may not succeed in demonstrating safety and efficacy of ATH-1017 in our LIFT-AD trial or in other clinical trials.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Advancing ATH-1017 as a small molecule aimed at restoring neuronal health creates significant challenges for us, including:</w:t>
      </w:r>
    </w:p>
    <w:p>
      <w:pPr>
        <w:spacing w:after="0" w:line="104" w:lineRule="exact"/>
        <w:rPr>
          <w:sz w:val="20"/>
          <w:szCs w:val="20"/>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w:t>
      </w:r>
    </w:p>
    <w:p>
      <w:pPr>
        <w:spacing w:after="0" w:line="116" w:lineRule="exact"/>
        <w:rPr>
          <w:rFonts w:ascii="Times New Roman" w:cs="Times New Roman" w:eastAsia="Times New Roman" w:hAnsi="Times New Roman"/>
          <w:sz w:val="18"/>
          <w:szCs w:val="18"/>
          <w:color w:val="auto"/>
        </w:rPr>
      </w:pPr>
    </w:p>
    <w:p>
      <w:pPr>
        <w:ind w:left="1300" w:right="260" w:hanging="442"/>
        <w:spacing w:after="0" w:line="25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if ATH-1017 is approved, educating medical personnel regarding the potential efficacy and safety benefits, as well as the challenges, of incorporating ATH-1017 into existing treatment regimens, including in combination with other treatments for AD; and</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332" w:lineRule="exact"/>
        <w:rPr>
          <w:sz w:val="20"/>
          <w:szCs w:val="20"/>
          <w:color w:val="auto"/>
        </w:rPr>
      </w:pPr>
    </w:p>
    <w:p>
      <w:pPr>
        <w:ind w:right="220" w:firstLine="569"/>
        <w:spacing w:after="0" w:line="247" w:lineRule="auto"/>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p>
    <w:p>
      <w:pPr>
        <w:spacing w:after="0" w:line="55"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ATH-1017, which is under development to treat Alzheimer’s disease, or AD, and other central nervous system, or CNS, disorders. Our product candidates target a brain growth factor which is expected to increase synaptic density, recovery in the network and information transmission in the brain, which we believe could ultimately result in improvement in cognition and clinical symptoms. The therapeutic 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1" w:name="page22"/>
    <w:bookmarkEnd w:id="21"/>
    <w:p>
      <w:pPr>
        <w:ind w:firstLine="576"/>
        <w:spacing w:after="0" w:line="237" w:lineRule="auto"/>
        <w:rPr>
          <w:sz w:val="20"/>
          <w:szCs w:val="20"/>
          <w:color w:val="auto"/>
        </w:rPr>
      </w:pPr>
      <w:r>
        <w:rPr>
          <w:rFonts w:ascii="Arial" w:cs="Arial" w:eastAsia="Arial" w:hAnsi="Arial"/>
          <w:sz w:val="18"/>
          <w:szCs w:val="18"/>
          <w:color w:val="auto"/>
        </w:rPr>
        <w:t>Based on the results of our nonclinical and clinical studies to date, we believe ATH-1017 has the potential to rapidly improve cognition and durably restore the lives of patients suffering from AD. However, these ideas and this approach are novel, and we currently have limited data based on our Phase 1a and 1b clinical trials, which enrolled 88 subjects, including only 11 patients with mild to moderate AD, of whom seven patients were treated with ATH-1017 and the other four patients were randomized to the control. Data from our Phase 1a and 1b clinical trials, while promising, were obtained from a relatively small number of subjects and a single clinical site and we cannot be certain that future trials involving a larger number of subjects and clinical sites will yield similar data. Additionally, in our Phase 1a and 1b clinical trials, we used electroencephalogram, or EEG, methods to gather data that we believe provide valuable insight into cognitive processing of the subjects evaluated. These EEG methods require the placement of electrodes on a subject’s scalp and, if these electrodes are not properly placed, we may be unable to obtain the data sought or the data obtained may be compromised and unreliable. In our Phase 1a and 1b clinical trials, data from certain subjects were not obtained due to problems encountered with the placement of the EEG electrodes and other technical issues, such as subject movement. While we believe the lack of data from these subjects did not impact the reliability or interpretation of the remaining data from these trials, we may in the future face similar issues with EEG methods, which could compromise future clinical trial results. We may ultimately discover that ATH-1017, or any of our other small molecules, do not possess certain properties required for therapeutic effectiveness. We have no long-term evidence regarding the efficacy, safety and tolerability of ATH-1017 or other small molecules in our product platform. We may spend substantial funds attempting to develop these product candidates and never succeed in doing so.</w:t>
      </w:r>
    </w:p>
    <w:p>
      <w:pPr>
        <w:spacing w:after="0" w:line="294" w:lineRule="exact"/>
        <w:rPr>
          <w:sz w:val="20"/>
          <w:szCs w:val="20"/>
          <w:color w:val="auto"/>
        </w:rPr>
      </w:pPr>
    </w:p>
    <w:p>
      <w:pPr>
        <w:ind w:right="920" w:firstLine="576"/>
        <w:spacing w:after="0" w:line="285"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CNS and peripheral degenerative disorders, a field that has seen very limited success in product development.</w:t>
      </w:r>
    </w:p>
    <w:p>
      <w:pPr>
        <w:spacing w:after="0" w:line="21"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We have focused our research and development efforts on addressing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84" w:lineRule="exact"/>
        <w:rPr>
          <w:sz w:val="20"/>
          <w:szCs w:val="20"/>
          <w:color w:val="auto"/>
        </w:rPr>
      </w:pPr>
    </w:p>
    <w:p>
      <w:pPr>
        <w:jc w:val="both"/>
        <w:ind w:right="280" w:firstLine="576"/>
        <w:spacing w:after="0" w:line="251"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early, smaller-scale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52"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Our lead product candidate, ATH-1017, is in clinical development for the potential treatment of AD and Parkinson’s disease dementia, or PDD. Our remaining product candidates, including ATH-1018 and ATH-1019, are in nonclinical development. It is impossible to predict when or if any of our product candidates will prove to be effective and safe in humans or will receive regulatory approval.</w:t>
      </w:r>
    </w:p>
    <w:p>
      <w:pPr>
        <w:spacing w:after="0" w:line="16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spacing w:after="0" w:line="236" w:lineRule="auto"/>
        <w:rPr>
          <w:sz w:val="20"/>
          <w:szCs w:val="20"/>
          <w:color w:val="auto"/>
        </w:rPr>
      </w:pPr>
      <w:r>
        <w:rPr>
          <w:rFonts w:ascii="Arial" w:cs="Arial" w:eastAsia="Arial" w:hAnsi="Arial"/>
          <w:sz w:val="18"/>
          <w:szCs w:val="18"/>
          <w:color w:val="auto"/>
        </w:rPr>
        <w:t>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Likewise, early, smaller-scale studies and clinical trials with a single or few clinical trial sites may not be predictive of eventual safety or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For example, LIFT-AD is a trial that we initiated in September 2020, which may provide pivotal data in support of registration. In November 2020, we initiated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However, even if we receive positive data in our ACT-AD P300 Phase 2 clinical trial and LIFT-AD, we cannot be certain that the FDA or other regulators will find such data sufficient for approval of ATH-1017. Our ability to achieve regulatory approval for ATH-1017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192"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Results of our clinical trials could reveal a high and unacceptable severity and prevalence of side effects. In such an event, our clinical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180"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Additionally, some of the clinical trials we conduct in the future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3" w:name="page24"/>
    <w:bookmarkEnd w:id="23"/>
    <w:p>
      <w:pPr>
        <w:ind w:right="200" w:firstLine="576"/>
        <w:spacing w:after="0" w:line="248" w:lineRule="auto"/>
        <w:rPr>
          <w:sz w:val="20"/>
          <w:szCs w:val="20"/>
          <w:color w:val="auto"/>
        </w:rPr>
      </w:pPr>
      <w:r>
        <w:rPr>
          <w:rFonts w:ascii="Arial" w:cs="Arial" w:eastAsia="Arial" w:hAnsi="Arial"/>
          <w:sz w:val="18"/>
          <w:szCs w:val="18"/>
          <w:color w:val="auto"/>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62" w:lineRule="exact"/>
        <w:rPr>
          <w:sz w:val="20"/>
          <w:szCs w:val="20"/>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with our ATH platform development strategy;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governmental regulations or administrative actions;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our ability to commence a clinical trial;</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IRB approval at each clinical trial site;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demonstrate a benefit from using a product candidate;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adding a sufficient number of clinical trial sites; or</w:t>
      </w:r>
    </w:p>
    <w:p>
      <w:pPr>
        <w:spacing w:after="0" w:line="116" w:lineRule="exact"/>
        <w:rPr>
          <w:rFonts w:ascii="Times New Roman" w:cs="Times New Roman" w:eastAsia="Times New Roman" w:hAnsi="Times New Roman"/>
          <w:sz w:val="18"/>
          <w:szCs w:val="18"/>
          <w:color w:val="auto"/>
        </w:rPr>
      </w:pPr>
    </w:p>
    <w:p>
      <w:pPr>
        <w:ind w:left="1300" w:right="740" w:hanging="442"/>
        <w:spacing w:after="0" w:line="275" w:lineRule="auto"/>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146"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0"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4" w:name="page25"/>
    <w:bookmarkEnd w:id="24"/>
    <w:p>
      <w:pPr>
        <w:ind w:right="40" w:firstLine="576"/>
        <w:spacing w:after="0" w:line="255" w:lineRule="auto"/>
        <w:rPr>
          <w:sz w:val="20"/>
          <w:szCs w:val="20"/>
          <w:color w:val="auto"/>
        </w:rPr>
      </w:pPr>
      <w:r>
        <w:rPr>
          <w:rFonts w:ascii="Arial" w:cs="Arial" w:eastAsia="Arial" w:hAnsi="Arial"/>
          <w:sz w:val="18"/>
          <w:szCs w:val="18"/>
          <w:color w:val="auto"/>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56" w:lineRule="exact"/>
        <w:rPr>
          <w:sz w:val="20"/>
          <w:szCs w:val="20"/>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incur unplanned costs;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be delayed in or prevented from obtaining marketing approval for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6" w:lineRule="exact"/>
        <w:rPr>
          <w:rFonts w:ascii="Times New Roman" w:cs="Times New Roman" w:eastAsia="Times New Roman" w:hAnsi="Times New Roman"/>
          <w:sz w:val="18"/>
          <w:szCs w:val="18"/>
          <w:color w:val="auto"/>
        </w:rPr>
      </w:pPr>
    </w:p>
    <w:p>
      <w:pPr>
        <w:ind w:left="1300" w:right="540" w:hanging="442"/>
        <w:spacing w:after="0" w:line="27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changes in the way the product is administered;</w:t>
      </w:r>
    </w:p>
    <w:p>
      <w:pPr>
        <w:spacing w:after="0" w:line="116" w:lineRule="exact"/>
        <w:rPr>
          <w:rFonts w:ascii="Times New Roman" w:cs="Times New Roman" w:eastAsia="Times New Roman" w:hAnsi="Times New Roman"/>
          <w:sz w:val="18"/>
          <w:szCs w:val="18"/>
          <w:color w:val="auto"/>
        </w:rPr>
      </w:pPr>
    </w:p>
    <w:p>
      <w:pPr>
        <w:ind w:left="1300" w:right="800" w:hanging="442"/>
        <w:spacing w:after="0" w:line="27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37"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risk evaluation and mitigation strategy, or REMS;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be sued; or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damage to our reputation.</w:t>
      </w:r>
    </w:p>
    <w:p>
      <w:pPr>
        <w:spacing w:after="0" w:line="332" w:lineRule="exact"/>
        <w:rPr>
          <w:sz w:val="20"/>
          <w:szCs w:val="20"/>
          <w:color w:val="auto"/>
        </w:rPr>
      </w:pPr>
    </w:p>
    <w:p>
      <w:pPr>
        <w:ind w:right="140" w:firstLine="576"/>
        <w:spacing w:after="0" w:line="260"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7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November 2020, we initiated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The topline results of this ACT-AD P300 Phase 2 clinical trial will be based on a preliminary analysis of then-available data, and a more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5" w:name="page26"/>
    <w:bookmarkEnd w:id="25"/>
    <w:p>
      <w:pPr>
        <w:ind w:right="40"/>
        <w:spacing w:after="0" w:line="276" w:lineRule="auto"/>
        <w:rPr>
          <w:sz w:val="20"/>
          <w:szCs w:val="20"/>
          <w:color w:val="auto"/>
        </w:rPr>
      </w:pPr>
      <w:r>
        <w:rPr>
          <w:rFonts w:ascii="Arial" w:cs="Arial" w:eastAsia="Arial" w:hAnsi="Arial"/>
          <w:sz w:val="18"/>
          <w:szCs w:val="18"/>
          <w:color w:val="auto"/>
        </w:rPr>
        <w:t>comprehensive and full review of the data may result in different conclusions, which could have a negative impact on our decisions regarding any additional trials for ATH-1017.</w:t>
      </w:r>
    </w:p>
    <w:p>
      <w:pPr>
        <w:spacing w:after="0" w:line="145"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88" w:lineRule="exact"/>
        <w:rPr>
          <w:sz w:val="20"/>
          <w:szCs w:val="20"/>
          <w:color w:val="auto"/>
        </w:rPr>
      </w:pPr>
    </w:p>
    <w:p>
      <w:pPr>
        <w:ind w:right="940" w:firstLine="576"/>
        <w:spacing w:after="0" w:line="28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21"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 locate a sufficient number of such patients, our clinical trial and development plans could be delayed.</w:t>
      </w:r>
    </w:p>
    <w:p>
      <w:pPr>
        <w:spacing w:after="0" w:line="179" w:lineRule="exact"/>
        <w:rPr>
          <w:sz w:val="20"/>
          <w:szCs w:val="20"/>
          <w:color w:val="auto"/>
        </w:rPr>
      </w:pPr>
    </w:p>
    <w:p>
      <w:pPr>
        <w:ind w:right="180" w:firstLine="576"/>
        <w:spacing w:after="0" w:line="241" w:lineRule="auto"/>
        <w:rPr>
          <w:sz w:val="20"/>
          <w:szCs w:val="20"/>
          <w:color w:val="auto"/>
        </w:rPr>
      </w:pPr>
      <w:r>
        <w:rPr>
          <w:rFonts w:ascii="Arial" w:cs="Arial" w:eastAsia="Arial" w:hAnsi="Arial"/>
          <w:sz w:val="18"/>
          <w:szCs w:val="18"/>
          <w:color w:val="auto"/>
        </w:rPr>
        <w:t>For example, we intend to enroll approximately 240 to 300 AD subjects with mild-to-moderate AD in LIFT-AD and 60 to 75 AD subjects with mild-to-moderate AD in our ACT-AD P300 Phase 2 clinical trial. If we are delayed or unsuccessful in enrolling the desired number of subjects in these trials, whether as a result of competing clinical trials, overly stringent eligibility requirements, or the ongoing impact of COVID-19 on both clinical trial sites and potential AD subjects, our clinical trial results could be delayed, the costs of our clinical trials could materially increase, and the overall development timeline for ATH-1017 could be negatively impacted. Even if we are successful in enrolling the targeted number of subjects in these trials, the FDA and other regulators may request additional clinical trials with larger numbers of subjects as a condition to any regulatory approval.</w:t>
      </w:r>
    </w:p>
    <w:p>
      <w:pPr>
        <w:spacing w:after="0" w:line="179"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179"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both"/>
        <w:ind w:right="140" w:firstLine="576"/>
        <w:spacing w:after="0" w:line="260"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43"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179"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of this prospectus titled “Business—Competition.”</w:t>
      </w:r>
    </w:p>
    <w:p>
      <w:pPr>
        <w:spacing w:after="0" w:line="288" w:lineRule="exact"/>
        <w:rPr>
          <w:sz w:val="20"/>
          <w:szCs w:val="20"/>
          <w:color w:val="auto"/>
        </w:rPr>
      </w:pPr>
    </w:p>
    <w:p>
      <w:pPr>
        <w:ind w:right="20" w:firstLine="576"/>
        <w:spacing w:after="0" w:line="285"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1"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27" w:name="page28"/>
    <w:bookmarkEnd w:id="27"/>
    <w:p>
      <w:pPr>
        <w:ind w:firstLine="576"/>
        <w:spacing w:after="0"/>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88" w:lineRule="exact"/>
        <w:rPr>
          <w:sz w:val="20"/>
          <w:szCs w:val="20"/>
          <w:color w:val="auto"/>
        </w:rPr>
      </w:pPr>
    </w:p>
    <w:p>
      <w:pPr>
        <w:ind w:right="80" w:firstLine="576"/>
        <w:spacing w:after="0" w:line="285"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1"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04" w:lineRule="exact"/>
        <w:rPr>
          <w:sz w:val="20"/>
          <w:szCs w:val="20"/>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permission to initiate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contracting with the necessary parties to conduct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adverse events in the clinical trials.</w:t>
      </w:r>
    </w:p>
    <w:p>
      <w:pPr>
        <w:spacing w:after="0" w:line="224"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78" w:lineRule="exact"/>
        <w:rPr>
          <w:sz w:val="20"/>
          <w:szCs w:val="20"/>
          <w:color w:val="auto"/>
        </w:rPr>
      </w:pPr>
    </w:p>
    <w:p>
      <w:pPr>
        <w:ind w:right="200" w:firstLine="576"/>
        <w:spacing w:after="0" w:line="260"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43"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8" w:name="page29"/>
    <w:bookmarkEnd w:id="28"/>
    <w:p>
      <w:pPr>
        <w:ind w:firstLine="576"/>
        <w:spacing w:after="0" w:line="248"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7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COVID-19 and Other Health Epidemics</w:t>
      </w:r>
    </w:p>
    <w:p>
      <w:pPr>
        <w:spacing w:after="0" w:line="106" w:lineRule="exact"/>
        <w:rPr>
          <w:sz w:val="20"/>
          <w:szCs w:val="20"/>
          <w:color w:val="auto"/>
        </w:rPr>
      </w:pPr>
    </w:p>
    <w:p>
      <w:pPr>
        <w:ind w:right="240" w:firstLine="576"/>
        <w:spacing w:after="0" w:line="285"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adversely impact our business, including our nonclinical studies and clinical trials.</w:t>
      </w:r>
    </w:p>
    <w:p>
      <w:pPr>
        <w:spacing w:after="0" w:line="21"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The world is in the midst of a pandemic. A novel strain of the coronavirus disease, COVID-19, has spread to a number of countries,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executive offices with our administrative employees continuing their work outside of our offices and limited the number of staff in any given research and development laboratory. In addition, we have a number of clinical trial sites in the state of California which, due to state and local shelter-in-place orders, are not able to enroll patients at this time. If these restrictions are not lifted in the near-term, it could impact the overall enrollment rate for our ongoing trials.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76"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nonclinical studies and clinical trials, including:</w:t>
      </w:r>
    </w:p>
    <w:p>
      <w:pPr>
        <w:spacing w:after="0" w:line="37" w:lineRule="exact"/>
        <w:rPr>
          <w:sz w:val="20"/>
          <w:szCs w:val="20"/>
          <w:color w:val="auto"/>
        </w:rPr>
      </w:pPr>
    </w:p>
    <w:p>
      <w:pPr>
        <w:jc w:val="both"/>
        <w:ind w:left="1300" w:right="260" w:hanging="442"/>
        <w:spacing w:after="0" w:line="25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54"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interpreting data from our clinical trials due to the possible effects of COVID-19 on cognition of the subjects enrolled in our clinical trials that contract COVID-19;</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6"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37" w:lineRule="exact"/>
        <w:rPr>
          <w:rFonts w:ascii="Times New Roman" w:cs="Times New Roman" w:eastAsia="Times New Roman" w:hAnsi="Times New Roman"/>
          <w:sz w:val="18"/>
          <w:szCs w:val="18"/>
          <w:color w:val="auto"/>
        </w:rPr>
      </w:pPr>
    </w:p>
    <w:p>
      <w:pPr>
        <w:ind w:left="1300" w:right="20" w:hanging="442"/>
        <w:spacing w:after="0" w:line="248"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61"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37"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9" w:name="page30"/>
    <w:bookmarkEnd w:id="29"/>
    <w:p>
      <w:pPr>
        <w:jc w:val="both"/>
        <w:ind w:left="1300" w:right="380" w:hanging="442"/>
        <w:spacing w:after="0" w:line="255" w:lineRule="auto"/>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54"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to our sourced discovery and clinical activities; and</w:t>
      </w:r>
    </w:p>
    <w:p>
      <w:pPr>
        <w:spacing w:after="0" w:line="116"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46"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FDA also issued a guidance on good manufacturing practice considerations for responding to COVID-19 infection in employees in drug products manufacturing, including recommendations for manufacturing controls to prevent contamination of drugs.</w:t>
      </w:r>
    </w:p>
    <w:p>
      <w:pPr>
        <w:spacing w:after="0" w:line="176"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The COVID-19 pandemic continues to develop rapidly, with the status of operations and government restrictions evolving weekly. The extent to which the outbreak impacts our business, nonclinical studies and clinical trials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72"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17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74" w:lineRule="exact"/>
        <w:rPr>
          <w:sz w:val="20"/>
          <w:szCs w:val="20"/>
          <w:color w:val="auto"/>
        </w:rPr>
      </w:pPr>
    </w:p>
    <w:p>
      <w:pPr>
        <w:jc w:val="both"/>
        <w:ind w:right="60" w:firstLine="576"/>
        <w:spacing w:after="0" w:line="245" w:lineRule="auto"/>
        <w:rPr>
          <w:sz w:val="20"/>
          <w:szCs w:val="20"/>
          <w:color w:val="auto"/>
        </w:rPr>
      </w:pPr>
      <w:r>
        <w:rPr>
          <w:rFonts w:ascii="Arial" w:cs="Arial" w:eastAsia="Arial" w:hAnsi="Arial"/>
          <w:sz w:val="18"/>
          <w:szCs w:val="18"/>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0" w:name="page31"/>
    <w:bookmarkEnd w:id="30"/>
    <w:p>
      <w:pPr>
        <w:spacing w:after="0" w:line="248" w:lineRule="auto"/>
        <w:rPr>
          <w:sz w:val="20"/>
          <w:szCs w:val="20"/>
          <w:color w:val="auto"/>
        </w:rPr>
      </w:pPr>
      <w:r>
        <w:rPr>
          <w:rFonts w:ascii="Arial" w:cs="Arial" w:eastAsia="Arial" w:hAnsi="Arial"/>
          <w:sz w:val="18"/>
          <w:szCs w:val="18"/>
          <w:color w:val="auto"/>
        </w:rPr>
        <w:t>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7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Our Financial Position and Capital Needs</w:t>
      </w:r>
    </w:p>
    <w:p>
      <w:pPr>
        <w:spacing w:after="0" w:line="106" w:lineRule="exact"/>
        <w:rPr>
          <w:sz w:val="20"/>
          <w:szCs w:val="20"/>
          <w:color w:val="auto"/>
        </w:rPr>
      </w:pPr>
    </w:p>
    <w:p>
      <w:pPr>
        <w:ind w:right="260" w:firstLine="576"/>
        <w:spacing w:after="0" w:line="28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21"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We have not generated any revenue from product sales and our product candidates will require substantial additional investment before they may provide us with any revenue. We had net losses of $5.2 million and $ 12.3 million for the year ended December 31, 2019 and the nine months ended September 30, 2020, respectively, and an accumulated deficit of $33.3 million as of September 30, 2020.</w:t>
      </w:r>
    </w:p>
    <w:p>
      <w:pPr>
        <w:spacing w:after="0" w:line="164" w:lineRule="exact"/>
        <w:rPr>
          <w:sz w:val="20"/>
          <w:szCs w:val="20"/>
          <w:color w:val="auto"/>
        </w:rPr>
      </w:pPr>
    </w:p>
    <w:p>
      <w:pPr>
        <w:ind w:right="320" w:firstLine="576"/>
        <w:spacing w:after="0" w:line="255"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nonclinical development activities. To date, we have financed our operations primarily with proceeds from the sale and issuance of common stock, convertible preferred stock and convertible notes, and to a lesser extent from grant income and stock option exercises.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4" w:lineRule="exact"/>
        <w:rPr>
          <w:sz w:val="20"/>
          <w:szCs w:val="20"/>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16" w:lineRule="exact"/>
        <w:rPr>
          <w:rFonts w:ascii="Times New Roman" w:cs="Times New Roman" w:eastAsia="Times New Roman" w:hAnsi="Times New Roman"/>
          <w:sz w:val="18"/>
          <w:szCs w:val="18"/>
          <w:color w:val="auto"/>
        </w:rPr>
      </w:pPr>
    </w:p>
    <w:p>
      <w:pPr>
        <w:ind w:left="1300" w:right="260" w:hanging="442"/>
        <w:spacing w:after="0" w:line="27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additional nonclinical, clinical or other studies for our product candidates, including any pivotal trials with respect to ATH-1017 for the treatment of mild-to-moderate AD in addition to LIFT-AD;</w:t>
      </w:r>
    </w:p>
    <w:p>
      <w:pPr>
        <w:spacing w:after="0" w:line="37"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relocate to our new facility and build out lab space;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validate additional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make milestone or other payments under our in-license or other agreements;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maintain, protect and expand our intellectual property portfolio;</w:t>
      </w:r>
    </w:p>
    <w:p>
      <w:pPr>
        <w:spacing w:after="0" w:line="116"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create additional infrastructure to support our operations and our product development and planned future commercialization efforts;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any delays or encounter issues with any of the above.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1" w:name="page32"/>
    <w:bookmarkEnd w:id="31"/>
    <w:p>
      <w:pPr>
        <w:ind w:right="80" w:firstLine="576"/>
        <w:spacing w:after="0" w:line="248" w:lineRule="auto"/>
        <w:rPr>
          <w:sz w:val="20"/>
          <w:szCs w:val="20"/>
          <w:color w:val="auto"/>
        </w:rPr>
      </w:pPr>
      <w:r>
        <w:rPr>
          <w:rFonts w:ascii="Arial" w:cs="Arial" w:eastAsia="Arial" w:hAnsi="Arial"/>
          <w:sz w:val="18"/>
          <w:szCs w:val="18"/>
          <w:color w:val="auto"/>
        </w:rPr>
        <w:t>Our expenses could increase beyond expectations for a variety of reasons, including if we are required by the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stockholders’ equity.</w:t>
      </w:r>
    </w:p>
    <w:p>
      <w:pPr>
        <w:spacing w:after="0" w:line="278" w:lineRule="exact"/>
        <w:rPr>
          <w:sz w:val="20"/>
          <w:szCs w:val="20"/>
          <w:color w:val="auto"/>
        </w:rPr>
      </w:pPr>
    </w:p>
    <w:p>
      <w:pPr>
        <w:ind w:right="180" w:firstLine="576"/>
        <w:spacing w:after="0" w:line="260"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43"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ATH-1017. Developing ATH-1017 and conducting clinical trials for the treatment of AD, PDD, and any other indications that we may pursue in the future will require substantial amounts of capital. In addition, if we obtain marketing approval for ATH-1017 or any future product candidates, we expect to incur significant commercialization expenses related to sales, marketing, manufacturing, and distribution. Furthermore, we expect to continue to incur additional costs associated with operating as a public company.</w:t>
      </w:r>
    </w:p>
    <w:p>
      <w:pPr>
        <w:spacing w:after="0" w:line="179"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Accordingly, we will need to obtain substantial additional funding in connection with our continuing operations. As of September 30, 2020, we had cash, cash equivalents, and investments of $259.9 million. Based upon our current operating plan, we estimate that our existing cash, cash equivalents, and investments will be sufficient to fund our operating expenses and capital expenditure requirements at least through 2022.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174" w:lineRule="exact"/>
        <w:rPr>
          <w:sz w:val="20"/>
          <w:szCs w:val="20"/>
          <w:color w:val="auto"/>
        </w:rPr>
      </w:pPr>
    </w:p>
    <w:p>
      <w:pPr>
        <w:ind w:right="600" w:firstLine="576"/>
        <w:spacing w:after="0" w:line="276" w:lineRule="auto"/>
        <w:rPr>
          <w:sz w:val="20"/>
          <w:szCs w:val="20"/>
          <w:color w:val="auto"/>
        </w:rPr>
      </w:pPr>
      <w:r>
        <w:rPr>
          <w:rFonts w:ascii="Arial" w:cs="Arial" w:eastAsia="Arial" w:hAnsi="Arial"/>
          <w:sz w:val="18"/>
          <w:szCs w:val="18"/>
          <w:color w:val="auto"/>
        </w:rPr>
        <w:t>The amount and timing of our future funding requirements depends on many factors, some of which are outside of our control, including but not limited to:</w:t>
      </w:r>
    </w:p>
    <w:p>
      <w:pPr>
        <w:spacing w:after="0" w:line="37" w:lineRule="exact"/>
        <w:rPr>
          <w:sz w:val="20"/>
          <w:szCs w:val="20"/>
          <w:color w:val="auto"/>
        </w:rPr>
      </w:pPr>
    </w:p>
    <w:p>
      <w:pPr>
        <w:ind w:left="1300" w:right="620" w:hanging="442"/>
        <w:spacing w:after="0" w:line="275" w:lineRule="auto"/>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costs, clinical trial design, results of and timing of our LIFT-AD trial and other clinical trials of ATH-1017, including for potential additional indications that we are pursuing beyond AD, such as PDD;</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ATH-1017 for AD;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characteristics of product candidates that we pursue;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manufacture sufficient quantities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expand our research and development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16"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2" w:name="page33"/>
    <w:bookmarkEnd w:id="32"/>
    <w:p>
      <w:pPr>
        <w:ind w:left="1300"/>
        <w:spacing w:after="0" w:line="276" w:lineRule="auto"/>
        <w:rPr>
          <w:sz w:val="20"/>
          <w:szCs w:val="20"/>
          <w:color w:val="auto"/>
        </w:rPr>
      </w:pPr>
      <w:r>
        <w:rPr>
          <w:rFonts w:ascii="Arial" w:cs="Arial" w:eastAsia="Arial" w:hAnsi="Arial"/>
          <w:sz w:val="18"/>
          <w:szCs w:val="18"/>
          <w:color w:val="auto"/>
        </w:rPr>
        <w:t>may receive, in connection with the licensing, filing, prosecution, defense and enforcement of any patents or other intellectual property rights;</w:t>
      </w:r>
    </w:p>
    <w:p>
      <w:pPr>
        <w:spacing w:after="0" w:line="37" w:lineRule="exact"/>
        <w:rPr>
          <w:sz w:val="20"/>
          <w:szCs w:val="20"/>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16"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146"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Additional funding may not be available to us on acceptable terms or at all. Any such funding may result in dilution to stockholders, imposition of debt covenants and repayment obligations, or other restrictions that may affect our business. If we are unable 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04"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As of December 31, 2019, we had federal net operating loss carryforwards, or NOLs, to offset future taxable income of approximately $9.4 million and federal tax credit carryforwards of approximately $1.0 million. The federal NOLs generated during and after fiscal 2018 totaling $9.2 million are carried forward indefinitely, while all others, if not utilized, will expire in various years beginning in 2025. A lack of future taxable income would adversely affect our ability to utilize these NOLs. In addition, under Section 382 of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106" w:lineRule="exact"/>
        <w:rPr>
          <w:sz w:val="20"/>
          <w:szCs w:val="20"/>
          <w:color w:val="auto"/>
        </w:rPr>
      </w:pPr>
    </w:p>
    <w:p>
      <w:pPr>
        <w:ind w:right="480" w:firstLine="576"/>
        <w:spacing w:after="0" w:line="251"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2"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3" w:name="page34"/>
    <w:bookmarkEnd w:id="33"/>
    <w:p>
      <w:pPr>
        <w:ind w:right="100" w:firstLine="576"/>
        <w:spacing w:after="0" w:line="238"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300" w:right="280" w:hanging="442"/>
        <w:spacing w:after="0" w:line="275" w:lineRule="auto"/>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37" w:lineRule="exact"/>
        <w:rPr>
          <w:rFonts w:ascii="Times New Roman" w:cs="Times New Roman" w:eastAsia="Times New Roman" w:hAnsi="Times New Roman"/>
          <w:sz w:val="18"/>
          <w:szCs w:val="18"/>
          <w:color w:val="auto"/>
        </w:rPr>
      </w:pPr>
    </w:p>
    <w:p>
      <w:pPr>
        <w:ind w:left="1300" w:right="460" w:hanging="442"/>
        <w:spacing w:after="0" w:line="255" w:lineRule="auto"/>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54"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37" w:lineRule="exact"/>
        <w:rPr>
          <w:rFonts w:ascii="Times New Roman" w:cs="Times New Roman" w:eastAsia="Times New Roman" w:hAnsi="Times New Roman"/>
          <w:sz w:val="18"/>
          <w:szCs w:val="18"/>
          <w:color w:val="auto"/>
        </w:rPr>
      </w:pPr>
    </w:p>
    <w:p>
      <w:pPr>
        <w:ind w:left="1300" w:right="460" w:hanging="442"/>
        <w:spacing w:after="0" w:line="275" w:lineRule="auto"/>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37"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37" w:lineRule="exact"/>
        <w:rPr>
          <w:rFonts w:ascii="Times New Roman" w:cs="Times New Roman" w:eastAsia="Times New Roman" w:hAnsi="Times New Roman"/>
          <w:sz w:val="18"/>
          <w:szCs w:val="18"/>
          <w:color w:val="auto"/>
        </w:rPr>
      </w:pPr>
    </w:p>
    <w:p>
      <w:pPr>
        <w:ind w:left="1300" w:hanging="442"/>
        <w:spacing w:after="0" w:line="305" w:lineRule="auto"/>
        <w:tabs>
          <w:tab w:leader="none" w:pos="130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Times New Roman" w:cs="Times New Roman" w:eastAsia="Times New Roman" w:hAnsi="Times New Roman"/>
          <w:sz w:val="17"/>
          <w:szCs w:val="17"/>
          <w:color w:val="auto"/>
        </w:rPr>
      </w:pPr>
    </w:p>
    <w:p>
      <w:pPr>
        <w:ind w:left="1300" w:right="40" w:hanging="442"/>
        <w:spacing w:after="0" w:line="275" w:lineRule="auto"/>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w:t>
      </w:r>
    </w:p>
    <w:p>
      <w:pPr>
        <w:spacing w:after="0" w:line="146" w:lineRule="exact"/>
        <w:rPr>
          <w:sz w:val="20"/>
          <w:szCs w:val="20"/>
          <w:color w:val="auto"/>
        </w:rPr>
      </w:pPr>
    </w:p>
    <w:p>
      <w:pPr>
        <w:ind w:right="240" w:firstLine="576"/>
        <w:spacing w:after="0"/>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4" w:name="page35"/>
    <w:bookmarkEnd w:id="34"/>
    <w:p>
      <w:pPr>
        <w:ind w:right="140" w:firstLine="576"/>
        <w:spacing w:after="0" w:line="24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278" w:lineRule="exact"/>
        <w:rPr>
          <w:sz w:val="20"/>
          <w:szCs w:val="20"/>
          <w:color w:val="auto"/>
        </w:rPr>
      </w:pPr>
    </w:p>
    <w:p>
      <w:pPr>
        <w:ind w:right="140" w:firstLine="576"/>
        <w:spacing w:after="0" w:line="251"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52" w:lineRule="exact"/>
        <w:rPr>
          <w:sz w:val="20"/>
          <w:szCs w:val="20"/>
          <w:color w:val="auto"/>
        </w:rPr>
      </w:pPr>
    </w:p>
    <w:p>
      <w:pPr>
        <w:ind w:right="160" w:firstLine="576"/>
        <w:spacing w:after="0" w:line="241"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179"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79"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88"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5" w:name="page36"/>
    <w:bookmarkEnd w:id="35"/>
    <w:p>
      <w:pPr>
        <w:jc w:val="both"/>
        <w:ind w:right="80"/>
        <w:spacing w:after="0" w:line="255" w:lineRule="auto"/>
        <w:rPr>
          <w:sz w:val="20"/>
          <w:szCs w:val="20"/>
          <w:color w:val="auto"/>
        </w:rPr>
      </w:pPr>
      <w:r>
        <w:rPr>
          <w:rFonts w:ascii="Arial" w:cs="Arial" w:eastAsia="Arial" w:hAnsi="Arial"/>
          <w:sz w:val="18"/>
          <w:szCs w:val="18"/>
          <w:color w:val="auto"/>
        </w:rPr>
        <w:t>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272" w:lineRule="exact"/>
        <w:rPr>
          <w:sz w:val="20"/>
          <w:szCs w:val="20"/>
          <w:color w:val="auto"/>
        </w:rPr>
      </w:pPr>
    </w:p>
    <w:p>
      <w:pPr>
        <w:ind w:right="160" w:firstLine="576"/>
        <w:spacing w:after="0" w:line="285"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1"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6" w:name="page37"/>
    <w:bookmarkEnd w:id="36"/>
    <w:p>
      <w:pPr>
        <w:ind w:right="140" w:firstLine="576"/>
        <w:spacing w:after="0" w:line="260"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43"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68" w:lineRule="exact"/>
        <w:rPr>
          <w:sz w:val="20"/>
          <w:szCs w:val="20"/>
          <w:color w:val="auto"/>
        </w:rPr>
      </w:pPr>
    </w:p>
    <w:p>
      <w:pPr>
        <w:ind w:left="1300" w:right="520" w:hanging="442"/>
        <w:spacing w:after="0" w:line="275" w:lineRule="auto"/>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37"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37" w:lineRule="exact"/>
        <w:rPr>
          <w:rFonts w:ascii="Times New Roman" w:cs="Times New Roman" w:eastAsia="Times New Roman" w:hAnsi="Times New Roman"/>
          <w:sz w:val="18"/>
          <w:szCs w:val="18"/>
          <w:color w:val="auto"/>
        </w:rPr>
      </w:pPr>
    </w:p>
    <w:p>
      <w:pPr>
        <w:ind w:left="1300" w:right="320" w:hanging="442"/>
        <w:spacing w:after="0" w:line="275" w:lineRule="auto"/>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holds on clinical trials;</w:t>
      </w:r>
    </w:p>
    <w:p>
      <w:pPr>
        <w:spacing w:after="0" w:line="116"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ind w:right="240" w:firstLine="576"/>
        <w:spacing w:after="0" w:line="24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2"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generate revenue and could require us to expend significant time and resources in response and could generate negative publicity.</w:t>
      </w:r>
    </w:p>
    <w:p>
      <w:pPr>
        <w:spacing w:after="0" w:line="21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91" w:lineRule="exact"/>
        <w:rPr>
          <w:sz w:val="20"/>
          <w:szCs w:val="20"/>
          <w:color w:val="auto"/>
        </w:rPr>
      </w:pPr>
    </w:p>
    <w:p>
      <w:pPr>
        <w:ind w:right="60" w:firstLine="576"/>
        <w:spacing w:after="0" w:line="247" w:lineRule="auto"/>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55"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7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the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38" w:name="page39"/>
    <w:bookmarkEnd w:id="38"/>
    <w:p>
      <w:pPr>
        <w:ind w:right="260" w:firstLine="576"/>
        <w:spacing w:after="0" w:line="244"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0"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80"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91" w:lineRule="exact"/>
        <w:rPr>
          <w:sz w:val="20"/>
          <w:szCs w:val="20"/>
          <w:color w:val="auto"/>
        </w:rPr>
      </w:pPr>
    </w:p>
    <w:p>
      <w:pPr>
        <w:ind w:firstLine="576"/>
        <w:spacing w:after="0" w:line="285"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21" w:lineRule="exact"/>
        <w:rPr>
          <w:sz w:val="20"/>
          <w:szCs w:val="20"/>
          <w:color w:val="auto"/>
        </w:rPr>
      </w:pPr>
    </w:p>
    <w:p>
      <w:pPr>
        <w:ind w:right="460" w:firstLine="576"/>
        <w:spacing w:after="0" w:line="248"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62" w:lineRule="exact"/>
        <w:rPr>
          <w:sz w:val="20"/>
          <w:szCs w:val="20"/>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our manufacturing arrangements;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modifications to product labeling;</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recall or discontinuation of our products; or</w:t>
      </w:r>
    </w:p>
    <w:p>
      <w:pPr>
        <w:spacing w:after="0" w:line="116"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14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w:t>
      </w:r>
    </w:p>
    <w:p>
      <w:pPr>
        <w:spacing w:after="0" w:line="18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TCJA,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TCJA,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and held oral arguments in November 2020, although it is uncertain when a decision will be made or how the United States Supreme Court will rule. It is unclear how such litigation and other efforts to repeal and replace the ACA will be affected by the results of the U.S. general election in November 2020 and how such efforts will impact the ACA and our business. Litigation and legislation over the ACA are likely to continue, with unpredictable and uncertain results.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188"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Executive Order terminating the cost-sharing subsidies that reimburse insurers under the Affordable Care Act. The 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Further, on June 14, 2018, the U.S. Court of Appeals for the Federal Circuit ruled that the federal government was not required to pay to third-party payors more than $12 billion in ACA risk corridor payments that they argued were owed to them. This was appealed to the U.S. Supreme Court, who reversed the Federal Circuit’s decision on April 27, 2020, and ruled that the government must make risk corridor payments.</w:t>
      </w:r>
    </w:p>
    <w:p>
      <w:pPr>
        <w:spacing w:after="0" w:line="216" w:lineRule="exact"/>
        <w:rPr>
          <w:sz w:val="20"/>
          <w:szCs w:val="20"/>
          <w:color w:val="auto"/>
        </w:rPr>
      </w:pPr>
    </w:p>
    <w:p>
      <w:pPr>
        <w:ind w:right="40" w:firstLine="589"/>
        <w:spacing w:after="0" w:line="237" w:lineRule="auto"/>
        <w:rPr>
          <w:sz w:val="20"/>
          <w:szCs w:val="20"/>
          <w:color w:val="auto"/>
        </w:rPr>
      </w:pPr>
      <w:r>
        <w:rPr>
          <w:rFonts w:ascii="Arial" w:cs="Arial" w:eastAsia="Arial" w:hAnsi="Arial"/>
          <w:sz w:val="18"/>
          <w:szCs w:val="18"/>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repealed the Cadillac tax, the health insurance provider tax, and the medical device excise tax. It is impossible to determine whether similar taxes could be instated in the future.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2030 with the exception of a temporary suspension implemented under various COVID-19 relief legislation from May 1, 2020 through March 31, 2021, unless additional Congressional action is taken.</w:t>
      </w:r>
    </w:p>
    <w:p>
      <w:pPr>
        <w:spacing w:after="0" w:line="209" w:lineRule="exact"/>
        <w:rPr>
          <w:sz w:val="20"/>
          <w:szCs w:val="20"/>
          <w:color w:val="auto"/>
        </w:rPr>
      </w:pPr>
    </w:p>
    <w:p>
      <w:pPr>
        <w:ind w:right="40" w:firstLine="589"/>
        <w:spacing w:after="0" w:line="238" w:lineRule="auto"/>
        <w:rPr>
          <w:sz w:val="20"/>
          <w:szCs w:val="20"/>
          <w:color w:val="auto"/>
        </w:rPr>
      </w:pPr>
      <w:r>
        <w:rPr>
          <w:rFonts w:ascii="Arial" w:cs="Arial" w:eastAsia="Arial" w:hAnsi="Arial"/>
          <w:sz w:val="18"/>
          <w:szCs w:val="18"/>
          <w:color w:val="auto"/>
        </w:rPr>
        <w:t>In addition, other legislative changes have been proposed and adopted since the ACA was enacted.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On July 24, 2020 and September 13, 2020, the Trump administration announced several executive orders related to prescription drug pricing that seek to implement several of the administration's proposals. The FDA also released a final rule in September 2020 providing guidance for states to build and submit importation plans for drugs from Canada. Further, in November 2020, HHS finalized a regulation removing safe harbor protection for price reductions from pharmaceutical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spacing w:after="0" w:line="248" w:lineRule="auto"/>
        <w:rPr>
          <w:sz w:val="20"/>
          <w:szCs w:val="20"/>
          <w:color w:val="auto"/>
        </w:rPr>
      </w:pPr>
      <w:r>
        <w:rPr>
          <w:rFonts w:ascii="Arial" w:cs="Arial" w:eastAsia="Arial" w:hAnsi="Arial"/>
          <w:sz w:val="18"/>
          <w:szCs w:val="18"/>
          <w:color w:val="auto"/>
        </w:rPr>
        <w:t>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It is unclear to what extent the results of the U.S. general election in November 2020 and these new regulations will affect these policies and what the effects will be on our business.</w:t>
      </w:r>
    </w:p>
    <w:p>
      <w:pPr>
        <w:spacing w:after="0" w:line="17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6"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0"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64" w:lineRule="exact"/>
        <w:rPr>
          <w:sz w:val="20"/>
          <w:szCs w:val="20"/>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product candidates, if we obtain regulatory approval;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24"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45"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affected by the results of the U.S. general election in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16" w:right="379" w:bottom="1440" w:gutter="0" w:footer="0" w:header="0"/>
        </w:sectPr>
      </w:pPr>
    </w:p>
    <w:bookmarkStart w:id="42" w:name="page43"/>
    <w:bookmarkEnd w:id="42"/>
    <w:p>
      <w:pPr>
        <w:ind w:right="300"/>
        <w:spacing w:after="0" w:line="248" w:lineRule="auto"/>
        <w:rPr>
          <w:sz w:val="20"/>
          <w:szCs w:val="20"/>
          <w:color w:val="auto"/>
        </w:rPr>
      </w:pPr>
      <w:r>
        <w:rPr>
          <w:rFonts w:ascii="Arial" w:cs="Arial" w:eastAsia="Arial" w:hAnsi="Arial"/>
          <w:sz w:val="18"/>
          <w:szCs w:val="18"/>
          <w:color w:val="auto"/>
        </w:rPr>
        <w:t>November 2020,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78" w:lineRule="exact"/>
        <w:rPr>
          <w:sz w:val="20"/>
          <w:szCs w:val="20"/>
          <w:color w:val="auto"/>
        </w:rPr>
      </w:pPr>
    </w:p>
    <w:p>
      <w:pPr>
        <w:ind w:right="180" w:firstLine="576"/>
        <w:spacing w:after="0" w:line="247"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55"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04" w:lineRule="exact"/>
        <w:rPr>
          <w:sz w:val="20"/>
          <w:szCs w:val="20"/>
          <w:color w:val="auto"/>
        </w:rPr>
      </w:pPr>
    </w:p>
    <w:p>
      <w:pPr>
        <w:ind w:left="1300" w:right="40" w:hanging="442"/>
        <w:spacing w:after="0" w:line="238" w:lineRule="auto"/>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74" w:lineRule="exact"/>
        <w:rPr>
          <w:rFonts w:ascii="Times New Roman" w:cs="Times New Roman" w:eastAsia="Times New Roman" w:hAnsi="Times New Roman"/>
          <w:sz w:val="18"/>
          <w:szCs w:val="18"/>
          <w:color w:val="auto"/>
        </w:rPr>
      </w:pPr>
    </w:p>
    <w:p>
      <w:pPr>
        <w:ind w:left="1300" w:right="60" w:hanging="442"/>
        <w:spacing w:after="0" w:line="238" w:lineRule="auto"/>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7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ind w:left="1300" w:right="60"/>
        <w:spacing w:after="0" w:line="241" w:lineRule="auto"/>
        <w:rPr>
          <w:sz w:val="20"/>
          <w:szCs w:val="20"/>
          <w:color w:val="auto"/>
        </w:rPr>
      </w:pPr>
      <w:r>
        <w:rPr>
          <w:rFonts w:ascii="Arial" w:cs="Arial" w:eastAsia="Arial" w:hAnsi="Arial"/>
          <w:sz w:val="18"/>
          <w:szCs w:val="18"/>
          <w:color w:val="auto"/>
        </w:rPr>
        <w:t>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71" w:lineRule="exact"/>
        <w:rPr>
          <w:sz w:val="20"/>
          <w:szCs w:val="20"/>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1" w:lineRule="exact"/>
        <w:rPr>
          <w:rFonts w:ascii="Times New Roman" w:cs="Times New Roman" w:eastAsia="Times New Roman" w:hAnsi="Times New Roman"/>
          <w:sz w:val="18"/>
          <w:szCs w:val="18"/>
          <w:color w:val="auto"/>
        </w:rPr>
      </w:pPr>
    </w:p>
    <w:p>
      <w:pPr>
        <w:ind w:left="1300" w:hanging="442"/>
        <w:spacing w:after="0" w:line="241" w:lineRule="auto"/>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payments and transfers of value made during the previous year to certain non-physician providers such as physician assistants and nurse practitioners.</w:t>
      </w:r>
    </w:p>
    <w:p>
      <w:pPr>
        <w:spacing w:after="0" w:line="69"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37" w:lineRule="exact"/>
        <w:rPr>
          <w:rFonts w:ascii="Times New Roman" w:cs="Times New Roman" w:eastAsia="Times New Roman" w:hAnsi="Times New Roman"/>
          <w:sz w:val="18"/>
          <w:szCs w:val="18"/>
          <w:color w:val="auto"/>
        </w:rPr>
      </w:pPr>
    </w:p>
    <w:p>
      <w:pPr>
        <w:ind w:left="1300" w:hanging="442"/>
        <w:spacing w:after="0" w:line="238" w:lineRule="auto"/>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82"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44" w:name="page45"/>
    <w:bookmarkEnd w:id="44"/>
    <w:p>
      <w:pPr>
        <w:ind w:right="20"/>
        <w:spacing w:after="0" w:line="245" w:lineRule="auto"/>
        <w:rPr>
          <w:sz w:val="20"/>
          <w:szCs w:val="20"/>
          <w:color w:val="auto"/>
        </w:rPr>
      </w:pPr>
      <w:r>
        <w:rPr>
          <w:rFonts w:ascii="Arial" w:cs="Arial" w:eastAsia="Arial" w:hAnsi="Arial"/>
          <w:sz w:val="18"/>
          <w:szCs w:val="18"/>
          <w:color w:val="auto"/>
        </w:rPr>
        <w:t>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80" w:lineRule="exact"/>
        <w:rPr>
          <w:sz w:val="20"/>
          <w:szCs w:val="20"/>
          <w:color w:val="auto"/>
        </w:rPr>
      </w:pPr>
    </w:p>
    <w:p>
      <w:pPr>
        <w:ind w:right="220" w:firstLine="576"/>
        <w:spacing w:after="0" w:line="260"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3"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4" w:lineRule="exact"/>
        <w:rPr>
          <w:sz w:val="20"/>
          <w:szCs w:val="20"/>
          <w:color w:val="auto"/>
        </w:rPr>
      </w:pPr>
    </w:p>
    <w:p>
      <w:pPr>
        <w:ind w:right="760" w:firstLine="576"/>
        <w:spacing w:after="0" w:line="28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1" w:lineRule="exact"/>
        <w:rPr>
          <w:sz w:val="20"/>
          <w:szCs w:val="20"/>
          <w:color w:val="auto"/>
        </w:rPr>
      </w:pPr>
    </w:p>
    <w:p>
      <w:pPr>
        <w:jc w:val="both"/>
        <w:ind w:right="80" w:firstLine="576"/>
        <w:spacing w:after="0" w:line="243"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1" w:lineRule="exact"/>
        <w:rPr>
          <w:sz w:val="20"/>
          <w:szCs w:val="20"/>
          <w:color w:val="auto"/>
        </w:rPr>
      </w:pPr>
    </w:p>
    <w:p>
      <w:pPr>
        <w:ind w:right="520" w:firstLine="576"/>
        <w:spacing w:after="0" w:line="255"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ind w:right="80" w:firstLine="576"/>
        <w:spacing w:after="0" w:line="285"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106" w:lineRule="exact"/>
        <w:rPr>
          <w:sz w:val="20"/>
          <w:szCs w:val="20"/>
          <w:color w:val="auto"/>
        </w:rPr>
      </w:pPr>
    </w:p>
    <w:p>
      <w:pPr>
        <w:ind w:firstLine="576"/>
        <w:spacing w:after="0" w:line="260" w:lineRule="auto"/>
        <w:rPr>
          <w:sz w:val="20"/>
          <w:szCs w:val="20"/>
          <w:color w:val="auto"/>
        </w:rPr>
      </w:pPr>
      <w:r>
        <w:rPr>
          <w:rFonts w:ascii="Arial" w:cs="Arial" w:eastAsia="Arial" w:hAnsi="Arial"/>
          <w:sz w:val="18"/>
          <w:szCs w:val="18"/>
          <w:b w:val="1"/>
          <w:bCs w:val="1"/>
          <w:i w:val="1"/>
          <w:iCs w:val="1"/>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43" w:lineRule="exact"/>
        <w:rPr>
          <w:sz w:val="20"/>
          <w:szCs w:val="20"/>
          <w:color w:val="auto"/>
        </w:rPr>
      </w:pPr>
    </w:p>
    <w:p>
      <w:pPr>
        <w:ind w:right="420" w:firstLine="576"/>
        <w:spacing w:after="0" w:line="276" w:lineRule="auto"/>
        <w:rPr>
          <w:sz w:val="20"/>
          <w:szCs w:val="20"/>
          <w:color w:val="auto"/>
        </w:rPr>
      </w:pPr>
      <w:r>
        <w:rPr>
          <w:rFonts w:ascii="Arial" w:cs="Arial" w:eastAsia="Arial" w:hAnsi="Arial"/>
          <w:sz w:val="18"/>
          <w:szCs w:val="18"/>
          <w:color w:val="auto"/>
        </w:rPr>
        <w:t>We plan to utilize and depend upon independent investigators and collaborators, such as medical institutions, CROs, CMOs, and strategic partners to conduct and support our nonclinical studies and clinical trials under agreements with us.</w:t>
      </w:r>
    </w:p>
    <w:p>
      <w:pPr>
        <w:spacing w:after="0" w:line="145"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4" w:lineRule="exact"/>
        <w:rPr>
          <w:sz w:val="20"/>
          <w:szCs w:val="20"/>
          <w:color w:val="auto"/>
        </w:rPr>
      </w:pPr>
    </w:p>
    <w:p>
      <w:pPr>
        <w:ind w:right="20" w:firstLine="576"/>
        <w:spacing w:after="0" w:line="277" w:lineRule="auto"/>
        <w:rPr>
          <w:sz w:val="20"/>
          <w:szCs w:val="20"/>
          <w:color w:val="auto"/>
        </w:rPr>
      </w:pPr>
      <w:r>
        <w:rPr>
          <w:rFonts w:ascii="Arial" w:cs="Arial" w:eastAsia="Arial" w:hAnsi="Arial"/>
          <w:sz w:val="17"/>
          <w:szCs w:val="17"/>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ind w:right="40"/>
        <w:spacing w:after="0" w:line="241" w:lineRule="auto"/>
        <w:rPr>
          <w:sz w:val="20"/>
          <w:szCs w:val="20"/>
          <w:color w:val="auto"/>
        </w:rPr>
      </w:pPr>
      <w:r>
        <w:rPr>
          <w:rFonts w:ascii="Arial" w:cs="Arial" w:eastAsia="Arial" w:hAnsi="Arial"/>
          <w:sz w:val="18"/>
          <w:szCs w:val="18"/>
          <w:color w:val="auto"/>
        </w:rPr>
        <w:t>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72" w:lineRule="exact"/>
        <w:rPr>
          <w:sz w:val="20"/>
          <w:szCs w:val="20"/>
          <w:color w:val="auto"/>
        </w:rPr>
      </w:pPr>
    </w:p>
    <w:p>
      <w:pPr>
        <w:ind w:right="40" w:firstLine="576"/>
        <w:spacing w:after="0" w:line="251"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5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75" w:lineRule="exact"/>
        <w:rPr>
          <w:sz w:val="20"/>
          <w:szCs w:val="20"/>
          <w:color w:val="auto"/>
        </w:rPr>
      </w:pPr>
    </w:p>
    <w:p>
      <w:pPr>
        <w:ind w:left="1300" w:right="140" w:hanging="442"/>
        <w:spacing w:after="0" w:line="255" w:lineRule="auto"/>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6" w:lineRule="exact"/>
        <w:rPr>
          <w:rFonts w:ascii="Times New Roman" w:cs="Times New Roman" w:eastAsia="Times New Roman" w:hAnsi="Times New Roman"/>
          <w:sz w:val="18"/>
          <w:szCs w:val="18"/>
          <w:color w:val="auto"/>
        </w:rPr>
      </w:pPr>
    </w:p>
    <w:p>
      <w:pPr>
        <w:ind w:left="1300" w:right="640" w:hanging="442"/>
        <w:spacing w:after="0" w:line="275" w:lineRule="auto"/>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breach by the third-party contractors of our agreements with them;</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6"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7" w:name="page48"/>
    <w:bookmarkEnd w:id="47"/>
    <w:p>
      <w:pPr>
        <w:ind w:left="1300" w:right="20" w:hanging="442"/>
        <w:spacing w:after="0" w:line="275" w:lineRule="auto"/>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4"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96" w:lineRule="exact"/>
        <w:rPr>
          <w:sz w:val="20"/>
          <w:szCs w:val="20"/>
          <w:color w:val="auto"/>
        </w:rPr>
      </w:pPr>
    </w:p>
    <w:p>
      <w:pPr>
        <w:jc w:val="both"/>
        <w:ind w:right="80" w:firstLine="576"/>
        <w:spacing w:after="0" w:line="260"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43"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1" w:lineRule="exact"/>
        <w:rPr>
          <w:sz w:val="20"/>
          <w:szCs w:val="20"/>
          <w:color w:val="auto"/>
        </w:rPr>
      </w:pPr>
    </w:p>
    <w:p>
      <w:pPr>
        <w:ind w:right="160" w:firstLine="576"/>
        <w:spacing w:after="0" w:line="285"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21"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48" w:name="page49"/>
    <w:bookmarkEnd w:id="48"/>
    <w:p>
      <w:pPr>
        <w:ind w:right="160"/>
        <w:spacing w:after="0"/>
        <w:rPr>
          <w:sz w:val="20"/>
          <w:szCs w:val="20"/>
          <w:color w:val="auto"/>
        </w:rPr>
      </w:pPr>
      <w:r>
        <w:rPr>
          <w:rFonts w:ascii="Arial" w:cs="Arial" w:eastAsia="Arial" w:hAnsi="Arial"/>
          <w:sz w:val="18"/>
          <w:szCs w:val="18"/>
          <w:color w:val="auto"/>
        </w:rPr>
        <w:t>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88" w:lineRule="exact"/>
        <w:rPr>
          <w:sz w:val="20"/>
          <w:szCs w:val="20"/>
          <w:color w:val="auto"/>
        </w:rPr>
      </w:pPr>
    </w:p>
    <w:p>
      <w:pPr>
        <w:ind w:right="160" w:firstLine="576"/>
        <w:spacing w:after="0" w:line="260" w:lineRule="auto"/>
        <w:rPr>
          <w:sz w:val="20"/>
          <w:szCs w:val="20"/>
          <w:color w:val="auto"/>
        </w:rPr>
      </w:pPr>
      <w:r>
        <w:rPr>
          <w:rFonts w:ascii="Arial" w:cs="Arial" w:eastAsia="Arial" w:hAnsi="Arial"/>
          <w:sz w:val="18"/>
          <w:szCs w:val="18"/>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43"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We own worldwide rights to ATH-1017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170"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9"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37" w:lineRule="exact"/>
        <w:rPr>
          <w:sz w:val="20"/>
          <w:szCs w:val="20"/>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6" w:lineRule="exact"/>
        <w:rPr>
          <w:rFonts w:ascii="Times New Roman" w:cs="Times New Roman" w:eastAsia="Times New Roman" w:hAnsi="Times New Roman"/>
          <w:sz w:val="18"/>
          <w:szCs w:val="18"/>
          <w:color w:val="auto"/>
        </w:rPr>
      </w:pPr>
    </w:p>
    <w:p>
      <w:pPr>
        <w:ind w:left="1300" w:right="140" w:hanging="442"/>
        <w:spacing w:after="0" w:line="248" w:lineRule="auto"/>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61" w:lineRule="exact"/>
        <w:rPr>
          <w:rFonts w:ascii="Times New Roman" w:cs="Times New Roman" w:eastAsia="Times New Roman" w:hAnsi="Times New Roman"/>
          <w:sz w:val="18"/>
          <w:szCs w:val="18"/>
          <w:color w:val="auto"/>
        </w:rPr>
      </w:pPr>
    </w:p>
    <w:p>
      <w:pPr>
        <w:ind w:left="1300" w:right="320" w:hanging="442"/>
        <w:spacing w:after="0" w:line="305" w:lineRule="auto"/>
        <w:tabs>
          <w:tab w:leader="none" w:pos="130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5" w:lineRule="exact"/>
        <w:rPr>
          <w:rFonts w:ascii="Times New Roman" w:cs="Times New Roman" w:eastAsia="Times New Roman" w:hAnsi="Times New Roman"/>
          <w:sz w:val="17"/>
          <w:szCs w:val="17"/>
          <w:color w:val="auto"/>
        </w:rPr>
      </w:pPr>
    </w:p>
    <w:p>
      <w:pPr>
        <w:ind w:left="1300" w:right="120" w:hanging="442"/>
        <w:spacing w:after="0" w:line="275" w:lineRule="auto"/>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49" w:name="page50"/>
    <w:bookmarkEnd w:id="49"/>
    <w:p>
      <w:pPr>
        <w:ind w:left="1300" w:right="400" w:hanging="442"/>
        <w:spacing w:after="0" w:line="275" w:lineRule="auto"/>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37" w:lineRule="exact"/>
        <w:rPr>
          <w:rFonts w:ascii="Times New Roman" w:cs="Times New Roman" w:eastAsia="Times New Roman" w:hAnsi="Times New Roman"/>
          <w:sz w:val="18"/>
          <w:szCs w:val="18"/>
          <w:color w:val="auto"/>
        </w:rPr>
      </w:pPr>
    </w:p>
    <w:p>
      <w:pPr>
        <w:ind w:left="1300" w:right="480" w:hanging="442"/>
        <w:spacing w:after="0" w:line="255" w:lineRule="auto"/>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54" w:lineRule="exact"/>
        <w:rPr>
          <w:rFonts w:ascii="Times New Roman" w:cs="Times New Roman" w:eastAsia="Times New Roman" w:hAnsi="Times New Roman"/>
          <w:sz w:val="18"/>
          <w:szCs w:val="18"/>
          <w:color w:val="auto"/>
        </w:rPr>
      </w:pPr>
    </w:p>
    <w:p>
      <w:pPr>
        <w:ind w:left="1300" w:right="60" w:hanging="442"/>
        <w:spacing w:after="0" w:line="255" w:lineRule="auto"/>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4"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37"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4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7" w:lineRule="exact"/>
        <w:rPr>
          <w:sz w:val="20"/>
          <w:szCs w:val="20"/>
          <w:color w:val="auto"/>
        </w:rPr>
      </w:pPr>
    </w:p>
    <w:p>
      <w:pPr>
        <w:ind w:right="840" w:firstLine="576"/>
        <w:spacing w:after="0" w:line="285"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1"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6" w:lineRule="exact"/>
        <w:rPr>
          <w:sz w:val="20"/>
          <w:szCs w:val="20"/>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additional indebtedness or contingent liabilities;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w:t>
      </w:r>
    </w:p>
    <w:p>
      <w:pPr>
        <w:spacing w:after="0" w:line="116" w:lineRule="exact"/>
        <w:rPr>
          <w:rFonts w:ascii="Times New Roman" w:cs="Times New Roman" w:eastAsia="Times New Roman" w:hAnsi="Times New Roman"/>
          <w:sz w:val="18"/>
          <w:szCs w:val="18"/>
          <w:color w:val="auto"/>
        </w:rPr>
      </w:pPr>
    </w:p>
    <w:p>
      <w:pPr>
        <w:ind w:left="1300" w:right="260" w:hanging="442"/>
        <w:spacing w:after="0" w:line="275"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37"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6"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37"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0" w:name="page51"/>
    <w:bookmarkEnd w:id="50"/>
    <w:p>
      <w:pPr>
        <w:ind w:right="220" w:firstLine="576"/>
        <w:spacing w:after="0" w:line="276"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5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Our Ability to Commercialize our Product</w:t>
      </w:r>
    </w:p>
    <w:p>
      <w:pPr>
        <w:spacing w:after="0" w:line="106" w:lineRule="exact"/>
        <w:rPr>
          <w:sz w:val="20"/>
          <w:szCs w:val="20"/>
          <w:color w:val="auto"/>
        </w:rPr>
      </w:pPr>
    </w:p>
    <w:p>
      <w:pPr>
        <w:ind w:right="620" w:firstLine="589"/>
        <w:spacing w:after="0" w:line="285"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21" w:lineRule="exact"/>
        <w:rPr>
          <w:sz w:val="20"/>
          <w:szCs w:val="20"/>
          <w:color w:val="auto"/>
        </w:rPr>
      </w:pPr>
    </w:p>
    <w:p>
      <w:pPr>
        <w:ind w:right="520" w:firstLine="576"/>
        <w:spacing w:after="0" w:line="255"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56" w:lineRule="exact"/>
        <w:rPr>
          <w:sz w:val="20"/>
          <w:szCs w:val="20"/>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the product candidate is approved;</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pricing and the availability of coverage and adequate reimbursement by third-party payors, including government authorities;</w:t>
      </w:r>
    </w:p>
    <w:p>
      <w:pPr>
        <w:spacing w:after="0" w:line="127" w:lineRule="exact"/>
        <w:rPr>
          <w:rFonts w:ascii="Times New Roman" w:cs="Times New Roman" w:eastAsia="Times New Roman" w:hAnsi="Times New Roman"/>
          <w:sz w:val="17"/>
          <w:szCs w:val="17"/>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relative convenience and ease of administration;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sales and marketing efforts;</w:t>
      </w:r>
    </w:p>
    <w:p>
      <w:pPr>
        <w:spacing w:after="0" w:line="116"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therapies for the same indications.</w:t>
      </w:r>
    </w:p>
    <w:p>
      <w:pPr>
        <w:spacing w:after="0" w:line="224"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272" w:lineRule="exact"/>
        <w:rPr>
          <w:sz w:val="20"/>
          <w:szCs w:val="20"/>
          <w:color w:val="auto"/>
        </w:rPr>
      </w:pPr>
    </w:p>
    <w:p>
      <w:pPr>
        <w:ind w:right="60" w:firstLine="576"/>
        <w:spacing w:after="0" w:line="285"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1"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We have never commercialized a product candidate. We may license certain rights with respect to our product candidates to collaborators, and, if so,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51" w:name="page52"/>
    <w:bookmarkEnd w:id="51"/>
    <w:p>
      <w:pPr>
        <w:ind w:right="100" w:firstLine="576"/>
        <w:spacing w:after="0"/>
        <w:rPr>
          <w:sz w:val="20"/>
          <w:szCs w:val="20"/>
          <w:color w:val="auto"/>
        </w:rPr>
      </w:pPr>
      <w:r>
        <w:rPr>
          <w:rFonts w:ascii="Arial" w:cs="Arial" w:eastAsia="Arial" w:hAnsi="Arial"/>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88" w:lineRule="exact"/>
        <w:rPr>
          <w:sz w:val="20"/>
          <w:szCs w:val="20"/>
          <w:color w:val="auto"/>
        </w:rPr>
      </w:pPr>
    </w:p>
    <w:p>
      <w:pPr>
        <w:ind w:right="800" w:firstLine="576"/>
        <w:spacing w:after="0" w:line="285"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84" w:lineRule="exact"/>
        <w:rPr>
          <w:sz w:val="20"/>
          <w:szCs w:val="20"/>
          <w:color w:val="auto"/>
        </w:rPr>
      </w:pPr>
    </w:p>
    <w:p>
      <w:pPr>
        <w:ind w:right="880" w:firstLine="576"/>
        <w:spacing w:after="0" w:line="28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72" w:lineRule="exact"/>
        <w:rPr>
          <w:sz w:val="20"/>
          <w:szCs w:val="20"/>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our product candidates or products that we may develop;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costs to defend the related litigation;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management’s time and our resources;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clinical trial participants or patients;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2" w:name="page53"/>
    <w:bookmarkEnd w:id="52"/>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exhaustion of any available insurance and our capital resources;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product candidate;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share price.</w:t>
      </w:r>
    </w:p>
    <w:p>
      <w:pPr>
        <w:spacing w:after="0" w:line="22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87" w:lineRule="exact"/>
        <w:rPr>
          <w:sz w:val="20"/>
          <w:szCs w:val="20"/>
          <w:color w:val="auto"/>
        </w:rPr>
      </w:pPr>
    </w:p>
    <w:p>
      <w:pPr>
        <w:ind w:right="40" w:firstLine="576"/>
        <w:spacing w:after="0" w:line="251"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5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payor may depend upon a number of factors, including, but not limited to, the third-party payor’s determination that use of a product is:</w:t>
      </w:r>
    </w:p>
    <w:p>
      <w:pPr>
        <w:spacing w:after="0" w:line="104" w:lineRule="exact"/>
        <w:rPr>
          <w:sz w:val="20"/>
          <w:szCs w:val="20"/>
          <w:color w:val="auto"/>
        </w:rPr>
      </w:pPr>
    </w:p>
    <w:p>
      <w:pPr>
        <w:ind w:left="1300" w:hanging="442"/>
        <w:spacing w:after="0"/>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79"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172" w:lineRule="exact"/>
        <w:rPr>
          <w:sz w:val="20"/>
          <w:szCs w:val="20"/>
          <w:color w:val="auto"/>
        </w:rPr>
      </w:pPr>
    </w:p>
    <w:p>
      <w:pPr>
        <w:jc w:val="both"/>
        <w:ind w:right="120" w:firstLine="576"/>
        <w:spacing w:after="0" w:line="255"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p>
      <w:pPr>
        <w:ind w:right="20"/>
        <w:spacing w:after="0" w:line="241" w:lineRule="auto"/>
        <w:rPr>
          <w:sz w:val="20"/>
          <w:szCs w:val="20"/>
          <w:color w:val="auto"/>
        </w:rPr>
      </w:pPr>
      <w:r>
        <w:rPr>
          <w:rFonts w:ascii="Arial" w:cs="Arial" w:eastAsia="Arial" w:hAnsi="Arial"/>
          <w:sz w:val="18"/>
          <w:szCs w:val="18"/>
          <w:color w:val="auto"/>
        </w:rPr>
        <w:t>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7" w:lineRule="exact"/>
        <w:rPr>
          <w:sz w:val="20"/>
          <w:szCs w:val="20"/>
          <w:color w:val="auto"/>
        </w:rPr>
      </w:pPr>
    </w:p>
    <w:p>
      <w:pPr>
        <w:ind w:right="520" w:firstLine="576"/>
        <w:spacing w:after="0" w:line="285" w:lineRule="auto"/>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21"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37" w:lineRule="exact"/>
        <w:rPr>
          <w:sz w:val="20"/>
          <w:szCs w:val="20"/>
          <w:color w:val="auto"/>
        </w:rPr>
      </w:pPr>
    </w:p>
    <w:p>
      <w:pPr>
        <w:ind w:left="1300" w:right="8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37"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37"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foreign taxes, including withholding of payroll taxes;</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staffing and managing foreign operations;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6"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5" w:name="page56"/>
    <w:bookmarkEnd w:id="55"/>
    <w:p>
      <w:pPr>
        <w:ind w:left="1300" w:hanging="442"/>
        <w:spacing w:after="0"/>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4" w:lineRule="exact"/>
        <w:rPr>
          <w:sz w:val="20"/>
          <w:szCs w:val="20"/>
          <w:color w:val="auto"/>
        </w:rPr>
      </w:pPr>
    </w:p>
    <w:p>
      <w:pPr>
        <w:ind w:right="560" w:firstLine="576"/>
        <w:spacing w:after="0" w:line="276"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ability to attain or maintain profitable operations.</w:t>
      </w:r>
    </w:p>
    <w:p>
      <w:pPr>
        <w:spacing w:after="0" w:line="25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0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172"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future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72"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and any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17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Our patent portfolio consists of eight owned or in-licensed U.S. issued patents, two owned or in-licensed U.S. pending patent applications, 13 owned or in-licensed patents issued in jurisdictions outside of the United States, and eight owned or in-licensed pending patent applications in jurisdictions outside of the United States. However, we cannot be certain that the claims in our U.S. pending patent applications, corresponding international patent applications, or those of any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17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56" w:lineRule="exact"/>
        <w:rPr>
          <w:sz w:val="20"/>
          <w:szCs w:val="20"/>
          <w:color w:val="auto"/>
        </w:rPr>
      </w:pPr>
    </w:p>
    <w:p>
      <w:pPr>
        <w:ind w:left="1300" w:right="380" w:hanging="442"/>
        <w:spacing w:after="0" w:line="248" w:lineRule="auto"/>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patent applications may not result in any patents being issued;</w:t>
      </w:r>
    </w:p>
    <w:p>
      <w:pPr>
        <w:spacing w:after="0" w:line="116"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320" w:top="468" w:right="539" w:bottom="1440" w:gutter="0" w:footer="0" w:header="0"/>
        </w:sectPr>
      </w:pPr>
    </w:p>
    <w:bookmarkStart w:id="56" w:name="page57"/>
    <w:bookmarkEnd w:id="56"/>
    <w:p>
      <w:pPr>
        <w:ind w:left="1300" w:right="180" w:hanging="442"/>
        <w:spacing w:after="0" w:line="25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54"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54"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46"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patent prosecution process is also expensive and time-consuming, and we and any future licensors may not be able to file and prosecute all necessary or desirable patent applications at a reasonable cost or in a timely manner or in all jurisdictions where protection may be commercially advantageous. It is also possible that we or any future licensors will fail to identify patentable aspects of our research and development output before it is too late to obtain patent protection.</w:t>
      </w:r>
    </w:p>
    <w:p>
      <w:pPr>
        <w:spacing w:after="0" w:line="170"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70" w:lineRule="exact"/>
        <w:rPr>
          <w:sz w:val="20"/>
          <w:szCs w:val="20"/>
          <w:color w:val="auto"/>
        </w:rPr>
      </w:pPr>
    </w:p>
    <w:p>
      <w:pPr>
        <w:ind w:right="200" w:firstLine="576"/>
        <w:spacing w:after="0" w:line="255"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72" w:lineRule="exact"/>
        <w:rPr>
          <w:sz w:val="20"/>
          <w:szCs w:val="20"/>
          <w:color w:val="auto"/>
        </w:rPr>
      </w:pPr>
    </w:p>
    <w:p>
      <w:pPr>
        <w:ind w:right="40" w:firstLine="576"/>
        <w:spacing w:after="0" w:line="285"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21" w:lineRule="exact"/>
        <w:rPr>
          <w:sz w:val="20"/>
          <w:szCs w:val="20"/>
          <w:color w:val="auto"/>
        </w:rPr>
      </w:pPr>
    </w:p>
    <w:p>
      <w:pPr>
        <w:ind w:right="120" w:firstLine="576"/>
        <w:spacing w:after="0" w:line="268"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future licensors may not result in patents being issued which protect our product candidates or which effectively prevent others from commercializing competitive product candidates.</w:t>
      </w:r>
    </w:p>
    <w:p>
      <w:pPr>
        <w:spacing w:after="0" w:line="153"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any future licensors by developing similar or alternative technologies or products in a non-infringing manner which could materially adversely affect our business, financial condition, results of operations and prospects.</w:t>
      </w:r>
    </w:p>
    <w:p>
      <w:pPr>
        <w:spacing w:after="0" w:line="180"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or the patents of any future licensors may be challenged in the courts or patent offices in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7" w:name="page58"/>
    <w:bookmarkEnd w:id="57"/>
    <w:p>
      <w:pPr>
        <w:spacing w:after="0" w:line="238" w:lineRule="auto"/>
        <w:rPr>
          <w:sz w:val="20"/>
          <w:szCs w:val="20"/>
          <w:color w:val="auto"/>
        </w:rPr>
      </w:pPr>
      <w:r>
        <w:rPr>
          <w:rFonts w:ascii="Arial" w:cs="Arial" w:eastAsia="Arial" w:hAnsi="Arial"/>
          <w:sz w:val="18"/>
          <w:szCs w:val="18"/>
          <w:color w:val="auto"/>
        </w:rPr>
        <w:t xml:space="preserve">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any future licensors may become subject to post-grant challenge proceedings, such as oppositions in a foreign patent office, that challenge our claim of priority of invention or other features of patentability with respect to our patents and patent applications and those of any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any future licensors is threatened, regardless of the outcome, it could dissuade companies from collaborating with us to license, develop, or commercialize current or future product candidates.</w:t>
      </w:r>
    </w:p>
    <w:p>
      <w:pPr>
        <w:spacing w:after="0" w:line="28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ind w:right="540" w:firstLine="576"/>
        <w:spacing w:after="0" w:line="27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37" w:lineRule="exact"/>
        <w:rPr>
          <w:sz w:val="20"/>
          <w:szCs w:val="20"/>
          <w:color w:val="auto"/>
        </w:rPr>
      </w:pPr>
    </w:p>
    <w:p>
      <w:pPr>
        <w:ind w:left="1300" w:right="200" w:hanging="442"/>
        <w:spacing w:after="0" w:line="275" w:lineRule="auto"/>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37"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future licensors or collaborators might not have been the first to make the inventions covered by the issued patents or patent application that we own or license;</w:t>
      </w:r>
    </w:p>
    <w:p>
      <w:pPr>
        <w:spacing w:after="0" w:line="37" w:lineRule="exact"/>
        <w:rPr>
          <w:rFonts w:ascii="Times New Roman" w:cs="Times New Roman" w:eastAsia="Times New Roman" w:hAnsi="Times New Roman"/>
          <w:sz w:val="18"/>
          <w:szCs w:val="18"/>
          <w:color w:val="auto"/>
        </w:rPr>
      </w:pPr>
    </w:p>
    <w:p>
      <w:pPr>
        <w:ind w:left="1300" w:right="380" w:hanging="442"/>
        <w:spacing w:after="0" w:line="275" w:lineRule="auto"/>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future licensors or collaborators might not have been the first to file patent applications covering certain of our inventions;</w:t>
      </w:r>
    </w:p>
    <w:p>
      <w:pPr>
        <w:spacing w:after="0" w:line="37" w:lineRule="exact"/>
        <w:rPr>
          <w:rFonts w:ascii="Times New Roman" w:cs="Times New Roman" w:eastAsia="Times New Roman" w:hAnsi="Times New Roman"/>
          <w:sz w:val="18"/>
          <w:szCs w:val="18"/>
          <w:color w:val="auto"/>
        </w:rPr>
      </w:pPr>
    </w:p>
    <w:p>
      <w:pPr>
        <w:ind w:left="1300" w:right="160" w:hanging="442"/>
        <w:spacing w:after="0" w:line="275" w:lineRule="auto"/>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6" w:lineRule="exact"/>
        <w:rPr>
          <w:rFonts w:ascii="Times New Roman" w:cs="Times New Roman" w:eastAsia="Times New Roman" w:hAnsi="Times New Roman"/>
          <w:sz w:val="18"/>
          <w:szCs w:val="18"/>
          <w:color w:val="auto"/>
        </w:rPr>
      </w:pPr>
    </w:p>
    <w:p>
      <w:pPr>
        <w:ind w:left="1300" w:right="900" w:hanging="442"/>
        <w:spacing w:after="0" w:line="275" w:lineRule="auto"/>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37" w:lineRule="exact"/>
        <w:rPr>
          <w:rFonts w:ascii="Times New Roman" w:cs="Times New Roman" w:eastAsia="Times New Roman" w:hAnsi="Times New Roman"/>
          <w:sz w:val="18"/>
          <w:szCs w:val="18"/>
          <w:color w:val="auto"/>
        </w:rPr>
      </w:pPr>
    </w:p>
    <w:p>
      <w:pPr>
        <w:ind w:left="1300" w:hanging="442"/>
        <w:spacing w:after="0" w:line="305" w:lineRule="auto"/>
        <w:tabs>
          <w:tab w:leader="none" w:pos="130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5" w:lineRule="exact"/>
        <w:rPr>
          <w:rFonts w:ascii="Times New Roman" w:cs="Times New Roman" w:eastAsia="Times New Roman" w:hAnsi="Times New Roman"/>
          <w:sz w:val="17"/>
          <w:szCs w:val="17"/>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of others may have an adverse effect on our business; and</w:t>
      </w:r>
    </w:p>
    <w:p>
      <w:pPr>
        <w:spacing w:after="0" w:line="116" w:lineRule="exact"/>
        <w:rPr>
          <w:rFonts w:ascii="Times New Roman" w:cs="Times New Roman" w:eastAsia="Times New Roman" w:hAnsi="Times New Roman"/>
          <w:sz w:val="18"/>
          <w:szCs w:val="18"/>
          <w:color w:val="auto"/>
        </w:rPr>
      </w:pPr>
    </w:p>
    <w:p>
      <w:pPr>
        <w:ind w:left="1300" w:right="1060" w:hanging="442"/>
        <w:spacing w:after="0" w:line="275" w:lineRule="auto"/>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58" w:name="page59"/>
    <w:bookmarkEnd w:id="58"/>
    <w:p>
      <w:pPr>
        <w:jc w:val="both"/>
        <w:ind w:right="60" w:firstLine="576"/>
        <w:spacing w:after="0" w:line="260"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43" w:lineRule="exact"/>
        <w:rPr>
          <w:sz w:val="20"/>
          <w:szCs w:val="20"/>
          <w:color w:val="auto"/>
        </w:rPr>
      </w:pPr>
    </w:p>
    <w:p>
      <w:pPr>
        <w:ind w:right="120" w:firstLine="576"/>
        <w:spacing w:after="0" w:line="239"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180"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5" w:lineRule="exact"/>
        <w:rPr>
          <w:sz w:val="20"/>
          <w:szCs w:val="20"/>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costly litigation that may cause negative publicity;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divert the time and attention of our technical personnel and management;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cause development delays;</w:t>
      </w:r>
    </w:p>
    <w:p>
      <w:pPr>
        <w:spacing w:after="0" w:line="116" w:lineRule="exact"/>
        <w:rPr>
          <w:rFonts w:ascii="Times New Roman" w:cs="Times New Roman" w:eastAsia="Times New Roman" w:hAnsi="Times New Roman"/>
          <w:sz w:val="18"/>
          <w:szCs w:val="18"/>
          <w:color w:val="auto"/>
        </w:rPr>
      </w:pPr>
    </w:p>
    <w:p>
      <w:pPr>
        <w:ind w:left="1300" w:right="260" w:hanging="442"/>
        <w:spacing w:after="0" w:line="275" w:lineRule="auto"/>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subject us to significant liability to third parties; or</w:t>
      </w:r>
    </w:p>
    <w:p>
      <w:pPr>
        <w:spacing w:after="0" w:line="116"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46" w:lineRule="exact"/>
        <w:rPr>
          <w:sz w:val="20"/>
          <w:szCs w:val="20"/>
          <w:color w:val="auto"/>
        </w:rPr>
      </w:pPr>
    </w:p>
    <w:p>
      <w:pPr>
        <w:ind w:right="480" w:firstLine="576"/>
        <w:spacing w:after="0" w:line="248"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prospectus, others may hold proprietary rights that could prevent our product candidates from being marketed.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59" w:name="page60"/>
    <w:bookmarkEnd w:id="59"/>
    <w:p>
      <w:pPr>
        <w:spacing w:after="0" w:line="239" w:lineRule="auto"/>
        <w:rPr>
          <w:sz w:val="20"/>
          <w:szCs w:val="20"/>
          <w:color w:val="auto"/>
        </w:rPr>
      </w:pPr>
      <w:r>
        <w:rPr>
          <w:rFonts w:ascii="Arial" w:cs="Arial" w:eastAsia="Arial" w:hAnsi="Arial"/>
          <w:sz w:val="18"/>
          <w:szCs w:val="18"/>
          <w:color w:val="auto"/>
        </w:rPr>
        <w:t>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80"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82" w:lineRule="exact"/>
        <w:rPr>
          <w:sz w:val="20"/>
          <w:szCs w:val="20"/>
          <w:color w:val="auto"/>
        </w:rPr>
      </w:pPr>
    </w:p>
    <w:p>
      <w:pPr>
        <w:ind w:right="460" w:firstLine="576"/>
        <w:spacing w:after="0" w:line="285"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21" w:lineRule="exact"/>
        <w:rPr>
          <w:sz w:val="20"/>
          <w:szCs w:val="20"/>
          <w:color w:val="auto"/>
        </w:rPr>
      </w:pPr>
    </w:p>
    <w:p>
      <w:pPr>
        <w:ind w:right="360" w:firstLine="576"/>
        <w:spacing w:after="0" w:line="262" w:lineRule="auto"/>
        <w:rPr>
          <w:sz w:val="20"/>
          <w:szCs w:val="20"/>
          <w:color w:val="auto"/>
        </w:rPr>
      </w:pPr>
      <w:r>
        <w:rPr>
          <w:rFonts w:ascii="Arial" w:cs="Arial" w:eastAsia="Arial" w:hAnsi="Arial"/>
          <w:sz w:val="17"/>
          <w:szCs w:val="17"/>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w:t>
      </w:r>
    </w:p>
    <w:p>
      <w:pPr>
        <w:ind w:right="20"/>
        <w:spacing w:after="0" w:line="236" w:lineRule="auto"/>
        <w:rPr>
          <w:sz w:val="20"/>
          <w:szCs w:val="20"/>
          <w:color w:val="auto"/>
        </w:rPr>
      </w:pPr>
      <w:r>
        <w:rPr>
          <w:rFonts w:ascii="Arial" w:cs="Arial" w:eastAsia="Arial" w:hAnsi="Arial"/>
          <w:sz w:val="18"/>
          <w:szCs w:val="18"/>
          <w:color w:val="auto"/>
        </w:rPr>
        <w:t>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92" w:lineRule="exact"/>
        <w:rPr>
          <w:sz w:val="20"/>
          <w:szCs w:val="20"/>
          <w:color w:val="auto"/>
        </w:rPr>
      </w:pPr>
    </w:p>
    <w:p>
      <w:pPr>
        <w:ind w:right="20" w:firstLine="576"/>
        <w:spacing w:after="0" w:line="260"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future licensors’ patents, which could be expensive, time consuming and unsuccessful. Further, our issued patents or any future licensors’ patents could be found invalid or unenforceable if challenged in court.</w:t>
      </w:r>
    </w:p>
    <w:p>
      <w:pPr>
        <w:spacing w:after="0" w:line="4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0" w:name="page61"/>
    <w:bookmarkEnd w:id="60"/>
    <w:p>
      <w:pPr>
        <w:ind w:right="620"/>
        <w:spacing w:after="0" w:line="276" w:lineRule="auto"/>
        <w:rPr>
          <w:sz w:val="20"/>
          <w:szCs w:val="20"/>
          <w:color w:val="auto"/>
        </w:rPr>
      </w:pPr>
      <w:r>
        <w:rPr>
          <w:rFonts w:ascii="Arial" w:cs="Arial" w:eastAsia="Arial" w:hAnsi="Arial"/>
          <w:sz w:val="18"/>
          <w:szCs w:val="18"/>
          <w:color w:val="auto"/>
        </w:rPr>
        <w:t>Grounds for an unenforceability assertion could include an allegation that someone connected with prosecution of the patent withheld relevant information from the USPTO or made a misleading statement during prosecution.</w:t>
      </w:r>
    </w:p>
    <w:p>
      <w:pPr>
        <w:spacing w:after="0" w:line="145"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17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or any future licensors’ patent invalid. There is no assurance that all potentially relevant prior art relating to our patent and patent applications or the patent and patent applications of any future licensors has been found. There is also no assurance that there is not prior art of which we are aware, but which we do not believe affects the validity or enforceability of a claim in our patent and patent applications or the patent and patent applications of any future licensors, which may, nonetheless, ultimately be found to affect the validity or enforceability of a claim.</w:t>
      </w:r>
    </w:p>
    <w:p>
      <w:pPr>
        <w:spacing w:after="0" w:line="172"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 and patent applications of any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17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6"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72" w:lineRule="exact"/>
        <w:rPr>
          <w:sz w:val="20"/>
          <w:szCs w:val="20"/>
          <w:color w:val="auto"/>
        </w:rPr>
      </w:pPr>
    </w:p>
    <w:p>
      <w:pPr>
        <w:ind w:right="400" w:firstLine="576"/>
        <w:spacing w:after="0" w:line="276"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61" w:name="page62"/>
    <w:bookmarkEnd w:id="61"/>
    <w:p>
      <w:pPr>
        <w:ind w:right="300" w:firstLine="576"/>
        <w:spacing w:after="0" w:line="285"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21"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ind w:right="200" w:firstLine="576"/>
        <w:spacing w:after="0" w:line="285"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21"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88" w:lineRule="exact"/>
        <w:rPr>
          <w:sz w:val="20"/>
          <w:szCs w:val="20"/>
          <w:color w:val="auto"/>
        </w:rPr>
      </w:pPr>
    </w:p>
    <w:p>
      <w:pPr>
        <w:jc w:val="center"/>
        <w:spacing w:after="0" w:line="285"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any future licensors and the enforcement or defense of our issued patents or those of any future licensors.</w:t>
      </w:r>
    </w:p>
    <w:p>
      <w:pPr>
        <w:spacing w:after="0" w:line="21"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future licensors are the first to either (1) file any patent application related to our product candidates or (2) invent any of the inventions claimed in the patents or patent applications.</w:t>
      </w:r>
    </w:p>
    <w:p>
      <w:pPr>
        <w:spacing w:after="0" w:line="183"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72"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ind w:right="20"/>
        <w:spacing w:after="0" w:line="243" w:lineRule="auto"/>
        <w:rPr>
          <w:sz w:val="20"/>
          <w:szCs w:val="20"/>
          <w:color w:val="auto"/>
        </w:rPr>
      </w:pPr>
      <w:r>
        <w:rPr>
          <w:rFonts w:ascii="Arial" w:cs="Arial" w:eastAsia="Arial" w:hAnsi="Arial"/>
          <w:sz w:val="18"/>
          <w:szCs w:val="18"/>
          <w:color w:val="auto"/>
        </w:rPr>
        <w:t>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future licensors and the enforcement or defense of our issued patents or those of any future licensors, all of which could have a material adverse effect on our business, financial condition, results of operations and prospects.</w:t>
      </w:r>
    </w:p>
    <w:p>
      <w:pPr>
        <w:spacing w:after="0" w:line="282" w:lineRule="exact"/>
        <w:rPr>
          <w:sz w:val="20"/>
          <w:szCs w:val="20"/>
          <w:color w:val="auto"/>
        </w:rPr>
      </w:pPr>
    </w:p>
    <w:p>
      <w:pPr>
        <w:ind w:right="100" w:firstLine="576"/>
        <w:spacing w:after="0" w:line="285"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1"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79"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w:t>
      </w:r>
    </w:p>
    <w:p>
      <w:pPr>
        <w:spacing w:after="0" w:line="82"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3" w:name="page64"/>
    <w:bookmarkEnd w:id="63"/>
    <w:p>
      <w:pPr>
        <w:ind w:left="58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04"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28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10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own or in-license eight U.S. issued patents and own two U.S. pending patent applications, as well as 13 in-licensed patents issued in jurisdictions outside of the United States, one in-licensed pending patent application in jurisdictions outside of the United States, and seven owned patent applications pending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future licensors, or other intellectual property rights may not be effective or sufficient to prevent them from competing.</w:t>
      </w:r>
    </w:p>
    <w:p>
      <w:pPr>
        <w:spacing w:after="0" w:line="17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future licensors at risk of being invalidated or interpreted narrowly and our patent applications or the patent applications of any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6" w:lineRule="exact"/>
        <w:rPr>
          <w:sz w:val="20"/>
          <w:szCs w:val="20"/>
          <w:color w:val="auto"/>
        </w:rPr>
      </w:pPr>
    </w:p>
    <w:p>
      <w:pPr>
        <w:ind w:right="300" w:firstLine="576"/>
        <w:spacing w:after="0" w:line="276"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ind w:right="160"/>
        <w:spacing w:after="0" w:line="277" w:lineRule="auto"/>
        <w:rPr>
          <w:sz w:val="20"/>
          <w:szCs w:val="20"/>
          <w:color w:val="auto"/>
        </w:rPr>
      </w:pPr>
      <w:r>
        <w:rPr>
          <w:rFonts w:ascii="Arial" w:cs="Arial" w:eastAsia="Arial" w:hAnsi="Arial"/>
          <w:sz w:val="17"/>
          <w:szCs w:val="17"/>
          <w:color w:val="auto"/>
        </w:rPr>
        <w:t>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55" w:lineRule="exact"/>
        <w:rPr>
          <w:sz w:val="20"/>
          <w:szCs w:val="20"/>
          <w:color w:val="auto"/>
        </w:rPr>
      </w:pPr>
    </w:p>
    <w:p>
      <w:pPr>
        <w:ind w:right="240" w:firstLine="576"/>
        <w:spacing w:after="0" w:line="26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4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84" w:lineRule="exact"/>
        <w:rPr>
          <w:sz w:val="20"/>
          <w:szCs w:val="20"/>
          <w:color w:val="auto"/>
        </w:rPr>
      </w:pPr>
    </w:p>
    <w:p>
      <w:pPr>
        <w:ind w:right="220" w:firstLine="576"/>
        <w:spacing w:after="0" w:line="28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1"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8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ind w:right="260" w:firstLine="576"/>
        <w:spacing w:after="0"/>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5" w:name="page66"/>
    <w:bookmarkEnd w:id="65"/>
    <w:p>
      <w:pPr>
        <w:ind w:right="200" w:firstLine="576"/>
        <w:spacing w:after="0" w:line="243"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82" w:lineRule="exact"/>
        <w:rPr>
          <w:sz w:val="20"/>
          <w:szCs w:val="20"/>
          <w:color w:val="auto"/>
        </w:rPr>
      </w:pPr>
    </w:p>
    <w:p>
      <w:pPr>
        <w:ind w:right="220" w:firstLine="576"/>
        <w:spacing w:after="0" w:line="285"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80" w:lineRule="exact"/>
        <w:rPr>
          <w:sz w:val="20"/>
          <w:szCs w:val="20"/>
          <w:color w:val="auto"/>
        </w:rPr>
      </w:pPr>
    </w:p>
    <w:p>
      <w:pPr>
        <w:ind w:right="120" w:firstLine="576"/>
        <w:spacing w:after="0" w:line="245"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80" w:lineRule="exact"/>
        <w:rPr>
          <w:sz w:val="20"/>
          <w:szCs w:val="20"/>
          <w:color w:val="auto"/>
        </w:rPr>
      </w:pPr>
    </w:p>
    <w:p>
      <w:pPr>
        <w:ind w:firstLine="576"/>
        <w:spacing w:after="0" w:line="285"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21"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88" w:lineRule="exact"/>
        <w:rPr>
          <w:sz w:val="20"/>
          <w:szCs w:val="20"/>
          <w:color w:val="auto"/>
        </w:rPr>
      </w:pPr>
    </w:p>
    <w:p>
      <w:pPr>
        <w:ind w:right="240" w:firstLine="576"/>
        <w:spacing w:after="0" w:line="285"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21"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6" w:name="page67"/>
    <w:bookmarkEnd w:id="66"/>
    <w:p>
      <w:pPr>
        <w:ind w:right="680"/>
        <w:spacing w:after="0" w:line="276" w:lineRule="auto"/>
        <w:rPr>
          <w:sz w:val="20"/>
          <w:szCs w:val="20"/>
          <w:color w:val="auto"/>
        </w:rPr>
      </w:pPr>
      <w:r>
        <w:rPr>
          <w:rFonts w:ascii="Arial" w:cs="Arial" w:eastAsia="Arial" w:hAnsi="Arial"/>
          <w:sz w:val="18"/>
          <w:szCs w:val="18"/>
          <w:color w:val="auto"/>
        </w:rPr>
        <w:t>and technology in all relevant fields of use and in all territories in which we may wish to develop or commercialize our technology and products in the future.</w:t>
      </w:r>
    </w:p>
    <w:p>
      <w:pPr>
        <w:spacing w:after="0" w:line="145" w:lineRule="exact"/>
        <w:rPr>
          <w:sz w:val="20"/>
          <w:szCs w:val="20"/>
          <w:color w:val="auto"/>
        </w:rPr>
      </w:pPr>
    </w:p>
    <w:p>
      <w:pPr>
        <w:ind w:right="240" w:firstLine="576"/>
        <w:spacing w:after="0" w:line="241"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any of our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79"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7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284" w:lineRule="exact"/>
        <w:rPr>
          <w:sz w:val="20"/>
          <w:szCs w:val="20"/>
          <w:color w:val="auto"/>
        </w:rPr>
      </w:pPr>
    </w:p>
    <w:p>
      <w:pPr>
        <w:ind w:right="160" w:firstLine="576"/>
        <w:spacing w:after="0" w:line="260"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3" w:lineRule="exact"/>
        <w:rPr>
          <w:sz w:val="20"/>
          <w:szCs w:val="20"/>
          <w:color w:val="auto"/>
        </w:rPr>
      </w:pPr>
    </w:p>
    <w:p>
      <w:pPr>
        <w:ind w:right="440" w:firstLine="576"/>
        <w:spacing w:after="0" w:line="276" w:lineRule="auto"/>
        <w:rPr>
          <w:sz w:val="20"/>
          <w:szCs w:val="20"/>
          <w:color w:val="auto"/>
        </w:rPr>
      </w:pPr>
      <w:r>
        <w:rPr>
          <w:rFonts w:ascii="Arial" w:cs="Arial" w:eastAsia="Arial" w:hAnsi="Arial"/>
          <w:sz w:val="18"/>
          <w:szCs w:val="18"/>
          <w:color w:val="auto"/>
        </w:rPr>
        <w:t>Disputes may arise between us and our current or future licensors regarding intellectual property subject to a license agreement, including:</w:t>
      </w:r>
    </w:p>
    <w:p>
      <w:pPr>
        <w:spacing w:after="0" w:line="37" w:lineRule="exact"/>
        <w:rPr>
          <w:sz w:val="20"/>
          <w:szCs w:val="20"/>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1300" w:right="460" w:hanging="442"/>
        <w:spacing w:after="0" w:line="275" w:lineRule="auto"/>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patents and other rights to third parties;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transfer or assign the license;</w:t>
      </w:r>
    </w:p>
    <w:p>
      <w:pPr>
        <w:spacing w:after="0" w:line="116"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priority of invention of patented technology.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7" w:name="page68"/>
    <w:bookmarkEnd w:id="67"/>
    <w:p>
      <w:pPr>
        <w:ind w:right="100" w:firstLine="576"/>
        <w:spacing w:after="0"/>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80"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0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w:t>
      </w:r>
    </w:p>
    <w:p>
      <w:pPr>
        <w:spacing w:after="0" w:line="18"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i w:val="1"/>
          <w:iCs w:val="1"/>
          <w:color w:val="auto"/>
        </w:rPr>
        <w:t>as “march-in” rights, certain reporting requirements and a preference for U.S.-based companies. Compliance with such regulations may limit our exclusive rights and limit our ability to contract with non-U.S. manufacturers.</w:t>
      </w:r>
    </w:p>
    <w:p>
      <w:pPr>
        <w:spacing w:after="0" w:line="43"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ind w:right="40"/>
        <w:spacing w:after="0"/>
        <w:rPr>
          <w:sz w:val="20"/>
          <w:szCs w:val="20"/>
          <w:color w:val="auto"/>
        </w:rPr>
      </w:pPr>
      <w:r>
        <w:rPr>
          <w:rFonts w:ascii="Arial" w:cs="Arial" w:eastAsia="Arial" w:hAnsi="Arial"/>
          <w:sz w:val="18"/>
          <w:szCs w:val="18"/>
          <w:color w:val="auto"/>
        </w:rPr>
        <w:t>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Cybersecurity</w:t>
      </w:r>
    </w:p>
    <w:p>
      <w:pPr>
        <w:spacing w:after="0" w:line="106" w:lineRule="exact"/>
        <w:rPr>
          <w:sz w:val="20"/>
          <w:szCs w:val="20"/>
          <w:color w:val="auto"/>
        </w:rPr>
      </w:pPr>
    </w:p>
    <w:p>
      <w:pPr>
        <w:ind w:right="120" w:firstLine="576"/>
        <w:spacing w:after="0" w:line="251"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52"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 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 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 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spacing w:after="0" w:line="180"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9" w:name="page70"/>
    <w:bookmarkEnd w:id="69"/>
    <w:p>
      <w:pPr>
        <w:spacing w:after="0" w:line="241" w:lineRule="auto"/>
        <w:rPr>
          <w:sz w:val="20"/>
          <w:szCs w:val="20"/>
          <w:color w:val="auto"/>
        </w:rPr>
      </w:pPr>
      <w:r>
        <w:rPr>
          <w:rFonts w:ascii="Arial" w:cs="Arial" w:eastAsia="Arial" w:hAnsi="Arial"/>
          <w:sz w:val="18"/>
          <w:szCs w:val="18"/>
          <w:color w:val="auto"/>
        </w:rPr>
        <w:t>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spacing w:after="0" w:line="287" w:lineRule="exact"/>
        <w:rPr>
          <w:sz w:val="20"/>
          <w:szCs w:val="20"/>
          <w:color w:val="auto"/>
        </w:rPr>
      </w:pPr>
    </w:p>
    <w:p>
      <w:pPr>
        <w:ind w:right="200" w:firstLine="576"/>
        <w:spacing w:after="0" w:line="285"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1"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If we decide to conduct clinical trials or continue to enroll patients in our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July 2020 decision by the Court of Justice for the European Union that invalidated the EU-U.S. Privacy Shield. This may increase the complexity of transferring personal data across borders and may require us to review and amend our mechanisms relating to cross-border data transfer.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70"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Further, the exit of the United Kingdom, or UK, from the EU, referred to as Brexit, has created uncertainty with regard to data protection regulation in the UK. Specifically, the UK exited the EU on January 1, 2020, subject to a transition period ending December 31, 2020. The UK has implemented legislation similar to the GDPR, referred to as the UK GDPR, which provides for fines of up to the greater of up to the greater of £17.5 million or 4% of global turnover. The relationship between the United Kingdom and the European Union in relation to certain aspects of data protection law remains unclear, however, including with respect to cross-border data transfers and the role of the UK Information Commissioner’s Office with respect to the EU, which exposes us to further compliance risk. We may incur liabilities, expenses, costs, and other operational losses under the UK GDPR, the GDPR and other privacy and data protection laws in the UK and the EU in connection with any measures we take to comply with them.</w:t>
      </w:r>
    </w:p>
    <w:p>
      <w:pPr>
        <w:spacing w:after="0" w:line="221"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on July 1, 2020. In November 2020, California passed the California Privacy Rights Act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may collect about California consumers. The CCPA and the CPRA, may impact our business activities and exemplifies the vulnerability of our business to the evolving regulatory environment related to personal data and protected health information.</w:t>
      </w:r>
    </w:p>
    <w:p>
      <w:pPr>
        <w:spacing w:after="0" w:line="180"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06" w:lineRule="exact"/>
        <w:rPr>
          <w:sz w:val="20"/>
          <w:szCs w:val="20"/>
          <w:color w:val="auto"/>
        </w:rPr>
      </w:pPr>
    </w:p>
    <w:p>
      <w:pPr>
        <w:ind w:right="40" w:firstLine="576"/>
        <w:spacing w:after="0" w:line="285"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will be sustained, and, as a result, it may be difficult for you to sell your shares of our common stock.</w:t>
      </w:r>
    </w:p>
    <w:p>
      <w:pPr>
        <w:spacing w:after="0" w:line="21"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If an active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78" w:lineRule="exact"/>
        <w:rPr>
          <w:sz w:val="20"/>
          <w:szCs w:val="20"/>
          <w:color w:val="auto"/>
        </w:rPr>
      </w:pPr>
    </w:p>
    <w:p>
      <w:pPr>
        <w:ind w:right="320" w:firstLine="576"/>
        <w:spacing w:after="0" w:line="285" w:lineRule="auto"/>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 in this offering.</w:t>
      </w:r>
    </w:p>
    <w:p>
      <w:pPr>
        <w:spacing w:after="0" w:line="21" w:lineRule="exact"/>
        <w:rPr>
          <w:sz w:val="20"/>
          <w:szCs w:val="20"/>
          <w:color w:val="auto"/>
        </w:rPr>
      </w:pPr>
    </w:p>
    <w:p>
      <w:pPr>
        <w:ind w:right="260" w:firstLine="576"/>
        <w:spacing w:after="0" w:line="276"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37" w:lineRule="exact"/>
        <w:rPr>
          <w:sz w:val="20"/>
          <w:szCs w:val="20"/>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and clinical trials and, in particular, our LIFT-AD and ACT-AD P300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ongoing COVID-19 pandemic on our business;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existing or new competitive products or technologies;</w:t>
      </w:r>
    </w:p>
    <w:p>
      <w:pPr>
        <w:spacing w:after="0" w:line="116" w:lineRule="exact"/>
        <w:rPr>
          <w:rFonts w:ascii="Times New Roman" w:cs="Times New Roman" w:eastAsia="Times New Roman" w:hAnsi="Times New Roman"/>
          <w:sz w:val="18"/>
          <w:szCs w:val="18"/>
          <w:color w:val="auto"/>
        </w:rPr>
      </w:pPr>
    </w:p>
    <w:p>
      <w:pPr>
        <w:ind w:left="1300" w:right="460" w:hanging="442"/>
        <w:spacing w:after="0" w:line="27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commencement or termination of collaborations for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failure or discontinuation of any of our product candidates;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16" w:right="359" w:bottom="1440" w:gutter="0" w:footer="0" w:header="0"/>
        </w:sectPr>
      </w:pPr>
    </w:p>
    <w:bookmarkStart w:id="71" w:name="page72"/>
    <w:bookmarkEnd w:id="71"/>
    <w:p>
      <w:pPr>
        <w:ind w:left="1300" w:right="122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37"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investor reactions to other companies’ drug development results, including product failures or negative responses from regulatory authorities;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commencement of litigation;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6"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or expectation of additional financing efforts;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our insiders, or other stockholders;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expiration of market standoff or lock-up agreements;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“Risk Factors” section.</w:t>
      </w:r>
    </w:p>
    <w:p>
      <w:pPr>
        <w:spacing w:after="0" w:line="224"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87" w:lineRule="exact"/>
        <w:rPr>
          <w:sz w:val="20"/>
          <w:szCs w:val="20"/>
          <w:color w:val="auto"/>
        </w:rPr>
      </w:pPr>
    </w:p>
    <w:p>
      <w:pPr>
        <w:ind w:right="200" w:firstLine="576"/>
        <w:spacing w:after="0" w:line="260"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43"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After this offering, 35,087,395 shares of our common stock will be outstanding, or 35,687,395 shares if the underwriters exercise their option to purchase additional shares in full, based on our shares outstanding as of September 30, 2020. Upon completion of this offering, based on the number of shares outstanding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2" w:name="page73"/>
    <w:bookmarkEnd w:id="72"/>
    <w:p>
      <w:pPr>
        <w:ind w:right="80"/>
        <w:spacing w:after="0" w:line="239" w:lineRule="auto"/>
        <w:rPr>
          <w:sz w:val="20"/>
          <w:szCs w:val="20"/>
          <w:color w:val="auto"/>
        </w:rPr>
      </w:pPr>
      <w:r>
        <w:rPr>
          <w:rFonts w:ascii="Arial" w:cs="Arial" w:eastAsia="Arial" w:hAnsi="Arial"/>
          <w:sz w:val="18"/>
          <w:szCs w:val="18"/>
          <w:color w:val="auto"/>
        </w:rPr>
        <w:t>on September 30, 2020, 15,321,545 shares of our common stock, or approximately 43.7% of our outstanding shares, will be restricted from sale through March 17, 2021 as a result of lock-up agreements entered into in connection with our initial public offering, subject to applicable securities law restrictions. An additional 4,824,674 shares of common stock, or 13.8% of our outstanding shares, will be restricted from sale through the date that is 90 days following the date of this prospectus as a result of lock-up agreements entered into by us and all of our directors and officers and certain other stockholders in connection with this offering, subject to applicable securities law restrictions. The representatives of the underwriters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 of 1933, as amended, or the Securities Act. See the section of this prospectus titled “Shares Eligible for Future Sale” for additional information.</w:t>
      </w:r>
    </w:p>
    <w:p>
      <w:pPr>
        <w:spacing w:after="0" w:line="176"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Moreover, upon completion of this offering, the holders of approximately 18,104,343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this prospectus titled “Underwriting.” If any of these additional shares are sold, or if it is perceived that they will be sold, in the public market, the market price of our common stock could decline.</w:t>
      </w:r>
    </w:p>
    <w:p>
      <w:pPr>
        <w:spacing w:after="0" w:line="287" w:lineRule="exact"/>
        <w:rPr>
          <w:sz w:val="20"/>
          <w:szCs w:val="20"/>
          <w:color w:val="auto"/>
        </w:rPr>
      </w:pPr>
    </w:p>
    <w:p>
      <w:pPr>
        <w:ind w:right="460" w:firstLine="576"/>
        <w:spacing w:after="0" w:line="285" w:lineRule="auto"/>
        <w:rPr>
          <w:sz w:val="20"/>
          <w:szCs w:val="20"/>
          <w:color w:val="auto"/>
        </w:rPr>
      </w:pPr>
      <w:r>
        <w:rPr>
          <w:rFonts w:ascii="Arial" w:cs="Arial" w:eastAsia="Arial" w:hAnsi="Arial"/>
          <w:sz w:val="18"/>
          <w:szCs w:val="18"/>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21"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After this offering, our directors, executive officers, holders of more than 5% of our outstanding common stock and their respective affiliates will beneficially own shares representing approximately 31.7% of our outstanding common stock, or 31.2% of our common stock if the underwriters exercise their option to purchase additional shares in full.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82" w:lineRule="exact"/>
        <w:rPr>
          <w:sz w:val="20"/>
          <w:szCs w:val="20"/>
          <w:color w:val="auto"/>
        </w:rPr>
      </w:pPr>
    </w:p>
    <w:p>
      <w:pPr>
        <w:ind w:firstLine="576"/>
        <w:spacing w:after="0" w:line="28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21"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3" w:name="page74"/>
    <w:bookmarkEnd w:id="73"/>
    <w:p>
      <w:pPr>
        <w:ind w:right="500" w:firstLine="576"/>
        <w:spacing w:after="0" w:line="285"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December 31, 2021,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We have never been required to test our internal controls within a specified period and, as a result, we may experience difficulty in meeting these reporting requirements in a timely manner.</w:t>
      </w:r>
    </w:p>
    <w:p>
      <w:pPr>
        <w:spacing w:after="0" w:line="180"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6"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78" w:lineRule="exact"/>
        <w:rPr>
          <w:sz w:val="20"/>
          <w:szCs w:val="20"/>
          <w:color w:val="auto"/>
        </w:rPr>
      </w:pPr>
    </w:p>
    <w:p>
      <w:pPr>
        <w:ind w:right="340" w:firstLine="576"/>
        <w:spacing w:after="0" w:line="285"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our initial public offering and this offering and may not use them effectively.</w:t>
      </w:r>
    </w:p>
    <w:p>
      <w:pPr>
        <w:spacing w:after="0" w:line="21"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We cannot specify with certainty the particular uses of the net proceeds we will receive from this offering. We have broad discretion in the application of the net proceeds received in our initial public offering and will have broad discretion in the application of the net proceeds received in this offering, including for any of the purposes described in the section of this prospectus titled “Use of Proceeds.” We may spend a portion or all of the net proceeds from our initial public offering and this offering in ways that our stockholders may not desire or that may not yield a favorable return. Any failure by us to apply these funds effectively could harm our business, financial condition, results of operations and prospects. Pending their use, we may invest the net proceeds from our initial public offering and this offering in a manner that does not produce income or that loses value.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ind w:right="120" w:firstLine="576"/>
        <w:spacing w:after="0" w:line="285"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21"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pacing w:after="0" w:line="62" w:lineRule="exact"/>
        <w:rPr>
          <w:sz w:val="20"/>
          <w:szCs w:val="20"/>
          <w:color w:val="auto"/>
        </w:rPr>
      </w:pPr>
    </w:p>
    <w:p>
      <w:pPr>
        <w:ind w:left="130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6"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divide the board of directors into three classes;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6" w:lineRule="exact"/>
        <w:rPr>
          <w:rFonts w:ascii="Times New Roman" w:cs="Times New Roman" w:eastAsia="Times New Roman" w:hAnsi="Times New Roman"/>
          <w:sz w:val="18"/>
          <w:szCs w:val="18"/>
          <w:color w:val="auto"/>
        </w:rPr>
      </w:pPr>
    </w:p>
    <w:p>
      <w:pPr>
        <w:ind w:left="1300" w:right="68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37" w:lineRule="exact"/>
        <w:rPr>
          <w:rFonts w:ascii="Times New Roman" w:cs="Times New Roman" w:eastAsia="Times New Roman" w:hAnsi="Times New Roman"/>
          <w:sz w:val="18"/>
          <w:szCs w:val="18"/>
          <w:color w:val="auto"/>
        </w:rPr>
      </w:pPr>
    </w:p>
    <w:p>
      <w:pPr>
        <w:ind w:left="1300" w:right="540" w:hanging="442"/>
        <w:spacing w:after="0" w:line="25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54"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37" w:lineRule="exact"/>
        <w:rPr>
          <w:rFonts w:ascii="Times New Roman" w:cs="Times New Roman" w:eastAsia="Times New Roman" w:hAnsi="Times New Roman"/>
          <w:sz w:val="18"/>
          <w:szCs w:val="18"/>
          <w:color w:val="auto"/>
        </w:rPr>
      </w:pPr>
    </w:p>
    <w:p>
      <w:pPr>
        <w:jc w:val="both"/>
        <w:ind w:left="1300" w:right="60" w:hanging="442"/>
        <w:spacing w:after="0" w:line="25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63"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75" w:name="page76"/>
    <w:bookmarkEnd w:id="75"/>
    <w:p>
      <w:pPr>
        <w:ind w:right="40" w:firstLine="576"/>
        <w:spacing w:after="0" w:line="260"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43"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Our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74"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Our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172"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7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General Risk Factors</w:t>
      </w:r>
    </w:p>
    <w:p>
      <w:pPr>
        <w:spacing w:after="0" w:line="106" w:lineRule="exact"/>
        <w:rPr>
          <w:sz w:val="20"/>
          <w:szCs w:val="20"/>
          <w:color w:val="auto"/>
        </w:rPr>
      </w:pPr>
    </w:p>
    <w:p>
      <w:pPr>
        <w:ind w:right="200" w:firstLine="576"/>
        <w:spacing w:after="0" w:line="285" w:lineRule="auto"/>
        <w:rPr>
          <w:sz w:val="20"/>
          <w:szCs w:val="20"/>
          <w:color w:val="auto"/>
        </w:rPr>
      </w:pPr>
      <w:r>
        <w:rPr>
          <w:rFonts w:ascii="Arial" w:cs="Arial" w:eastAsia="Arial" w:hAnsi="Arial"/>
          <w:sz w:val="18"/>
          <w:szCs w:val="18"/>
          <w:b w:val="1"/>
          <w:bCs w:val="1"/>
          <w:i w:val="1"/>
          <w:iCs w:val="1"/>
          <w:color w:val="auto"/>
        </w:rPr>
        <w:t>Our advisors and consultants are classified as independent contractors, and we can face consequences if it is determined that they are misclassified as such.</w:t>
      </w:r>
    </w:p>
    <w:p>
      <w:pPr>
        <w:spacing w:after="0" w:line="21"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divergent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ind w:right="260" w:firstLine="576"/>
        <w:spacing w:after="0" w:line="28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21"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0" w:lineRule="exact"/>
        <w:rPr>
          <w:sz w:val="20"/>
          <w:szCs w:val="20"/>
          <w:color w:val="auto"/>
        </w:rPr>
      </w:pPr>
    </w:p>
    <w:p>
      <w:pPr>
        <w:ind w:right="720" w:firstLine="576"/>
        <w:spacing w:after="0" w:line="285"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21"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6" w:lineRule="exact"/>
        <w:rPr>
          <w:sz w:val="20"/>
          <w:szCs w:val="20"/>
          <w:color w:val="auto"/>
        </w:rPr>
      </w:pPr>
    </w:p>
    <w:p>
      <w:pPr>
        <w:ind w:right="240" w:firstLine="576"/>
        <w:spacing w:after="0" w:line="285"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21" w:lineRule="exact"/>
        <w:rPr>
          <w:sz w:val="20"/>
          <w:szCs w:val="20"/>
          <w:color w:val="auto"/>
        </w:rPr>
      </w:pPr>
    </w:p>
    <w:p>
      <w:pPr>
        <w:jc w:val="both"/>
        <w:ind w:right="180" w:firstLine="576"/>
        <w:spacing w:after="0" w:line="255" w:lineRule="auto"/>
        <w:rPr>
          <w:sz w:val="20"/>
          <w:szCs w:val="20"/>
          <w:color w:val="auto"/>
        </w:rPr>
      </w:pPr>
      <w:r>
        <w:rPr>
          <w:rFonts w:ascii="Arial" w:cs="Arial" w:eastAsia="Arial" w:hAnsi="Arial"/>
          <w:sz w:val="18"/>
          <w:szCs w:val="18"/>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16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172"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This prospectus contains forward-looking statements within the meaning of the Private Securities Litigation Reform Act of 1995 that are based on our management’s beliefs and assumptions and on information currently available to our management. Some of the statements in the sections of this prospectus titled “Prospectus Summary,” “Risk Factors,” “Management’s Discussion and Analysis of Financial Condition and Results of Operations” and “Business” and elsewhere in this prospectus contain forward-looking statements. In some cases, you can identify forward- 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w:t>
      </w:r>
    </w:p>
    <w:p>
      <w:pPr>
        <w:spacing w:after="0" w:line="179" w:lineRule="exact"/>
        <w:rPr>
          <w:sz w:val="20"/>
          <w:szCs w:val="20"/>
          <w:color w:val="auto"/>
        </w:rPr>
      </w:pPr>
    </w:p>
    <w:p>
      <w:pPr>
        <w:ind w:right="120" w:firstLine="576"/>
        <w:spacing w:after="0" w:line="245" w:lineRule="auto"/>
        <w:rPr>
          <w:sz w:val="20"/>
          <w:szCs w:val="20"/>
          <w:color w:val="auto"/>
        </w:rPr>
      </w:pPr>
      <w:r>
        <w:rPr>
          <w:rFonts w:ascii="Arial" w:cs="Arial" w:eastAsia="Arial" w:hAnsi="Arial"/>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w:t>
      </w:r>
    </w:p>
    <w:p>
      <w:pPr>
        <w:spacing w:after="0" w:line="64" w:lineRule="exact"/>
        <w:rPr>
          <w:sz w:val="20"/>
          <w:szCs w:val="20"/>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224" w:lineRule="exact"/>
        <w:rPr>
          <w:rFonts w:ascii="Times New Roman" w:cs="Times New Roman" w:eastAsia="Times New Roman" w:hAnsi="Times New Roman"/>
          <w:sz w:val="18"/>
          <w:szCs w:val="18"/>
          <w:color w:val="auto"/>
        </w:rPr>
      </w:pPr>
    </w:p>
    <w:p>
      <w:pPr>
        <w:ind w:left="1300" w:right="440" w:hanging="442"/>
        <w:spacing w:after="0" w:line="275" w:lineRule="auto"/>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existing cash, cash equivalents and investments to fund our future operating expenses and capital expenditure requirements;</w:t>
      </w:r>
    </w:p>
    <w:p>
      <w:pPr>
        <w:spacing w:after="0" w:line="145"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or likelihood of regulatory filings and approvals;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commercializing our product candidates, if approved;</w:t>
      </w:r>
    </w:p>
    <w:p>
      <w:pPr>
        <w:spacing w:after="0" w:line="224"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224"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our product candidates into additional indications and patient populations;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78" w:name="page79"/>
    <w:bookmarkEnd w:id="78"/>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beneficial characteristics, safety and efficacy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other jurisdictions;</w:t>
      </w:r>
    </w:p>
    <w:p>
      <w:pPr>
        <w:spacing w:after="0" w:line="224"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 in the United States and other jurisdictions, and any related restrictions, limitations and/or warnings in the label of any approved product candidate;</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 regulatory approval;</w:t>
      </w:r>
    </w:p>
    <w:p>
      <w:pPr>
        <w:spacing w:after="0" w:line="145"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45"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impact of the novel coronavirus disease, or COVID-19, pandemic on our business;</w:t>
      </w:r>
    </w:p>
    <w:p>
      <w:pPr>
        <w:spacing w:after="0" w:line="224"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any strategic collaboration agreements we may enter into.</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our anticipated use of the proceeds from this offering;</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332"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MARKET, INDUSTRY AND OTHER DATA</w:t>
      </w:r>
    </w:p>
    <w:p>
      <w:pPr>
        <w:spacing w:after="0" w:line="21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This prospectus contains estimates, projections and other information concerning market, industry and other data. We obtained this data from our own internal estimates and research and from academic and industry research, publications, surveys, and studies conducted by third parties, including governmental agencies. In some cases, we do not expressly refer to the sources from which these data are derived. These data involve a number of assumptions and limitations, are subject to risks and uncertainties, and are subject to change based on various factors, including those discussed in the section of this prospectus titled “Risk Factors” and elsewhere in this prospectus. These and other factors could cause results to differ materially from those expressed in the estimates made by the independent parties and by us. While we believe such information included in this prospectus is generally reliable, we have not independently verified any third-party information.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We estimate that the net proceeds from this offering will be approximately $99.3 million (or $114.3 million if the underwriters exercise their option to purchase additional shares in full), assuming a public offering price of $26.55 per share, which was the last reported sale price of our common stock on the Nasdaq Global Select Market on January 15, 2021, and after deducting underwriting discounts and commissions and offering expenses payable by us.</w:t>
      </w:r>
    </w:p>
    <w:p>
      <w:pPr>
        <w:spacing w:after="0" w:line="17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Each $1.00 increase or decrease in the assumed public offering price of $ 26.55 per share would increase or decrease, as applicable, the net proceeds to us from this offering by $3.8 million, assuming the number of shares offered by us, as set forth on the cover page of this prospectus, remains the same and after deducting the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the net proceeds to us from this offering by $25.0 million, assuming that the assumed public offering price remains the same and after deducting underwriting discounts and commissions and estimated offering expenses payable by us. We do not expect that a change in the public offering price or the number of shares by these amounts would have a material effect on our uses of the proceeds from this offering, although it may accelerate the time when we need to seek additional capital.</w:t>
      </w:r>
    </w:p>
    <w:p>
      <w:pPr>
        <w:spacing w:after="0" w:line="180"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obtain additional capital to support our operations. We currently intend to use the net proceeds from this offering for the following purposes:</w:t>
      </w:r>
    </w:p>
    <w:p>
      <w:pPr>
        <w:spacing w:after="0" w:line="158" w:lineRule="exact"/>
        <w:rPr>
          <w:sz w:val="20"/>
          <w:szCs w:val="20"/>
          <w:color w:val="auto"/>
        </w:rPr>
      </w:pPr>
    </w:p>
    <w:p>
      <w:pPr>
        <w:jc w:val="both"/>
        <w:ind w:left="1300" w:right="80" w:hanging="442"/>
        <w:spacing w:after="0" w:line="255" w:lineRule="auto"/>
        <w:tabs>
          <w:tab w:leader="none" w:pos="13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$37 million to fund the continued clinical development of ATH-1017, including for our planned Phase 2 trial of ATH-1017 for the treatment of Parkinson’s disease dementia and for clinical pharmacology and safety studies to support the development of ATH-1017 for both mild-to-moderate Alzheimer’s disease and Parkinson’s disease dementia;</w:t>
      </w:r>
    </w:p>
    <w:p>
      <w:pPr>
        <w:spacing w:after="0" w:line="176"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$51 million to fund our IND-enabling studies and early-stage clinical development of ATH-1019 or ATH-1020 for the treatment of neuropsychiatric indications; and</w:t>
      </w:r>
    </w:p>
    <w:p>
      <w:pPr>
        <w:spacing w:after="0" w:line="145"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the remainder for our other research and development activities, as well as for working capital and other general corporate purposes.</w:t>
      </w:r>
    </w:p>
    <w:p>
      <w:pPr>
        <w:spacing w:after="0" w:line="146" w:lineRule="exact"/>
        <w:rPr>
          <w:sz w:val="20"/>
          <w:szCs w:val="20"/>
          <w:color w:val="auto"/>
        </w:rPr>
      </w:pPr>
    </w:p>
    <w:p>
      <w:pPr>
        <w:jc w:val="both"/>
        <w:ind w:right="40" w:firstLine="576"/>
        <w:spacing w:after="0" w:line="255" w:lineRule="auto"/>
        <w:rPr>
          <w:sz w:val="20"/>
          <w:szCs w:val="20"/>
          <w:color w:val="auto"/>
        </w:rPr>
      </w:pPr>
      <w:r>
        <w:rPr>
          <w:rFonts w:ascii="Arial" w:cs="Arial" w:eastAsia="Arial" w:hAnsi="Arial"/>
          <w:sz w:val="18"/>
          <w:szCs w:val="18"/>
          <w:color w:val="auto"/>
        </w:rPr>
        <w:t>We currently intend to use our existing cash, cash equivalents and investments to fund the ongoing clinical development of ATH-1017 for the treatment of mild-to-moderate Alzheimer’s disease, including our ongoing LIFT-AD and ACT-AD clinical trials, and for working capital and other general corporate purposes.</w:t>
      </w:r>
    </w:p>
    <w:p>
      <w:pPr>
        <w:spacing w:after="0" w:line="16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This expected use of the net proceeds from this offering represents our intentions based on our current plans and business conditions, which could change in the future as our plans and business conditions evolve. Further, due to the uncertainties inherent in the small molecule development process, it is difficult to estimate with certainty the exact amounts of the net proceeds from this offering that may be used for the above purposes. We may also use a portion of our net proceeds to acquire or invest in complementary products, technologies, or businesses. However, we currently have no agreements or commitments to do so. As a result, our management will have broad discretion over the use of the net proceeds from this offering, and our investors will be relying on the judgment of our management regarding the application of the net proceeds of this offering. The amounts and timing of our expenditures will depend upon numerous factors including the results of our research and development efforts, the timing, number, scope and success of our nonclinical studies and clinical trials, and the timing and success of any regulatory submissions.</w:t>
      </w:r>
    </w:p>
    <w:p>
      <w:pPr>
        <w:spacing w:after="0" w:line="176"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Based upon our current operating plan, we estimate that our existing cash, cash equivalents and investments and the anticipated net proceeds from this offering, will be sufficient to fund our operating expenses and capital expenditure requirements at least through 2022. In particular, we expect that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sectPr>
      </w:pPr>
    </w:p>
    <w:bookmarkStart w:id="81" w:name="page82"/>
    <w:bookmarkEnd w:id="81"/>
    <w:p>
      <w:pPr>
        <w:spacing w:after="0" w:line="207" w:lineRule="exact"/>
        <w:rPr>
          <w:sz w:val="20"/>
          <w:szCs w:val="20"/>
          <w:color w:val="auto"/>
        </w:rPr>
      </w:pPr>
      <w:r>
        <w:rPr>
          <w:rFonts w:ascii="Arial" w:cs="Arial" w:eastAsia="Arial" w:hAnsi="Arial"/>
          <w:sz w:val="18"/>
          <w:szCs w:val="18"/>
          <w:color w:val="auto"/>
        </w:rPr>
        <w:t>net proceeds from this offering and our existing cash, cash equivalents and investments will fund us through receipt of topline data readouts for our LIFT-AD and ACT-AD trials of ATH-1017, each for the treatment of mild-to-moderate AD, through receipt of topline data for our planned Phase 2 trial of ATH-1017 for the treatment of Parkinson’s disease dementia, as well as IND-enabling studies and early-stage clinical development for ATH-1019 or ATH</w:t>
      </w:r>
      <w:r>
        <w:rPr>
          <w:rFonts w:ascii="MS PGothic" w:cs="MS PGothic" w:eastAsia="MS PGothic" w:hAnsi="MS PGothic"/>
          <w:sz w:val="18"/>
          <w:szCs w:val="18"/>
          <w:color w:val="auto"/>
        </w:rPr>
        <w:t>‑</w:t>
      </w:r>
      <w:r>
        <w:rPr>
          <w:rFonts w:ascii="Arial" w:cs="Arial" w:eastAsia="Arial" w:hAnsi="Arial"/>
          <w:sz w:val="18"/>
          <w:szCs w:val="18"/>
          <w:color w:val="auto"/>
        </w:rPr>
        <w:t>1020 for the treatment of neuropsychiatric indications. However, our existing cash, cash equivalents and investments and the expected net proceeds from this offering will not be sufficient for us to fund any of our product candidates through regulatory approval and commercialization, and we will need to raise substantial additional capital to complete the development and commercialization of our product candidates. The amounts and timing of our actual expenditures may vary significantly depending on numerous factors. For additional information regarding our potential capital requirements, including factors that could cause actual costs to vary from the estimates set forth above, see the section of this prospectus titled “Risk Factors.”</w:t>
      </w:r>
    </w:p>
    <w:p>
      <w:pPr>
        <w:spacing w:after="0" w:line="176" w:lineRule="exact"/>
        <w:rPr>
          <w:sz w:val="20"/>
          <w:szCs w:val="20"/>
          <w:color w:val="auto"/>
        </w:rPr>
      </w:pPr>
    </w:p>
    <w:p>
      <w:pPr>
        <w:ind w:right="180" w:firstLine="576"/>
        <w:spacing w:after="0" w:line="255" w:lineRule="auto"/>
        <w:rPr>
          <w:sz w:val="20"/>
          <w:szCs w:val="20"/>
          <w:color w:val="auto"/>
        </w:rPr>
      </w:pPr>
      <w:r>
        <w:rPr>
          <w:rFonts w:ascii="Arial" w:cs="Arial" w:eastAsia="Arial" w:hAnsi="Arial"/>
          <w:sz w:val="18"/>
          <w:szCs w:val="18"/>
          <w:color w:val="auto"/>
        </w:rPr>
        <w:t>As of the date of this prospectus, we intend to invest the net proceeds in short-term interest-bearing investment-grade securities, certificates of deposit or government securities. The goal with respect to the investment of these net proceeds is capital preservation and liquidity so that such funds are readily available to fund our operations.</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576" w:right="47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be limited by any future debt instruments or preferred securities.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cash equivalents and investments and unaudited capitalization as of September 30, 2020:</w:t>
      </w:r>
    </w:p>
    <w:p>
      <w:pPr>
        <w:spacing w:after="0" w:line="104" w:lineRule="exact"/>
        <w:rPr>
          <w:sz w:val="20"/>
          <w:szCs w:val="20"/>
          <w:color w:val="auto"/>
        </w:rPr>
      </w:pPr>
    </w:p>
    <w:p>
      <w:pPr>
        <w:ind w:left="800" w:hanging="225"/>
        <w:spacing w:after="0"/>
        <w:tabs>
          <w:tab w:leader="none" w:pos="8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on an actual basis;</w:t>
      </w:r>
    </w:p>
    <w:p>
      <w:pPr>
        <w:spacing w:after="0" w:line="116" w:lineRule="exact"/>
        <w:rPr>
          <w:rFonts w:ascii="Times New Roman" w:cs="Times New Roman" w:eastAsia="Times New Roman" w:hAnsi="Times New Roman"/>
          <w:sz w:val="18"/>
          <w:szCs w:val="18"/>
          <w:color w:val="auto"/>
        </w:rPr>
      </w:pPr>
    </w:p>
    <w:p>
      <w:pPr>
        <w:ind w:left="800" w:right="40" w:hanging="225"/>
        <w:spacing w:after="0" w:line="248" w:lineRule="auto"/>
        <w:tabs>
          <w:tab w:leader="none" w:pos="8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on an as adjusted basis to reflect the sale and issuance by us of 4,000,000 shares of common stock in this offering at the assumed public offering price of $26.55 per share, which was the last reported sale price of our common stock on the Nasdaq Global Select Market on January 15, 2021, after deducting underwriting discounts and commissions and estimated offering expenses payable by us.</w:t>
      </w:r>
    </w:p>
    <w:p>
      <w:pPr>
        <w:spacing w:after="0" w:line="170" w:lineRule="exact"/>
        <w:rPr>
          <w:sz w:val="20"/>
          <w:szCs w:val="20"/>
          <w:color w:val="auto"/>
        </w:rPr>
      </w:pPr>
    </w:p>
    <w:p>
      <w:pPr>
        <w:jc w:val="both"/>
        <w:ind w:right="580" w:firstLine="576"/>
        <w:spacing w:after="0" w:line="255" w:lineRule="auto"/>
        <w:rPr>
          <w:sz w:val="20"/>
          <w:szCs w:val="20"/>
          <w:color w:val="auto"/>
        </w:rPr>
      </w:pPr>
      <w:r>
        <w:rPr>
          <w:rFonts w:ascii="Arial" w:cs="Arial" w:eastAsia="Arial" w:hAnsi="Arial"/>
          <w:sz w:val="18"/>
          <w:szCs w:val="18"/>
          <w:color w:val="auto"/>
        </w:rPr>
        <w:t>You should read the information in this table together with our financial statements and related notes included elsewhere in this prospectus, as well as the sections of this prospectus titled “Selected Financial Data” and “Management’s Discussion and Analysis of Financial Condition and Results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5"/>
          </w:tcPr>
          <w:p>
            <w:pPr>
              <w:jc w:val="center"/>
              <w:ind w:right="252"/>
              <w:spacing w:after="0"/>
              <w:rPr>
                <w:sz w:val="20"/>
                <w:szCs w:val="20"/>
                <w:color w:val="auto"/>
              </w:rPr>
            </w:pPr>
            <w:r>
              <w:rPr>
                <w:rFonts w:ascii="Arial" w:cs="Arial" w:eastAsia="Arial" w:hAnsi="Arial"/>
                <w:sz w:val="14"/>
                <w:szCs w:val="14"/>
                <w:b w:val="1"/>
                <w:bCs w:val="1"/>
                <w:color w:val="auto"/>
              </w:rPr>
              <w:t>As of September 30, 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Actual</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420"/>
              <w:spacing w:after="0" w:line="222" w:lineRule="exact"/>
              <w:rPr>
                <w:sz w:val="20"/>
                <w:szCs w:val="20"/>
                <w:color w:val="auto"/>
              </w:rPr>
            </w:pPr>
            <w:r>
              <w:rPr>
                <w:rFonts w:ascii="Arial" w:cs="Arial" w:eastAsia="Arial" w:hAnsi="Arial"/>
                <w:sz w:val="14"/>
                <w:szCs w:val="14"/>
                <w:b w:val="1"/>
                <w:bCs w:val="1"/>
                <w:color w:val="auto"/>
                <w:w w:val="96"/>
              </w:rPr>
              <w:t>As Adjusted</w:t>
            </w:r>
            <w:r>
              <w:rPr>
                <w:rFonts w:ascii="Arial" w:cs="Arial" w:eastAsia="Arial" w:hAnsi="Arial"/>
                <w:sz w:val="24"/>
                <w:szCs w:val="24"/>
                <w:b w:val="1"/>
                <w:bCs w:val="1"/>
                <w:color w:val="auto"/>
                <w:w w:val="96"/>
                <w:vertAlign w:val="superscript"/>
              </w:rPr>
              <w:t>(1)</w:t>
            </w:r>
          </w:p>
        </w:tc>
        <w:tc>
          <w:tcPr>
            <w:tcW w:w="0" w:type="dxa"/>
            <w:vAlign w:val="bottom"/>
          </w:tcPr>
          <w:p>
            <w:pPr>
              <w:spacing w:after="0"/>
              <w:rPr>
                <w:sz w:val="1"/>
                <w:szCs w:val="1"/>
                <w:color w:val="auto"/>
              </w:rPr>
            </w:pPr>
          </w:p>
        </w:tc>
      </w:tr>
      <w:tr>
        <w:trPr>
          <w:trHeight w:val="154"/>
        </w:trPr>
        <w:tc>
          <w:tcPr>
            <w:tcW w:w="77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4"/>
          </w:tcPr>
          <w:p>
            <w:pPr>
              <w:jc w:val="center"/>
              <w:ind w:left="875"/>
              <w:spacing w:after="0" w:line="154" w:lineRule="exact"/>
              <w:rPr>
                <w:sz w:val="20"/>
                <w:szCs w:val="20"/>
                <w:color w:val="auto"/>
              </w:rPr>
            </w:pPr>
            <w:r>
              <w:rPr>
                <w:rFonts w:ascii="Arial" w:cs="Arial" w:eastAsia="Arial" w:hAnsi="Arial"/>
                <w:sz w:val="14"/>
                <w:szCs w:val="14"/>
                <w:b w:val="1"/>
                <w:bCs w:val="1"/>
                <w:color w:val="auto"/>
              </w:rPr>
              <w:t>(unaudited)</w:t>
            </w:r>
          </w:p>
        </w:tc>
        <w:tc>
          <w:tcPr>
            <w:tcW w:w="1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700" w:type="dxa"/>
            <w:vAlign w:val="bottom"/>
          </w:tcPr>
          <w:p>
            <w:pPr>
              <w:spacing w:after="0"/>
              <w:rPr>
                <w:sz w:val="15"/>
                <w:szCs w:val="15"/>
                <w:color w:val="auto"/>
              </w:rPr>
            </w:pPr>
          </w:p>
        </w:tc>
        <w:tc>
          <w:tcPr>
            <w:tcW w:w="354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investments</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259,928</w:t>
            </w:r>
          </w:p>
        </w:tc>
        <w:tc>
          <w:tcPr>
            <w:tcW w:w="3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Grant liability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340" w:type="dxa"/>
            <w:vAlign w:val="bottom"/>
          </w:tcPr>
          <w:p>
            <w:pPr>
              <w:jc w:val="right"/>
              <w:ind w:right="155"/>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1,500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1,500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00" w:type="dxa"/>
            <w:vAlign w:val="bottom"/>
          </w:tcPr>
          <w:p>
            <w:pPr>
              <w:ind w:left="260"/>
              <w:spacing w:after="0" w:line="193" w:lineRule="exact"/>
              <w:rPr>
                <w:sz w:val="20"/>
                <w:szCs w:val="20"/>
                <w:color w:val="auto"/>
              </w:rPr>
            </w:pPr>
            <w:r>
              <w:rPr>
                <w:rFonts w:ascii="Arial" w:cs="Arial" w:eastAsia="Arial" w:hAnsi="Arial"/>
                <w:sz w:val="18"/>
                <w:szCs w:val="18"/>
                <w:color w:val="auto"/>
              </w:rPr>
              <w:t>Preferred stock, $0.0001 par value per share, 100,000,000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shares authorized and no shares issued and outstanding,</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400"/>
              <w:spacing w:after="0"/>
              <w:rPr>
                <w:sz w:val="20"/>
                <w:szCs w:val="20"/>
                <w:color w:val="auto"/>
              </w:rPr>
            </w:pPr>
            <w:r>
              <w:rPr>
                <w:rFonts w:ascii="Arial" w:cs="Arial" w:eastAsia="Arial" w:hAnsi="Arial"/>
                <w:sz w:val="18"/>
                <w:szCs w:val="18"/>
                <w:color w:val="auto"/>
              </w:rPr>
              <w:t>actual and as adjusted</w:t>
            </w:r>
          </w:p>
        </w:tc>
        <w:tc>
          <w:tcPr>
            <w:tcW w:w="34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770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Common stock, $0.0001 par value per share, 900,000,000</w:t>
            </w: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shares authorized, 31,087,395 shares issued and outstanding,</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actual; 900,000,000 shares authorized, 35,087,395 shares issued</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and outstanding, as adjusted</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292,800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392,112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(33,340)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(33,340)</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259,470</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358,782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60"/>
              <w:spacing w:after="0"/>
              <w:rPr>
                <w:sz w:val="20"/>
                <w:szCs w:val="20"/>
                <w:color w:val="auto"/>
              </w:rPr>
            </w:pPr>
            <w:r>
              <w:rPr>
                <w:rFonts w:ascii="Arial" w:cs="Arial" w:eastAsia="Arial" w:hAnsi="Arial"/>
                <w:sz w:val="18"/>
                <w:szCs w:val="18"/>
                <w:color w:val="auto"/>
              </w:rPr>
              <w:t>Total capitalization</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260,970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83" w:lineRule="exact"/>
        <w:rPr>
          <w:sz w:val="20"/>
          <w:szCs w:val="20"/>
          <w:color w:val="auto"/>
        </w:rPr>
      </w:pPr>
    </w:p>
    <w:p>
      <w:pPr>
        <w:ind w:left="480" w:right="80" w:hanging="472"/>
        <w:spacing w:after="0" w:line="241" w:lineRule="auto"/>
        <w:tabs>
          <w:tab w:leader="none" w:pos="48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Each $1.00 increase or decrease in the assumed public offering price of $26.55 per share, the last reported sale of our common stock on the Nasdaq Global Select Market on January 15, 2021, would increase or decrease, as applicable, each of our cash, cash equivalents and investments, additional paid-in capital, total stockholders’ equity and total capitalization by $3.8 million,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each of our cash, cash equivalents and investments, additional paid-in capital, total stockholders’ equity and total capitalization by $25.0 million, assuming that the assumed public offering price remains the same, and after deducting underwriting discounts and commissions and estimated offering expenses payable by us. The as adjusted information discussed above is illustrative only and will change based on the actual public offering price and other terms of this offering determined at pricing.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84" w:name="page85"/>
    <w:bookmarkEnd w:id="84"/>
    <w:p>
      <w:pPr>
        <w:ind w:right="100" w:firstLine="576"/>
        <w:spacing w:after="0" w:line="276" w:lineRule="auto"/>
        <w:rPr>
          <w:sz w:val="20"/>
          <w:szCs w:val="20"/>
          <w:color w:val="auto"/>
        </w:rPr>
      </w:pPr>
      <w:r>
        <w:rPr>
          <w:rFonts w:ascii="Arial" w:cs="Arial" w:eastAsia="Arial" w:hAnsi="Arial"/>
          <w:sz w:val="18"/>
          <w:szCs w:val="18"/>
          <w:color w:val="auto"/>
        </w:rPr>
        <w:t>The number of shares of our common stock issued and outstanding as adjusted in the table above is based on 31,087,395 shares of common stock outstanding as of September 30, 2020, and excludes:</w:t>
      </w:r>
    </w:p>
    <w:p>
      <w:pPr>
        <w:spacing w:after="0" w:line="37" w:lineRule="exact"/>
        <w:rPr>
          <w:sz w:val="20"/>
          <w:szCs w:val="20"/>
          <w:color w:val="auto"/>
        </w:rPr>
      </w:pPr>
    </w:p>
    <w:p>
      <w:pPr>
        <w:ind w:left="1300" w:right="500" w:hanging="442"/>
        <w:spacing w:after="0" w:line="275" w:lineRule="auto"/>
        <w:tabs>
          <w:tab w:leader="none" w:pos="13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1,927,428 shares of common stock issuable upon the exercise of outstanding options as of September 30, 2020 with a weighted-average exercise price of $8.85 per share;</w:t>
      </w:r>
    </w:p>
    <w:p>
      <w:pPr>
        <w:spacing w:after="0" w:line="37"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3,790,279 shares of common stock reserved for future issuance under our 2020 Equity Incentive Plan as of September 30, 2020, and any future automatic increase in shares reserved for issuance under such plan; and</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323,000 shares of common stock reserved for issuance under our 2020 Employee Stock Purchase Plan as of September 30, 2020, and any future automatic increase in shares reserved for issuance under such plan.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If you invest in our common stock you will experience immediate and substantial dilution in the net tangible book value of your shares of common stock. Dilution in net tangible book value represents the difference between the public offering price per share of our common stock and the as adjusted net tangible book value per share of our common stock.</w:t>
      </w:r>
    </w:p>
    <w:p>
      <w:pPr>
        <w:spacing w:after="0" w:line="16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Historical net tangible book value represents our total tangible assets (total assets less deferred offering costs) less total liabilities. As of September 30, 2020, our historical net tangible book value was $259.5 million and our historical net tangible book value per share was $8.35.</w:t>
      </w:r>
    </w:p>
    <w:p>
      <w:pPr>
        <w:spacing w:after="0" w:line="164"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After giving effect to the sale and issuance of 4,000,000 shares of our common stock in this offering at the assumed public offering price of $26.55 per share, which was the last reported sale price of our common stock on the Nasdaq Global Select Market on January 15, 2021, after deducting underwriting discounts and commissions and estimated offering expenses payable by us, our as adjusted net tangible book value as of September 30, 2020 would have been $358.8 million, or $10.23 per share. This represents an immediate increase in net tangible book value of $1.88 per share to existing stockholders and an immediate dilution of the net tangible book value of $16.32 per share to new investors purchasing common stock in this offering.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00" w:type="dxa"/>
            <w:vAlign w:val="bottom"/>
          </w:tcPr>
          <w:p>
            <w:pPr>
              <w:ind w:left="58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98"/>
        </w:trPr>
        <w:tc>
          <w:tcPr>
            <w:tcW w:w="7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Assumed public offering price per share</w:t>
            </w:r>
          </w:p>
        </w:tc>
        <w:tc>
          <w:tcPr>
            <w:tcW w:w="66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w:t>
            </w:r>
          </w:p>
        </w:tc>
        <w:tc>
          <w:tcPr>
            <w:tcW w:w="120" w:type="dxa"/>
            <w:vAlign w:val="bottom"/>
            <w:shd w:val="clear" w:color="auto" w:fill="CFF0FC"/>
          </w:tcPr>
          <w:p>
            <w:pPr>
              <w:spacing w:after="0"/>
              <w:rPr>
                <w:sz w:val="18"/>
                <w:szCs w:val="18"/>
                <w:color w:val="auto"/>
              </w:rPr>
            </w:pPr>
          </w:p>
        </w:tc>
      </w:tr>
      <w:tr>
        <w:trPr>
          <w:trHeight w:val="193"/>
        </w:trPr>
        <w:tc>
          <w:tcPr>
            <w:tcW w:w="7700" w:type="dxa"/>
            <w:vAlign w:val="bottom"/>
          </w:tcPr>
          <w:p>
            <w:pPr>
              <w:ind w:left="140"/>
              <w:spacing w:after="0" w:line="193" w:lineRule="exact"/>
              <w:rPr>
                <w:sz w:val="20"/>
                <w:szCs w:val="20"/>
                <w:color w:val="auto"/>
              </w:rPr>
            </w:pPr>
            <w:r>
              <w:rPr>
                <w:rFonts w:ascii="Arial" w:cs="Arial" w:eastAsia="Arial" w:hAnsi="Arial"/>
                <w:sz w:val="18"/>
                <w:szCs w:val="18"/>
                <w:color w:val="auto"/>
              </w:rPr>
              <w:t>Historical net tangible book value per share as of</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7700" w:type="dxa"/>
            <w:vAlign w:val="bottom"/>
          </w:tcPr>
          <w:p>
            <w:pPr>
              <w:ind w:left="280"/>
              <w:spacing w:after="0"/>
              <w:rPr>
                <w:sz w:val="20"/>
                <w:szCs w:val="20"/>
                <w:color w:val="auto"/>
              </w:rPr>
            </w:pPr>
            <w:r>
              <w:rPr>
                <w:rFonts w:ascii="Arial" w:cs="Arial" w:eastAsia="Arial" w:hAnsi="Arial"/>
                <w:sz w:val="18"/>
                <w:szCs w:val="18"/>
                <w:color w:val="auto"/>
              </w:rPr>
              <w:t>September 30, 2020</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8.35</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3"/>
        </w:trPr>
        <w:tc>
          <w:tcPr>
            <w:tcW w:w="7700" w:type="dxa"/>
            <w:vAlign w:val="bottom"/>
            <w:shd w:val="clear" w:color="auto" w:fill="CFF0FC"/>
          </w:tcPr>
          <w:p>
            <w:pPr>
              <w:ind w:left="140"/>
              <w:spacing w:after="0" w:line="193" w:lineRule="exact"/>
              <w:rPr>
                <w:sz w:val="20"/>
                <w:szCs w:val="20"/>
                <w:color w:val="auto"/>
              </w:rPr>
            </w:pPr>
            <w:r>
              <w:rPr>
                <w:rFonts w:ascii="Arial" w:cs="Arial" w:eastAsia="Arial" w:hAnsi="Arial"/>
                <w:sz w:val="18"/>
                <w:szCs w:val="18"/>
                <w:color w:val="auto"/>
              </w:rPr>
              <w:t>Increase in net tangible book value per share attributable to new</w:t>
            </w:r>
          </w:p>
        </w:tc>
        <w:tc>
          <w:tcPr>
            <w:tcW w:w="6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investors participating in the offering</w:t>
            </w:r>
          </w:p>
        </w:tc>
        <w:tc>
          <w:tcPr>
            <w:tcW w:w="6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0"/>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6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6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Each $1.00 increase (decrease) in the assumed public offering price of $26.55 per share would increase (decrease) our as adjusted net tangible book value by $3.8 million, or $0.10 $(0.11) per share, and increase (decrease) the dilution per share to investors participating in this offering by $0.90 $(0.89) per share,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(decrease) of 1.0 million in the number of shares offered by us would increase (decrease) our as adjusted net tangible book value by $25.0 million, or $0.40 $(0.44) per share, and the dilution per share to investors participating in this offering would increase (decrease) by $0.40 $(0.44) per share, assuming that the assumed public offering price remains the same, and after deducting underwriting discounts and commissions and estimated offering expenses payable by us. The as adjusted information discussed above is illustrative only and will change based on the actual public offering price and other terms of this offering determined at pricing.</w:t>
      </w:r>
    </w:p>
    <w:p>
      <w:pPr>
        <w:spacing w:after="0" w:line="180"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If the underwriters exercise their option in full to purchase additional shares of common stock in this offering, the as adjusted net tangible book value per share after the offering would be $10.47 per share, the increase in the net tangible book value per share to existing stockholders would be $0.24 per share, and the as adjusted dilution to new investors purchasing common stock in this offering would be $16.08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6" w:name="page87"/>
    <w:bookmarkEnd w:id="86"/>
    <w:p>
      <w:pPr>
        <w:ind w:right="100" w:firstLine="576"/>
        <w:spacing w:after="0" w:line="248" w:lineRule="auto"/>
        <w:rPr>
          <w:sz w:val="20"/>
          <w:szCs w:val="20"/>
          <w:color w:val="auto"/>
        </w:rPr>
      </w:pPr>
      <w:r>
        <w:rPr>
          <w:rFonts w:ascii="Arial" w:cs="Arial" w:eastAsia="Arial" w:hAnsi="Arial"/>
          <w:sz w:val="18"/>
          <w:szCs w:val="18"/>
          <w:color w:val="auto"/>
        </w:rPr>
        <w:t>The following table summarizes, on an as adjusted basis as described above as of September 30, 2020, the differences between the number of shares of common stock purchased from us, the total consideration and the weighted-average price per share paid by existing stockholders and by investors participating in this offering at the public offering price of $26.55 per share, before deducting underwriting discounts and commissions and estimated offering expenses payable by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4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r>
      <w:tr>
        <w:trPr>
          <w:trHeight w:val="177"/>
        </w:trPr>
        <w:tc>
          <w:tcPr>
            <w:tcW w:w="4780" w:type="dxa"/>
            <w:vAlign w:val="bottom"/>
          </w:tcPr>
          <w:p>
            <w:pPr>
              <w:spacing w:after="0"/>
              <w:rPr>
                <w:sz w:val="15"/>
                <w:szCs w:val="15"/>
                <w:color w:val="auto"/>
              </w:rPr>
            </w:pPr>
          </w:p>
        </w:tc>
        <w:tc>
          <w:tcPr>
            <w:tcW w:w="278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Shares Purchased</w:t>
            </w:r>
          </w:p>
        </w:tc>
        <w:tc>
          <w:tcPr>
            <w:tcW w:w="2720" w:type="dxa"/>
            <w:vAlign w:val="bottom"/>
            <w:gridSpan w:val="5"/>
          </w:tcPr>
          <w:p>
            <w:pPr>
              <w:jc w:val="right"/>
              <w:ind w:right="810"/>
              <w:spacing w:after="0"/>
              <w:rPr>
                <w:sz w:val="20"/>
                <w:szCs w:val="20"/>
                <w:color w:val="auto"/>
              </w:rPr>
            </w:pPr>
            <w:r>
              <w:rPr>
                <w:rFonts w:ascii="Arial" w:cs="Arial" w:eastAsia="Arial" w:hAnsi="Arial"/>
                <w:sz w:val="14"/>
                <w:szCs w:val="14"/>
                <w:b w:val="1"/>
                <w:bCs w:val="1"/>
                <w:color w:val="auto"/>
              </w:rPr>
              <w:t>Total Consideration</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Price</w:t>
            </w:r>
          </w:p>
        </w:tc>
      </w:tr>
      <w:tr>
        <w:trPr>
          <w:trHeight w:val="169"/>
        </w:trPr>
        <w:tc>
          <w:tcPr>
            <w:tcW w:w="478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top w:val="single" w:sz="8" w:color="auto"/>
              <w:bottom w:val="single" w:sz="8" w:color="CFF0FC"/>
            </w:tcBorders>
            <w:gridSpan w:val="2"/>
          </w:tcPr>
          <w:p>
            <w:pPr>
              <w:spacing w:after="0"/>
              <w:rPr>
                <w:sz w:val="14"/>
                <w:szCs w:val="14"/>
                <w:color w:val="auto"/>
              </w:rPr>
            </w:pPr>
          </w:p>
        </w:tc>
        <w:tc>
          <w:tcPr>
            <w:tcW w:w="9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Percent</w:t>
            </w:r>
          </w:p>
        </w:tc>
        <w:tc>
          <w:tcPr>
            <w:tcW w:w="600" w:type="dxa"/>
            <w:vAlign w:val="bottom"/>
            <w:tcBorders>
              <w:bottom w:val="single" w:sz="8" w:color="CFF0FC"/>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bottom w:val="single" w:sz="8" w:color="CFF0FC"/>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Percent</w:t>
            </w: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FF0FC"/>
            </w:tcBorders>
          </w:tcPr>
          <w:p>
            <w:pPr>
              <w:spacing w:after="0"/>
              <w:rPr>
                <w:sz w:val="14"/>
                <w:szCs w:val="14"/>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Existing stockholders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31,087,395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88.6%</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$ 306,747,000</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New public investors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6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106,200,000</w:t>
            </w: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Borders>
              <w:bottom w:val="single" w:sz="8" w:color="CFF0FC"/>
            </w:tcBorders>
          </w:tcPr>
          <w:p>
            <w:pPr>
              <w:spacing w:after="0"/>
              <w:rPr>
                <w:sz w:val="18"/>
                <w:szCs w:val="18"/>
                <w:color w:val="auto"/>
              </w:rPr>
            </w:pPr>
          </w:p>
        </w:tc>
      </w:tr>
      <w:tr>
        <w:trPr>
          <w:trHeight w:val="21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35,087,395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100.0%</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$ 412,947,000</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3"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Each $1.00 increase or decrease in the assumed public offering price of $26.55 per share would increase or decrease, as applicable, total consideration paid by new investors by $4.0 million, assuming that the number of shares offered by us, as set forth on the cover page of this prospectus, remains the same, after deducting underwriting discounts and commissions and estimated offering expenses payable by us. We may also increase or decrease the number of shares we are offering. An increase or decrease of 1.0 million in the number of shares offered by us would increase or decrease, as applicable, total consideration paid by new investors by $26.6 million, assuming that the assumed public offering price remains the same, and after deducting underwriting discounts and commissions and estimated offering expenses payable by us.</w:t>
      </w:r>
    </w:p>
    <w:p>
      <w:pPr>
        <w:spacing w:after="0" w:line="179" w:lineRule="exact"/>
        <w:rPr>
          <w:sz w:val="20"/>
          <w:szCs w:val="20"/>
          <w:color w:val="auto"/>
        </w:rPr>
      </w:pPr>
    </w:p>
    <w:p>
      <w:pPr>
        <w:ind w:right="480" w:firstLine="576"/>
        <w:spacing w:after="0" w:line="276" w:lineRule="auto"/>
        <w:rPr>
          <w:sz w:val="20"/>
          <w:szCs w:val="20"/>
          <w:color w:val="auto"/>
        </w:rPr>
      </w:pPr>
      <w:r>
        <w:rPr>
          <w:rFonts w:ascii="Arial" w:cs="Arial" w:eastAsia="Arial" w:hAnsi="Arial"/>
          <w:sz w:val="18"/>
          <w:szCs w:val="18"/>
          <w:color w:val="auto"/>
        </w:rPr>
        <w:t>The foregoing tables and calculations (other than the historical net tangible book value calculation) are based on the 31,087,395 shares of common stock outstanding as of September 30, 2020, which excludes:</w:t>
      </w:r>
    </w:p>
    <w:p>
      <w:pPr>
        <w:spacing w:after="0" w:line="37" w:lineRule="exact"/>
        <w:rPr>
          <w:sz w:val="20"/>
          <w:szCs w:val="20"/>
          <w:color w:val="auto"/>
        </w:rPr>
      </w:pPr>
    </w:p>
    <w:p>
      <w:pPr>
        <w:ind w:left="1300" w:right="520" w:hanging="442"/>
        <w:spacing w:after="0" w:line="275" w:lineRule="auto"/>
        <w:tabs>
          <w:tab w:leader="none" w:pos="13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1,927,428 shares of common stock issuable upon the exercise of outstanding options as of September 30, 2020 with a weighted-average exercise price of $8.85 per share; and</w:t>
      </w:r>
    </w:p>
    <w:p>
      <w:pPr>
        <w:spacing w:after="0" w:line="37"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3,790,279 shares of common stock reserved for future issuance under our 2020 Equity Incentive Plan as of September 30, 2020, and any future automatic increase in shares reserved for issuance under such plan; and</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323,000 shares of common stock reserved for issuance under our 2020 Employee Stock Purchase Plan as of September 30, 2020, and any future automatic increase in shares reserved for issuance under such plan.</w:t>
      </w:r>
    </w:p>
    <w:p>
      <w:pPr>
        <w:spacing w:after="0" w:line="146"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To the extent that any outstanding options are exercised, new options or other equity awards are issued under our equity incentive plans, or we issue additional shares in the future, there will be further dilution to new investors participating in this offering.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tables set forth our selected financial data. The selected statements of operations data for the years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2019 and the selected balance sheet data as of December 31, 2018 and 2019 are derived from our audited financial</w:t>
      </w:r>
    </w:p>
    <w:p>
      <w:pPr>
        <w:spacing w:after="0" w:line="234" w:lineRule="auto"/>
        <w:rPr>
          <w:sz w:val="20"/>
          <w:szCs w:val="20"/>
          <w:color w:val="auto"/>
        </w:rPr>
      </w:pPr>
      <w:r>
        <w:rPr>
          <w:rFonts w:ascii="Arial" w:cs="Arial" w:eastAsia="Arial" w:hAnsi="Arial"/>
          <w:sz w:val="18"/>
          <w:szCs w:val="18"/>
          <w:color w:val="auto"/>
        </w:rPr>
        <w:t>statements included elsewhere in this prospectus. The selected statements of operations data for the nine months ended September 30,</w:t>
      </w:r>
    </w:p>
    <w:p>
      <w:pPr>
        <w:spacing w:after="0" w:line="235" w:lineRule="auto"/>
        <w:rPr>
          <w:sz w:val="20"/>
          <w:szCs w:val="20"/>
          <w:color w:val="auto"/>
        </w:rPr>
      </w:pPr>
      <w:r>
        <w:rPr>
          <w:rFonts w:ascii="Arial" w:cs="Arial" w:eastAsia="Arial" w:hAnsi="Arial"/>
          <w:sz w:val="18"/>
          <w:szCs w:val="18"/>
          <w:color w:val="auto"/>
        </w:rPr>
        <w:t>2019 and 2020 and the selected balance sheet data as of September 30, 2020 are derived from our unaudited interim condensed financial</w:t>
      </w:r>
    </w:p>
    <w:p>
      <w:pPr>
        <w:spacing w:after="0" w:line="235" w:lineRule="auto"/>
        <w:rPr>
          <w:sz w:val="20"/>
          <w:szCs w:val="20"/>
          <w:color w:val="auto"/>
        </w:rPr>
      </w:pPr>
      <w:r>
        <w:rPr>
          <w:rFonts w:ascii="Arial" w:cs="Arial" w:eastAsia="Arial" w:hAnsi="Arial"/>
          <w:sz w:val="18"/>
          <w:szCs w:val="18"/>
          <w:color w:val="auto"/>
        </w:rPr>
        <w:t>statements included elsewhere in this prospectus. Our unaudited interim condensed financial statements have been prepared on a basis</w:t>
      </w:r>
    </w:p>
    <w:p>
      <w:pPr>
        <w:spacing w:after="0" w:line="235" w:lineRule="auto"/>
        <w:rPr>
          <w:sz w:val="20"/>
          <w:szCs w:val="20"/>
          <w:color w:val="auto"/>
        </w:rPr>
      </w:pPr>
      <w:r>
        <w:rPr>
          <w:rFonts w:ascii="Arial" w:cs="Arial" w:eastAsia="Arial" w:hAnsi="Arial"/>
          <w:sz w:val="18"/>
          <w:szCs w:val="18"/>
          <w:color w:val="auto"/>
        </w:rPr>
        <w:t>similar to our audited financial statements and, in the opinion of management, reflect all adjustments, consisting solely of normal recurring</w:t>
      </w:r>
    </w:p>
    <w:p>
      <w:pPr>
        <w:spacing w:after="0" w:line="235" w:lineRule="auto"/>
        <w:rPr>
          <w:sz w:val="20"/>
          <w:szCs w:val="20"/>
          <w:color w:val="auto"/>
        </w:rPr>
      </w:pPr>
      <w:r>
        <w:rPr>
          <w:rFonts w:ascii="Arial" w:cs="Arial" w:eastAsia="Arial" w:hAnsi="Arial"/>
          <w:sz w:val="18"/>
          <w:szCs w:val="18"/>
          <w:color w:val="auto"/>
        </w:rPr>
        <w:t>adjustments, necessary for the fair presentation of the financial information in those statements. You should read this selected data together</w:t>
      </w:r>
    </w:p>
    <w:p>
      <w:pPr>
        <w:spacing w:after="0" w:line="234" w:lineRule="auto"/>
        <w:rPr>
          <w:sz w:val="20"/>
          <w:szCs w:val="20"/>
          <w:color w:val="auto"/>
        </w:rPr>
      </w:pPr>
      <w:r>
        <w:rPr>
          <w:rFonts w:ascii="Arial" w:cs="Arial" w:eastAsia="Arial" w:hAnsi="Arial"/>
          <w:sz w:val="18"/>
          <w:szCs w:val="18"/>
          <w:color w:val="auto"/>
        </w:rPr>
        <w:t>with our financial statements and related notes appearing elsewhere in this prospectus and the information in the section of this prospectus</w:t>
      </w:r>
    </w:p>
    <w:p>
      <w:pPr>
        <w:spacing w:after="0" w:line="235" w:lineRule="auto"/>
        <w:rPr>
          <w:sz w:val="20"/>
          <w:szCs w:val="20"/>
          <w:color w:val="auto"/>
        </w:rPr>
      </w:pPr>
      <w:r>
        <w:rPr>
          <w:rFonts w:ascii="Arial" w:cs="Arial" w:eastAsia="Arial" w:hAnsi="Arial"/>
          <w:sz w:val="18"/>
          <w:szCs w:val="18"/>
          <w:color w:val="auto"/>
        </w:rPr>
        <w:t>titled “Management’s Discussion and Analysis of Financial Condition and Results of Operations.” Our historical results are not necessarily</w:t>
      </w:r>
    </w:p>
    <w:p>
      <w:pPr>
        <w:spacing w:after="0" w:line="235" w:lineRule="auto"/>
        <w:rPr>
          <w:sz w:val="20"/>
          <w:szCs w:val="20"/>
          <w:color w:val="auto"/>
        </w:rPr>
      </w:pPr>
      <w:r>
        <w:rPr>
          <w:rFonts w:ascii="Arial" w:cs="Arial" w:eastAsia="Arial" w:hAnsi="Arial"/>
          <w:sz w:val="18"/>
          <w:szCs w:val="18"/>
          <w:color w:val="auto"/>
        </w:rPr>
        <w:t>indicative of our future results, and the results of operations for the nine months ended September 30, 2020 are not necessarily indicative of</w:t>
      </w:r>
    </w:p>
    <w:p>
      <w:pPr>
        <w:spacing w:after="0" w:line="235" w:lineRule="auto"/>
        <w:rPr>
          <w:sz w:val="20"/>
          <w:szCs w:val="20"/>
          <w:color w:val="auto"/>
        </w:rPr>
      </w:pPr>
      <w:r>
        <w:rPr>
          <w:rFonts w:ascii="Arial" w:cs="Arial" w:eastAsia="Arial" w:hAnsi="Arial"/>
          <w:sz w:val="18"/>
          <w:szCs w:val="18"/>
          <w:color w:val="auto"/>
        </w:rPr>
        <w:t>the results to be expected for the full year ending December 31, 2020 or any other period. The selected financial data in this section are not</w:t>
      </w:r>
    </w:p>
    <w:p>
      <w:pPr>
        <w:spacing w:after="0"/>
        <w:rPr>
          <w:sz w:val="20"/>
          <w:szCs w:val="20"/>
          <w:color w:val="auto"/>
        </w:rPr>
      </w:pPr>
      <w:r>
        <w:rPr>
          <w:rFonts w:ascii="Arial" w:cs="Arial" w:eastAsia="Arial" w:hAnsi="Arial"/>
          <w:sz w:val="18"/>
          <w:szCs w:val="18"/>
          <w:color w:val="auto"/>
        </w:rPr>
        <w:t>intended to replace our financial statements and the related notes included elsewhere in this prospectus.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24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tcPr>
          <w:p>
            <w:pPr>
              <w:jc w:val="center"/>
              <w:ind w:left="515"/>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60" w:type="dxa"/>
            <w:vAlign w:val="bottom"/>
            <w:gridSpan w:val="11"/>
          </w:tcPr>
          <w:p>
            <w:pPr>
              <w:jc w:val="right"/>
              <w:ind w:right="90"/>
              <w:spacing w:after="0"/>
              <w:rPr>
                <w:sz w:val="20"/>
                <w:szCs w:val="20"/>
                <w:color w:val="auto"/>
              </w:rPr>
            </w:pPr>
            <w:r>
              <w:rPr>
                <w:rFonts w:ascii="Arial" w:cs="Arial" w:eastAsia="Arial" w:hAnsi="Arial"/>
                <w:sz w:val="14"/>
                <w:szCs w:val="14"/>
                <w:b w:val="1"/>
                <w:bCs w:val="1"/>
                <w:color w:val="auto"/>
              </w:rPr>
              <w:t>(in thousands, except share and per share data)</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5820" w:type="dxa"/>
            <w:vAlign w:val="bottom"/>
            <w:shd w:val="clear" w:color="auto" w:fill="CFF0FC"/>
          </w:tcPr>
          <w:p>
            <w:pPr>
              <w:spacing w:after="0" w:line="174" w:lineRule="exact"/>
              <w:rPr>
                <w:sz w:val="20"/>
                <w:szCs w:val="20"/>
                <w:color w:val="auto"/>
              </w:rPr>
            </w:pPr>
            <w:r>
              <w:rPr>
                <w:rFonts w:ascii="Arial" w:cs="Arial" w:eastAsia="Arial" w:hAnsi="Arial"/>
                <w:sz w:val="18"/>
                <w:szCs w:val="18"/>
                <w:color w:val="auto"/>
              </w:rPr>
              <w:t>Unrealized gain on available-for-sale</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line="187" w:lineRule="exact"/>
              <w:rPr>
                <w:sz w:val="20"/>
                <w:szCs w:val="20"/>
                <w:color w:val="auto"/>
              </w:rPr>
            </w:pPr>
            <w:r>
              <w:rPr>
                <w:rFonts w:ascii="Arial" w:cs="Arial" w:eastAsia="Arial" w:hAnsi="Arial"/>
                <w:sz w:val="18"/>
                <w:szCs w:val="18"/>
                <w:color w:val="auto"/>
              </w:rPr>
              <w:t>Comprehensive loss attributable to common</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82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(5,097)</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(5,161)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(4,187)</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173"/>
        </w:trPr>
        <w:tc>
          <w:tcPr>
            <w:tcW w:w="5820" w:type="dxa"/>
            <w:vAlign w:val="bottom"/>
            <w:tcBorders>
              <w:top w:val="single" w:sz="8" w:color="CFF0FC"/>
            </w:tcBorders>
            <w:shd w:val="clear" w:color="auto" w:fill="CFF0FC"/>
          </w:tcPr>
          <w:p>
            <w:pPr>
              <w:spacing w:after="0" w:line="173" w:lineRule="exact"/>
              <w:rPr>
                <w:sz w:val="20"/>
                <w:szCs w:val="20"/>
                <w:color w:val="auto"/>
              </w:rPr>
            </w:pPr>
            <w:r>
              <w:rPr>
                <w:rFonts w:ascii="Arial" w:cs="Arial" w:eastAsia="Arial" w:hAnsi="Arial"/>
                <w:sz w:val="18"/>
                <w:szCs w:val="18"/>
                <w:color w:val="auto"/>
              </w:rPr>
              <w:t>Net loss per share attributable to common</w:t>
            </w:r>
          </w:p>
        </w:tc>
        <w:tc>
          <w:tcPr>
            <w:tcW w:w="2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(1.47)</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(1.18)</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outstanding used in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computing net loss per share attributable to</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20" w:type="dxa"/>
            <w:vAlign w:val="bottom"/>
          </w:tcPr>
          <w:p>
            <w:pPr>
              <w:ind w:left="160"/>
              <w:spacing w:after="0"/>
              <w:rPr>
                <w:sz w:val="20"/>
                <w:szCs w:val="20"/>
                <w:color w:val="auto"/>
              </w:rPr>
            </w:pPr>
            <w:r>
              <w:rPr>
                <w:rFonts w:ascii="Arial" w:cs="Arial" w:eastAsia="Arial" w:hAnsi="Arial"/>
                <w:sz w:val="18"/>
                <w:szCs w:val="18"/>
                <w:color w:val="auto"/>
              </w:rPr>
              <w:t>common stockholders, basic and diluted</w:t>
            </w:r>
            <w:r>
              <w:rPr>
                <w:rFonts w:ascii="Arial" w:cs="Arial" w:eastAsia="Arial" w:hAnsi="Arial"/>
                <w:sz w:val="15"/>
                <w:szCs w:val="15"/>
                <w:color w:val="auto"/>
              </w:rPr>
              <w:t>(1)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3,469,153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3,566,849</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3,551,586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6" w:lineRule="exact"/>
        <w:rPr>
          <w:sz w:val="20"/>
          <w:szCs w:val="20"/>
          <w:color w:val="auto"/>
        </w:rPr>
      </w:pPr>
    </w:p>
    <w:p>
      <w:pPr>
        <w:ind w:left="480" w:right="60" w:hanging="472"/>
        <w:spacing w:after="0" w:line="208" w:lineRule="auto"/>
        <w:tabs>
          <w:tab w:leader="none" w:pos="48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See Note 15 to our audited financial statements and Note 12 to our unaudited interim condensed financial statements included elsewhere in this prospectus tor the calculation of our basic and diluted net loss per share attributable to common stockholders and the weighted-average number of shares used in computing the per share amounts.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7"/>
        </w:trPr>
        <w:tc>
          <w:tcPr>
            <w:tcW w:w="6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64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1400" w:type="dxa"/>
            <w:vAlign w:val="bottom"/>
          </w:tcPr>
          <w:p>
            <w:pPr>
              <w:jc w:val="center"/>
              <w:ind w:right="137"/>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4,817</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2,056</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259,928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267,939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(deficit) equity</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(14,887)</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(19,723)</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480" w:right="200" w:hanging="472"/>
        <w:spacing w:after="0" w:line="195" w:lineRule="auto"/>
        <w:tabs>
          <w:tab w:leader="none" w:pos="48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right="100" w:firstLine="569"/>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of this prospectus titled “Selected Financial Data” and our financial statements and related notes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“Special Note Regarding Forward-Looking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hepatocyte growth factor/MET, or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 -to-moderate AD with topline results expected by the end of 2022. In November 2020, we also initiated ACT-AD, a P300 Phase 2 clinical trial, in mild-to-moderate AD to better understand the overall effects of ATH-1017 on working memory processing speed and cognitive measures, with topline results expected by early 2022.</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sectPr>
      </w:pPr>
    </w:p>
    <w:bookmarkStart w:id="90" w:name="page91"/>
    <w:bookmarkEnd w:id="90"/>
    <w:p>
      <w:pPr>
        <w:ind w:right="80" w:firstLine="569"/>
        <w:spacing w:after="0" w:line="248" w:lineRule="auto"/>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259715</wp:posOffset>
            </wp:positionV>
            <wp:extent cx="5297805" cy="32918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9780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hanging="432"/>
        <w:spacing w:after="0"/>
        <w:tabs>
          <w:tab w:leader="none" w:pos="4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109" w:lineRule="exact"/>
        <w:rPr>
          <w:rFonts w:ascii="Arial" w:cs="Arial" w:eastAsia="Arial" w:hAnsi="Arial"/>
          <w:sz w:val="14"/>
          <w:szCs w:val="14"/>
          <w:color w:val="auto"/>
        </w:rPr>
      </w:pPr>
    </w:p>
    <w:p>
      <w:pPr>
        <w:ind w:left="440" w:hanging="432"/>
        <w:spacing w:after="0"/>
        <w:tabs>
          <w:tab w:leader="none" w:pos="4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ATH-1017 for AD is moving from Phase 1b to a Phase 2/3 clinical trial that may provide pivotal data in support of registration based on discussions with FDA.</w:t>
      </w:r>
    </w:p>
    <w:p>
      <w:pPr>
        <w:spacing w:after="0" w:line="109" w:lineRule="exact"/>
        <w:rPr>
          <w:rFonts w:ascii="Arial" w:cs="Arial" w:eastAsia="Arial" w:hAnsi="Arial"/>
          <w:sz w:val="14"/>
          <w:szCs w:val="14"/>
          <w:color w:val="auto"/>
        </w:rPr>
      </w:pPr>
    </w:p>
    <w:p>
      <w:pPr>
        <w:jc w:val="both"/>
        <w:ind w:left="440" w:right="120" w:hanging="432"/>
        <w:spacing w:after="0" w:line="266" w:lineRule="auto"/>
        <w:tabs>
          <w:tab w:leader="none" w:pos="4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157" w:lineRule="exact"/>
        <w:rPr>
          <w:sz w:val="20"/>
          <w:szCs w:val="20"/>
          <w:color w:val="auto"/>
        </w:rPr>
      </w:pPr>
    </w:p>
    <w:p>
      <w:pPr>
        <w:ind w:right="860" w:firstLine="569"/>
        <w:spacing w:after="0" w:line="276"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45" w:lineRule="exact"/>
        <w:rPr>
          <w:sz w:val="20"/>
          <w:szCs w:val="20"/>
          <w:color w:val="auto"/>
        </w:rPr>
      </w:pPr>
    </w:p>
    <w:p>
      <w:pPr>
        <w:ind w:firstLine="569"/>
        <w:spacing w:after="0" w:line="243"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p>
    <w:p>
      <w:pPr>
        <w:spacing w:after="0" w:line="174" w:lineRule="exact"/>
        <w:rPr>
          <w:sz w:val="20"/>
          <w:szCs w:val="20"/>
          <w:color w:val="auto"/>
        </w:rPr>
      </w:pPr>
    </w:p>
    <w:p>
      <w:pPr>
        <w:ind w:right="140" w:firstLine="569"/>
        <w:spacing w:after="0" w:line="255"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manufacturing, storing, or distributing our product candidates. We utilize third-party contract manufacturing organizations, or CMOs, to manufacture and supply our preclinical and clinical materials during the development of our product candidates. We believe the synthesis of ATH-1017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180" w:lineRule="exact"/>
        <w:rPr>
          <w:sz w:val="20"/>
          <w:szCs w:val="20"/>
          <w:color w:val="auto"/>
        </w:rPr>
      </w:pPr>
    </w:p>
    <w:p>
      <w:pPr>
        <w:ind w:right="20" w:firstLine="569"/>
        <w:spacing w:after="0" w:line="248"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170" w:lineRule="exact"/>
        <w:rPr>
          <w:sz w:val="20"/>
          <w:szCs w:val="20"/>
          <w:color w:val="auto"/>
        </w:rPr>
      </w:pPr>
    </w:p>
    <w:p>
      <w:pPr>
        <w:ind w:right="40" w:firstLine="569"/>
        <w:spacing w:after="0" w:line="241" w:lineRule="auto"/>
        <w:rPr>
          <w:sz w:val="20"/>
          <w:szCs w:val="20"/>
          <w:color w:val="auto"/>
        </w:rPr>
      </w:pPr>
      <w:r>
        <w:rPr>
          <w:rFonts w:ascii="Arial" w:cs="Arial" w:eastAsia="Arial" w:hAnsi="Arial"/>
          <w:sz w:val="18"/>
          <w:szCs w:val="18"/>
          <w:color w:val="auto"/>
        </w:rPr>
        <w:t>To date, we have funded our operations primarily with proceeds from the sale and issuance of convertible preferred stock, common stock warrants, and convertible notes, and to a lesser extent from grant income and stock option exercises. From inception to September 30, 2020, we have raised aggregate net cash proceeds of approximately $288.5 million primarily from the issuance of our common stock, convertible preferred stock, common stock warrants, and convertible notes. We have incurred significant operating losses to date. Our net losses were $ 8.5 million and $1.5 million for the three months ended September 30, 2020 and 2019, respectively, and $12.3 million and $ 4.2 million for the nine months ended September 30, 2020 and 2019, respectively. As of September 30, 2020, we had an accumulated deficit of $33.3 million and cash, cash equivalents and investments of $259.9 million.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04" w:lineRule="exact"/>
        <w:rPr>
          <w:sz w:val="20"/>
          <w:szCs w:val="20"/>
          <w:color w:val="auto"/>
        </w:rPr>
      </w:pPr>
    </w:p>
    <w:p>
      <w:pPr>
        <w:ind w:left="1300" w:right="160" w:hanging="442"/>
        <w:spacing w:after="0" w:line="275" w:lineRule="auto"/>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ATH-1017 and our other product candidates through preclinical studies and clinical trials, including our Phase 2/3 clinical trial for ATH-1017 for the treatment of mild-to-moderate AD;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pipeline of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grow our discovery organization and invest in the ATH platform;</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ramp up manufacturing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obtain, maintain, expand and protect our intellectual property portfolio;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relocate to our new facility and build out lab space;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operational, financial and management information systems;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for any product candidates that successfully complete clinical trials; and</w:t>
      </w:r>
    </w:p>
    <w:p>
      <w:pPr>
        <w:spacing w:after="0" w:line="116"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w:t>
      </w:r>
    </w:p>
    <w:p>
      <w:pPr>
        <w:spacing w:after="0" w:line="146" w:lineRule="exact"/>
        <w:rPr>
          <w:sz w:val="20"/>
          <w:szCs w:val="20"/>
          <w:color w:val="auto"/>
        </w:rPr>
      </w:pPr>
    </w:p>
    <w:p>
      <w:pPr>
        <w:ind w:right="260" w:firstLine="569"/>
        <w:spacing w:after="0" w:line="276"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45" w:lineRule="exact"/>
        <w:rPr>
          <w:sz w:val="20"/>
          <w:szCs w:val="20"/>
          <w:color w:val="auto"/>
        </w:rPr>
      </w:pPr>
    </w:p>
    <w:p>
      <w:pPr>
        <w:ind w:right="180" w:firstLine="569"/>
        <w:spacing w:after="0" w:line="255"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2" w:name="page93"/>
    <w:bookmarkEnd w:id="92"/>
    <w:p>
      <w:pPr>
        <w:spacing w:after="0" w:line="239" w:lineRule="auto"/>
        <w:rPr>
          <w:sz w:val="20"/>
          <w:szCs w:val="20"/>
          <w:color w:val="auto"/>
        </w:rPr>
      </w:pPr>
      <w:r>
        <w:rPr>
          <w:rFonts w:ascii="Arial" w:cs="Arial" w:eastAsia="Arial" w:hAnsi="Arial"/>
          <w:sz w:val="18"/>
          <w:szCs w:val="18"/>
          <w:color w:val="auto"/>
        </w:rPr>
        <w:t>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including the net proceeds from this offering, will be sufficient to fund our operating expenses and capital expenditure requirements at least through 2022.</w:t>
      </w:r>
    </w:p>
    <w:p>
      <w:pPr>
        <w:spacing w:after="0" w:line="176" w:lineRule="exact"/>
        <w:rPr>
          <w:sz w:val="20"/>
          <w:szCs w:val="20"/>
          <w:color w:val="auto"/>
        </w:rPr>
      </w:pPr>
    </w:p>
    <w:p>
      <w:pPr>
        <w:ind w:right="80" w:firstLine="569"/>
        <w:spacing w:after="0" w:line="239" w:lineRule="auto"/>
        <w:rPr>
          <w:sz w:val="20"/>
          <w:szCs w:val="20"/>
          <w:color w:val="auto"/>
        </w:rPr>
      </w:pPr>
      <w:r>
        <w:rPr>
          <w:rFonts w:ascii="Arial" w:cs="Arial" w:eastAsia="Arial" w:hAnsi="Arial"/>
          <w:sz w:val="18"/>
          <w:szCs w:val="18"/>
          <w:color w:val="auto"/>
        </w:rPr>
        <w:t>The global COVID-19 pandemic continues to rapidly evolve, and we will continue to monitor the COVID-19 situation closely. The extent of the impact of the COVID-19 on our business, operations and clinical development timelines and plans remains uncertain, and will depend on certain developments, including the duration and spread of the outbreak and its impact on our clinical trial enrollment, trial sites,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most of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business, operations and clinical development timelines and plans, including the resulting impact on our expenditures and capital needs, remains uncertain.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6" w:lineRule="exact"/>
        <w:rPr>
          <w:sz w:val="20"/>
          <w:szCs w:val="20"/>
          <w:color w:val="auto"/>
        </w:rPr>
      </w:pPr>
    </w:p>
    <w:p>
      <w:pPr>
        <w:ind w:right="420" w:firstLine="576"/>
        <w:spacing w:after="0" w:line="274"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14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The term of the license begins on the effective date and continues until the earlier of the date in which no valid claim remains enforceable and the payment of royalties ceases for more than four consecutive quarters after such royalty payments begin.</w:t>
      </w:r>
    </w:p>
    <w:p>
      <w:pPr>
        <w:spacing w:after="0" w:line="179" w:lineRule="exact"/>
        <w:rPr>
          <w:sz w:val="20"/>
          <w:szCs w:val="20"/>
          <w:color w:val="auto"/>
        </w:rPr>
      </w:pPr>
    </w:p>
    <w:p>
      <w:pPr>
        <w:ind w:right="300" w:firstLine="576"/>
        <w:spacing w:after="0" w:line="276" w:lineRule="auto"/>
        <w:rPr>
          <w:sz w:val="20"/>
          <w:szCs w:val="20"/>
          <w:color w:val="auto"/>
        </w:rPr>
      </w:pPr>
      <w:r>
        <w:rPr>
          <w:rFonts w:ascii="Arial" w:cs="Arial" w:eastAsia="Arial" w:hAnsi="Arial"/>
          <w:sz w:val="18"/>
          <w:szCs w:val="18"/>
          <w:color w:val="auto"/>
        </w:rPr>
        <w:t>The initiation of our first Phase 2 clinical trial in September 2020 triggered a $50,000 liability to WSU, which was repaid in full as of December 31, 2020.</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800" w:hanging="225"/>
        <w:spacing w:after="0"/>
        <w:tabs>
          <w:tab w:leader="none" w:pos="8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3" w:name="page94"/>
    <w:bookmarkEnd w:id="93"/>
    <w:p>
      <w:pPr>
        <w:ind w:right="200" w:firstLine="576"/>
        <w:spacing w:after="0" w:line="255" w:lineRule="auto"/>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 based sublicense royalties.</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Grant Liability</w:t>
      </w:r>
    </w:p>
    <w:p>
      <w:pPr>
        <w:spacing w:after="0" w:line="10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The consummation of our initial public offering in September 2020 was a triggering event under the terms of the grant and the liability was remeasured to the pay-off amount of $1.5 million as of September 30, 2020 and repaid in full as of December 31, 2020.</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National Institutes of Health Grant</w:t>
      </w:r>
    </w:p>
    <w:p>
      <w:pPr>
        <w:spacing w:after="0" w:line="102"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In December 2020, we determined that we would accept a grant from the National Institutes of Health, or NIH, to support our ACT-AD Phase 2 clinical trial for ATH-1017. Under the terms of the agreement, we may receive approximately $7.8 million with the potential for an additional $7.4 million up to an aggregate of $15.2 million. For additional information regarding this grant, see the section of this prospectus titled “Business—Our Collaboration and Grant Agreements.”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ind w:firstLine="569"/>
        <w:spacing w:after="0" w:line="241"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179"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17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As of the date of this prospectus,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4" w:name="page95"/>
    <w:bookmarkEnd w:id="94"/>
    <w:p>
      <w:pPr>
        <w:ind w:right="420"/>
        <w:spacing w:after="0" w:line="276" w:lineRule="auto"/>
        <w:rPr>
          <w:sz w:val="20"/>
          <w:szCs w:val="20"/>
          <w:color w:val="auto"/>
        </w:rPr>
      </w:pPr>
      <w:r>
        <w:rPr>
          <w:rFonts w:ascii="Arial" w:cs="Arial" w:eastAsia="Arial" w:hAnsi="Arial"/>
          <w:sz w:val="18"/>
          <w:szCs w:val="18"/>
          <w:color w:val="auto"/>
        </w:rPr>
        <w:t>particular, we expect our research and development expenses will increase substantially as we initiate and conduct current and planned Phase 2 and Phase 2/3 clinical trials for ATH-1017.</w:t>
      </w:r>
    </w:p>
    <w:p>
      <w:pPr>
        <w:spacing w:after="0" w:line="145"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56" w:lineRule="exact"/>
        <w:rPr>
          <w:sz w:val="20"/>
          <w:szCs w:val="20"/>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scope of preclinical and IND-enabling studies;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phases of development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and results of our research and development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per subject trial costs;</w:t>
      </w:r>
    </w:p>
    <w:p>
      <w:pPr>
        <w:spacing w:after="0" w:line="116"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sites included in the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countries in which the trials are conducted;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subjects that participate in the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drop-out and discontinuation rate of subjects;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additional safety monitoring requested by regulatory agencies;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of subject participation in the trials and follow-up;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manufacturing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of regulatory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and retention of research and development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degree to which we obtain, maintain, defend and enforce our intellectual property rights;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 on timelines and clinical operations, which may lead to increased costs; and</w:t>
      </w:r>
    </w:p>
    <w:p>
      <w:pPr>
        <w:spacing w:after="0" w:line="116" w:lineRule="exact"/>
        <w:rPr>
          <w:rFonts w:ascii="Times New Roman" w:cs="Times New Roman" w:eastAsia="Times New Roman" w:hAnsi="Times New Roman"/>
          <w:sz w:val="18"/>
          <w:szCs w:val="18"/>
          <w:color w:val="auto"/>
        </w:rPr>
      </w:pPr>
    </w:p>
    <w:p>
      <w:pPr>
        <w:ind w:left="1300" w:right="320" w:hanging="442"/>
        <w:spacing w:after="0" w:line="275" w:lineRule="auto"/>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186" w:lineRule="exact"/>
        <w:rPr>
          <w:sz w:val="20"/>
          <w:szCs w:val="20"/>
          <w:color w:val="auto"/>
        </w:rPr>
      </w:pPr>
    </w:p>
    <w:p>
      <w:pPr>
        <w:ind w:right="960" w:firstLine="576"/>
        <w:spacing w:after="0" w:line="276"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9" w:lineRule="exact"/>
        <w:rPr>
          <w:sz w:val="20"/>
          <w:szCs w:val="20"/>
          <w:color w:val="auto"/>
        </w:rPr>
      </w:pPr>
    </w:p>
    <w:p>
      <w:pPr>
        <w:ind w:firstLine="569"/>
        <w:spacing w:after="0" w:line="245"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We expense general and administrative costs as incurred.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5" w:name="page96"/>
    <w:bookmarkEnd w:id="95"/>
    <w:p>
      <w:pPr>
        <w:ind w:right="120" w:firstLine="576"/>
        <w:spacing w:after="0" w:line="243" w:lineRule="auto"/>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increase our headcount to support our continued research activities and development of our programs.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also expect to increase the size of our administrative function to support the growth of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Other income (expense), net consists of interest earned on our cash, cash equivalents, and investments, grant income, periodic mark to market gains and losses on the derivative, grant, and convertible preferred stock warrant liabilities carried at fair value, and interest expense on our convertible notes.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2020</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7"/>
        </w:trPr>
        <w:tc>
          <w:tcPr>
            <w:tcW w:w="4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r>
      <w:tr>
        <w:trPr>
          <w:trHeight w:val="169"/>
        </w:trPr>
        <w:tc>
          <w:tcPr>
            <w:tcW w:w="4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1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9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3,135</w:t>
            </w:r>
          </w:p>
        </w:tc>
        <w:tc>
          <w:tcPr>
            <w:tcW w:w="160" w:type="dxa"/>
            <w:vAlign w:val="bottom"/>
          </w:tcPr>
          <w:p>
            <w:pPr>
              <w:spacing w:after="0"/>
              <w:rPr>
                <w:sz w:val="18"/>
                <w:szCs w:val="18"/>
                <w:color w:val="auto"/>
              </w:rPr>
            </w:pPr>
          </w:p>
        </w:tc>
        <w:tc>
          <w:tcPr>
            <w:tcW w:w="4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8,099</w:t>
            </w:r>
          </w:p>
        </w:tc>
        <w:tc>
          <w:tcPr>
            <w:tcW w:w="14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4,964</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FF0FC"/>
          </w:tcPr>
          <w:p>
            <w:pPr>
              <w:spacing w:after="0"/>
              <w:rPr>
                <w:sz w:val="18"/>
                <w:szCs w:val="18"/>
                <w:color w:val="auto"/>
              </w:rPr>
            </w:pPr>
          </w:p>
        </w:tc>
      </w:tr>
      <w:tr>
        <w:trPr>
          <w:trHeight w:val="209"/>
        </w:trPr>
        <w:tc>
          <w:tcPr>
            <w:tcW w:w="4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6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24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bottom w:val="single" w:sz="8" w:color="CFF0FC"/>
            </w:tcBorders>
          </w:tcPr>
          <w:p>
            <w:pPr>
              <w:spacing w:after="0"/>
              <w:rPr>
                <w:sz w:val="18"/>
                <w:szCs w:val="18"/>
                <w:color w:val="auto"/>
              </w:rPr>
            </w:pPr>
          </w:p>
        </w:tc>
      </w:tr>
      <w:tr>
        <w:trPr>
          <w:trHeight w:val="20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(6,584)</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(1,482)</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09"/>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74" w:lineRule="exact"/>
        <w:rPr>
          <w:sz w:val="20"/>
          <w:szCs w:val="20"/>
          <w:color w:val="auto"/>
        </w:rPr>
      </w:pPr>
    </w:p>
    <w:p>
      <w:pPr>
        <w:ind w:left="480" w:hanging="472"/>
        <w:spacing w:after="0"/>
        <w:tabs>
          <w:tab w:leader="none" w:pos="480" w:val="left"/>
        </w:tabs>
        <w:numPr>
          <w:ilvl w:val="0"/>
          <w:numId w:val="66"/>
        </w:numPr>
        <w:rPr>
          <w:rFonts w:ascii="Arial" w:cs="Arial" w:eastAsia="Arial" w:hAnsi="Arial"/>
          <w:sz w:val="24"/>
          <w:szCs w:val="24"/>
          <w:color w:val="auto"/>
          <w:vertAlign w:val="superscript"/>
        </w:rPr>
      </w:pPr>
      <w:r>
        <w:rPr>
          <w:rFonts w:ascii="Arial" w:cs="Arial" w:eastAsia="Arial" w:hAnsi="Arial"/>
          <w:sz w:val="14"/>
          <w:szCs w:val="14"/>
          <w:color w:val="auto"/>
        </w:rPr>
        <w:t>Not meaningful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4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Dollar</w:t>
            </w:r>
          </w:p>
        </w:tc>
        <w:tc>
          <w:tcPr>
            <w:tcW w:w="138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15"/>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r>
      <w:tr>
        <w:trPr>
          <w:trHeight w:val="169"/>
        </w:trPr>
        <w:tc>
          <w:tcPr>
            <w:tcW w:w="4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tcPr>
          <w:p>
            <w:pPr>
              <w:ind w:left="500"/>
              <w:spacing w:after="0"/>
              <w:rPr>
                <w:sz w:val="20"/>
                <w:szCs w:val="20"/>
                <w:color w:val="auto"/>
              </w:rPr>
            </w:pPr>
            <w:r>
              <w:rPr>
                <w:rFonts w:ascii="Arial" w:cs="Arial" w:eastAsia="Arial" w:hAnsi="Arial"/>
                <w:sz w:val="18"/>
                <w:szCs w:val="18"/>
                <w:color w:val="auto"/>
              </w:rPr>
              <w:t>ATH-1017</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2,290</w:t>
            </w:r>
          </w:p>
        </w:tc>
        <w:tc>
          <w:tcPr>
            <w:tcW w:w="64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6,834</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4,544</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r>
      <w:tr>
        <w:trPr>
          <w:trHeight w:val="216"/>
        </w:trPr>
        <w:tc>
          <w:tcPr>
            <w:tcW w:w="4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Preclinical programs</w:t>
            </w:r>
          </w:p>
        </w:tc>
        <w:tc>
          <w:tcPr>
            <w:tcW w:w="13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13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24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w:t>
            </w:r>
          </w:p>
        </w:tc>
        <w:tc>
          <w:tcPr>
            <w:tcW w:w="13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93"/>
        </w:trPr>
        <w:tc>
          <w:tcPr>
            <w:tcW w:w="4420" w:type="dxa"/>
            <w:vAlign w:val="bottom"/>
          </w:tcPr>
          <w:p>
            <w:pPr>
              <w:ind w:left="500"/>
              <w:spacing w:after="0" w:line="193" w:lineRule="exact"/>
              <w:rPr>
                <w:sz w:val="20"/>
                <w:szCs w:val="20"/>
                <w:color w:val="auto"/>
              </w:rPr>
            </w:pPr>
            <w:r>
              <w:rPr>
                <w:rFonts w:ascii="Arial" w:cs="Arial" w:eastAsia="Arial" w:hAnsi="Arial"/>
                <w:sz w:val="18"/>
                <w:szCs w:val="18"/>
                <w:color w:val="auto"/>
              </w:rPr>
              <w:t>Personnel-related costs, including</w:t>
            </w: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442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Facilities and other costs</w:t>
            </w:r>
          </w:p>
        </w:tc>
        <w:tc>
          <w:tcPr>
            <w:tcW w:w="13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3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8,099</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2"/>
        </w:trPr>
        <w:tc>
          <w:tcPr>
            <w:tcW w:w="4420" w:type="dxa"/>
            <w:vAlign w:val="bottom"/>
          </w:tcPr>
          <w:p>
            <w:pPr>
              <w:spacing w:after="0"/>
              <w:rPr>
                <w:sz w:val="24"/>
                <w:szCs w:val="24"/>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-93-</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4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16" w:right="319" w:bottom="1440" w:gutter="0" w:footer="0" w:header="0"/>
        </w:sectPr>
      </w:pPr>
    </w:p>
    <w:bookmarkStart w:id="96" w:name="page97"/>
    <w:bookmarkEnd w:id="96"/>
    <w:p>
      <w:pPr>
        <w:ind w:right="40" w:firstLine="576"/>
        <w:spacing w:after="0" w:line="248" w:lineRule="auto"/>
        <w:rPr>
          <w:sz w:val="20"/>
          <w:szCs w:val="20"/>
          <w:color w:val="auto"/>
        </w:rPr>
      </w:pPr>
      <w:r>
        <w:rPr>
          <w:rFonts w:ascii="Arial" w:cs="Arial" w:eastAsia="Arial" w:hAnsi="Arial"/>
          <w:sz w:val="18"/>
          <w:szCs w:val="18"/>
          <w:color w:val="auto"/>
        </w:rPr>
        <w:t>Research and development expenses increased by $ 5.0 million, from $3.1 million for the nine months ended September 30, 2019 to $8.1 million for the nine months ended September 30, 2020. The increase was driven primarily by an increase in expenses for ATH-1017 of $4.5 million related to start-up activities by our clinical research organization and clinical drug supply manufacturers for Phase 2 clinical trials, and to a lesser extent, by increases in personnel-related costs and facilities and other costs supporting our general growth.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General and administrative expenses increased by $1.6 million, from $1.2 million for the nine months ended September 30, 2019 to $2.8 million for the nine months ended September 30, 2020. The increase was primarily due to an increase in corporate legal, accounting, technical and consulting services of $1.1 million, an increase in personnel-related costs of $0.3 million to support our continued growth, and to a lesser extent, by increases in insurance and marketing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 xml:space="preserve">Other income (expense), net, changed from income of $0.1 million for the nine months ended September 30, 2019 to expense of $1.3 million for the nine months ended September 30, 2020. The change was primarily due to a decrease in grant income due to a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of $0.5 million received in 2019 with no corresponding grant received in 2020, an increase of $0.1 million in interest expense and accretion of discounts related to the convertible notes, and an increase of $1.1 million from increases in liabilities recorded at fair value. This was offset by a gain of $ 0.2 million on the extinguishment of convertible notes in connection with our Series B convertible preferred stock financing in the second quarter of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r>
      <w:tr>
        <w:trPr>
          <w:trHeight w:val="169"/>
        </w:trPr>
        <w:tc>
          <w:tcPr>
            <w:tcW w:w="57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7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c>
          <w:tcPr>
            <w:tcW w:w="160" w:type="dxa"/>
            <w:vAlign w:val="bottom"/>
          </w:tcPr>
          <w:p>
            <w:pPr>
              <w:spacing w:after="0"/>
              <w:rPr>
                <w:sz w:val="18"/>
                <w:szCs w:val="18"/>
                <w:color w:val="auto"/>
              </w:rPr>
            </w:pPr>
          </w:p>
        </w:tc>
        <w:tc>
          <w:tcPr>
            <w:tcW w:w="34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3,793</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8"/>
                <w:szCs w:val="18"/>
                <w:color w:val="auto"/>
              </w:rPr>
            </w:pPr>
          </w:p>
        </w:tc>
      </w:tr>
      <w:tr>
        <w:trPr>
          <w:trHeight w:val="210"/>
        </w:trPr>
        <w:tc>
          <w:tcPr>
            <w:tcW w:w="5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18"/>
                <w:szCs w:val="18"/>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0"/>
        </w:trPr>
        <w:tc>
          <w:tcPr>
            <w:tcW w:w="5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74" w:lineRule="exact"/>
        <w:rPr>
          <w:sz w:val="20"/>
          <w:szCs w:val="20"/>
          <w:color w:val="auto"/>
        </w:rPr>
      </w:pPr>
    </w:p>
    <w:p>
      <w:pPr>
        <w:ind w:left="480" w:hanging="472"/>
        <w:spacing w:after="0"/>
        <w:tabs>
          <w:tab w:leader="none" w:pos="480" w:val="left"/>
        </w:tabs>
        <w:numPr>
          <w:ilvl w:val="0"/>
          <w:numId w:val="67"/>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Not meaningful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right"/>
              <w:ind w:right="43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r>
      <w:tr>
        <w:trPr>
          <w:trHeight w:val="169"/>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540" w:type="dxa"/>
            <w:vAlign w:val="bottom"/>
          </w:tcPr>
          <w:p>
            <w:pPr>
              <w:ind w:left="500"/>
              <w:spacing w:after="0"/>
              <w:rPr>
                <w:sz w:val="20"/>
                <w:szCs w:val="20"/>
                <w:color w:val="auto"/>
              </w:rPr>
            </w:pPr>
            <w:r>
              <w:rPr>
                <w:rFonts w:ascii="Arial" w:cs="Arial" w:eastAsia="Arial" w:hAnsi="Arial"/>
                <w:sz w:val="18"/>
                <w:szCs w:val="18"/>
                <w:color w:val="auto"/>
              </w:rPr>
              <w:t>ATH-1017</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2,773</w:t>
            </w:r>
          </w:p>
        </w:tc>
        <w:tc>
          <w:tcPr>
            <w:tcW w:w="2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2,619</w:t>
            </w:r>
          </w:p>
        </w:tc>
        <w:tc>
          <w:tcPr>
            <w:tcW w:w="26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Preclinical programs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8"/>
                <w:szCs w:val="18"/>
                <w:color w:val="auto"/>
              </w:rPr>
            </w:pPr>
          </w:p>
        </w:tc>
      </w:tr>
      <w:tr>
        <w:trPr>
          <w:trHeight w:val="210"/>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1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(2)</w:t>
            </w:r>
          </w:p>
        </w:tc>
      </w:tr>
      <w:tr>
        <w:trPr>
          <w:trHeight w:val="20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193"/>
        </w:trPr>
        <w:tc>
          <w:tcPr>
            <w:tcW w:w="4540" w:type="dxa"/>
            <w:vAlign w:val="bottom"/>
          </w:tcPr>
          <w:p>
            <w:pPr>
              <w:ind w:left="500"/>
              <w:spacing w:after="0" w:line="193" w:lineRule="exact"/>
              <w:rPr>
                <w:sz w:val="20"/>
                <w:szCs w:val="20"/>
                <w:color w:val="auto"/>
              </w:rPr>
            </w:pPr>
            <w:r>
              <w:rPr>
                <w:rFonts w:ascii="Arial" w:cs="Arial" w:eastAsia="Arial" w:hAnsi="Arial"/>
                <w:sz w:val="18"/>
                <w:szCs w:val="18"/>
                <w:color w:val="auto"/>
              </w:rPr>
              <w:t>Personnel-related costs, including</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5"/>
        </w:trPr>
        <w:tc>
          <w:tcPr>
            <w:tcW w:w="454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Facilities and other costs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8"/>
                <w:szCs w:val="18"/>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Research and development expenses increased by $0.2 million, or 6%, from $3.6 million for the year ended December 31, 2018</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to $3.8 million for the year ended December 31, 2019. The increase was driven primarily by an increase in personnel-related costs, and to a lesser extent, by increases in preclinical program costs as we expanded the number of research targets, as well as in facilities and other costs supporting our overall growth. In addition, expenses for ATH -1017 decreased by $0.2 million, primarily due to a decrease in clinical trial costs of $1.0 million related to the timing of activities in our Phase 1a and 1b clinical trials, partially offset by an increase in preclinical costs of $0.6 million as we completed certain toxicology studies in 2019, and by increases in manufacturing costs of $0.2 million as we began preparing for Phase 2 clinical trial drug supply production in late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General and administrative expenses increased by $0.3 million, or 17%, from $ 1.4 million for the year ended December 31, 2018 to $1.7 million for the year ended December 31, 2019. The increase was primarily due to an increase in personnel-related costs as staffing increased to support our growth.</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 xml:space="preserve">Other income (expense), net changed from an expense of $ 0.1 million for the year ended December 31, 2018 to income of $0.3 million for the year ended December 31, 2019. The change of $0.4 million was primarily due to income from a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of $0.8 million received in 2019, partially offset primarily by an increase in interest expense on outstanding convertible notes of $0.3 million and to a lesser extent by a decrease in interest and other income and an increase in losses from changes in liabilities recorded at fair value.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Since our inception, we have funded our operations primarily with proceeds from the sale and issuance of convertible preferred stock, common stock warrants, and convertible notes, and to a lesser extent from grant income and stock option exercises. From our inception through September 30, 2020, we have raised aggregate net cash proceeds of $288.5 million primarily from the issuance of our common stock, convertible preferred stock, common stock warrants, and convertible notes. We issued 12,000,000 shares of our common stock in our initial public offering at a public offering price of $17.00 per share for net proceeds of $186.4 million, after deducting underwriting discounts and commissions and offering expenses. As of September 30, 2020, we had $259.9 million in cash, cash equivalents and investments and have not generated positive cash flows from operations. In October, 2020, we sold an additional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98" w:name="page99"/>
    <w:bookmarkEnd w:id="98"/>
    <w:p>
      <w:pPr>
        <w:spacing w:after="0" w:line="243" w:lineRule="auto"/>
        <w:rPr>
          <w:sz w:val="20"/>
          <w:szCs w:val="20"/>
          <w:color w:val="auto"/>
        </w:rPr>
      </w:pPr>
      <w:r>
        <w:rPr>
          <w:rFonts w:ascii="Arial" w:cs="Arial" w:eastAsia="Arial" w:hAnsi="Arial"/>
          <w:sz w:val="18"/>
          <w:szCs w:val="18"/>
          <w:color w:val="auto"/>
        </w:rPr>
        <w:t>1,397,712 shares of common stock to the underwriters of the initial public offering upon partial exercise of the underwriters’ option to purchase additional shares at the initial public offering price of $17.00 per share, less underwriting discounts and commissions, resulting in net proceeds to us of approximately $22.1 million.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4"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Based upon our current operating plan, we estimate that our $259.9 million of cash, cash equivalents, and investments at September 30, 2020 will be sufficient to fund our operating expenses and capital expenditure requirements at least through 2022. Even after this offering,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222" w:lineRule="exact"/>
        <w:rPr>
          <w:sz w:val="20"/>
          <w:szCs w:val="20"/>
          <w:color w:val="auto"/>
        </w:rPr>
      </w:pPr>
    </w:p>
    <w:p>
      <w:pPr>
        <w:ind w:right="160" w:firstLine="589"/>
        <w:spacing w:after="0" w:line="248"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62" w:lineRule="exact"/>
        <w:rPr>
          <w:sz w:val="20"/>
          <w:szCs w:val="20"/>
          <w:color w:val="auto"/>
        </w:rPr>
      </w:pPr>
    </w:p>
    <w:p>
      <w:pPr>
        <w:ind w:left="1300" w:hanging="442"/>
        <w:spacing w:after="0"/>
        <w:tabs>
          <w:tab w:leader="none" w:pos="13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116" w:lineRule="exact"/>
        <w:rPr>
          <w:rFonts w:ascii="Times New Roman" w:cs="Times New Roman" w:eastAsia="Times New Roman" w:hAnsi="Times New Roman"/>
          <w:sz w:val="18"/>
          <w:szCs w:val="18"/>
          <w:color w:val="auto"/>
        </w:rPr>
      </w:pPr>
    </w:p>
    <w:p>
      <w:pPr>
        <w:ind w:left="1300" w:right="540" w:hanging="442"/>
        <w:spacing w:after="0" w:line="275" w:lineRule="auto"/>
        <w:tabs>
          <w:tab w:leader="none" w:pos="13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37" w:lineRule="exact"/>
        <w:rPr>
          <w:rFonts w:ascii="Times New Roman" w:cs="Times New Roman" w:eastAsia="Times New Roman" w:hAnsi="Times New Roman"/>
          <w:sz w:val="18"/>
          <w:szCs w:val="18"/>
          <w:color w:val="auto"/>
        </w:rPr>
      </w:pPr>
    </w:p>
    <w:p>
      <w:pPr>
        <w:ind w:left="1300" w:right="620" w:hanging="442"/>
        <w:spacing w:after="0" w:line="275" w:lineRule="auto"/>
        <w:tabs>
          <w:tab w:leader="none" w:pos="13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37" w:lineRule="exact"/>
        <w:rPr>
          <w:rFonts w:ascii="Times New Roman" w:cs="Times New Roman" w:eastAsia="Times New Roman" w:hAnsi="Times New Roman"/>
          <w:sz w:val="18"/>
          <w:szCs w:val="18"/>
          <w:color w:val="auto"/>
        </w:rPr>
      </w:pPr>
    </w:p>
    <w:p>
      <w:pPr>
        <w:jc w:val="both"/>
        <w:ind w:left="1300" w:right="420" w:hanging="442"/>
        <w:spacing w:after="0" w:line="305" w:lineRule="auto"/>
        <w:tabs>
          <w:tab w:leader="none" w:pos="130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9" w:name="page100"/>
    <w:bookmarkEnd w:id="99"/>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our product candidates;</w:t>
      </w:r>
    </w:p>
    <w:p>
      <w:pPr>
        <w:spacing w:after="0" w:line="116"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6" w:lineRule="exact"/>
        <w:rPr>
          <w:rFonts w:ascii="Times New Roman" w:cs="Times New Roman" w:eastAsia="Times New Roman" w:hAnsi="Times New Roman"/>
          <w:sz w:val="18"/>
          <w:szCs w:val="18"/>
          <w:color w:val="auto"/>
        </w:rPr>
      </w:pPr>
    </w:p>
    <w:p>
      <w:pPr>
        <w:ind w:left="1300" w:right="620" w:hanging="442"/>
        <w:spacing w:after="0" w:line="275" w:lineRule="auto"/>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any expenses needed to attract, hire and retain skilled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relocating to our new facility and building out lab space;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in-license other companies’ product candidates and technologies.</w:t>
      </w:r>
    </w:p>
    <w:p>
      <w:pPr>
        <w:spacing w:after="0" w:line="22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5"/>
                <w:szCs w:val="15"/>
                <w:color w:val="auto"/>
              </w:rPr>
            </w:pPr>
          </w:p>
        </w:tc>
        <w:tc>
          <w:tcPr>
            <w:tcW w:w="266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(4,483)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(3,713)</w:t>
            </w:r>
          </w:p>
        </w:tc>
        <w:tc>
          <w:tcPr>
            <w:tcW w:w="4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(2,684)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(13,448)</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(94,310)</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271,427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2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Net (decrease) increase in cash and</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(1,012)</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(1,261)</w:t>
            </w:r>
          </w:p>
        </w:tc>
        <w:tc>
          <w:tcPr>
            <w:tcW w:w="48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(1,037)</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During the nine months ended September 30, 2020, net cash used in operating activities was $13.4 million. This consisted primarily of a net loss of $12.3 million, partially offset by non-cash charges of $1.7 million and an increase in our net operating assets of $2.9 million. The non-cash charges primarily consisted of stock-based compensation expense, non-cash interest expense and accretion of discounts on our convertible notes, changes in the carrying value of liabilities stated at fair value, and the gain on extinguishment of our convertible notes. The increase in our net operating assets was due to an increase in prepaid expenses and other current assets, partially offset by a decrease in accounts payable and accrued expenses.</w:t>
      </w:r>
    </w:p>
    <w:p>
      <w:pPr>
        <w:spacing w:after="0" w:line="174" w:lineRule="exact"/>
        <w:rPr>
          <w:sz w:val="20"/>
          <w:szCs w:val="20"/>
          <w:color w:val="auto"/>
        </w:rPr>
      </w:pPr>
    </w:p>
    <w:p>
      <w:pPr>
        <w:jc w:val="both"/>
        <w:ind w:right="100" w:firstLine="576"/>
        <w:spacing w:after="0" w:line="255" w:lineRule="auto"/>
        <w:rPr>
          <w:sz w:val="20"/>
          <w:szCs w:val="20"/>
          <w:color w:val="auto"/>
        </w:rPr>
      </w:pPr>
      <w:r>
        <w:rPr>
          <w:rFonts w:ascii="Arial" w:cs="Arial" w:eastAsia="Arial" w:hAnsi="Arial"/>
          <w:sz w:val="18"/>
          <w:szCs w:val="18"/>
          <w:color w:val="auto"/>
        </w:rPr>
        <w:t>During the nine months ended September 30, 2019, net cash used in operating activities was $2.7 million. This consisted primarily of a net loss of $4.2 million, partially offset by non-cash charges of $0.6 million and an increase in our net operating assets of $0.9 million. The non-cash charges primarily consisted of stock-based compensation expense, non-cash interest expense and accretion of discounts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0" w:name="page101"/>
    <w:bookmarkEnd w:id="100"/>
    <w:p>
      <w:pPr>
        <w:ind w:right="40"/>
        <w:spacing w:after="0" w:line="276" w:lineRule="auto"/>
        <w:rPr>
          <w:sz w:val="20"/>
          <w:szCs w:val="20"/>
          <w:color w:val="auto"/>
        </w:rPr>
      </w:pPr>
      <w:r>
        <w:rPr>
          <w:rFonts w:ascii="Arial" w:cs="Arial" w:eastAsia="Arial" w:hAnsi="Arial"/>
          <w:sz w:val="18"/>
          <w:szCs w:val="18"/>
          <w:color w:val="auto"/>
        </w:rPr>
        <w:t>on our convertible notes, and changes in the carrying value of liabilities stated at fair value. The increase in our net operating assets was due to an increase in accounts payable and accrued expenses.</w:t>
      </w:r>
    </w:p>
    <w:p>
      <w:pPr>
        <w:spacing w:after="0" w:line="145"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During the year ended December 31, 2019, net cash used in operating activities was $3.7 million. This consisted primarily of a net loss of $5.2 million, partially offset by non-cash charges of $0.8 million and an increase in our net operating assets of $0.7 million. The non-cash charges primarily consisted of stock-based compensation expense, non-cash interest expense and accretion of discounts on our convertible notes, and changes in the carrying value of liabilities stated at fair value. The increase in our net operating assets was due to an increase in accounts payable and accrued expenses.</w:t>
      </w:r>
    </w:p>
    <w:p>
      <w:pPr>
        <w:spacing w:after="0" w:line="172"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During the year ended December 31, 2018, net cash used in operating activities was $4.5 million. This consisted primarily of a net loss of $5.1 million, partially offset by non-cash charges of $0.4 million and an increase in our net operating assets of $0.2 million. The non-cash charges primarily consisted of stock-based compensation expense, non-cash interest expense on our convertible notes, and changes in the carrying value of liabilities stated at fair value. The increase in our net operating assets was due to an increase in accounts payable and accrued expenses.</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right="420" w:firstLine="589"/>
        <w:spacing w:after="0" w:line="276" w:lineRule="auto"/>
        <w:rPr>
          <w:sz w:val="20"/>
          <w:szCs w:val="20"/>
          <w:color w:val="auto"/>
        </w:rPr>
      </w:pPr>
      <w:r>
        <w:rPr>
          <w:rFonts w:ascii="Arial" w:cs="Arial" w:eastAsia="Arial" w:hAnsi="Arial"/>
          <w:sz w:val="18"/>
          <w:szCs w:val="18"/>
          <w:color w:val="auto"/>
        </w:rPr>
        <w:t>During the nine months ended September 30, 2020, net cash used in investing was $94.3 million. This consisted of purchases of available-for-sale securities.</w:t>
      </w:r>
    </w:p>
    <w:p>
      <w:pPr>
        <w:spacing w:after="0" w:line="145" w:lineRule="exact"/>
        <w:rPr>
          <w:sz w:val="20"/>
          <w:szCs w:val="20"/>
          <w:color w:val="auto"/>
        </w:rPr>
      </w:pPr>
    </w:p>
    <w:p>
      <w:pPr>
        <w:ind w:right="240" w:firstLine="589"/>
        <w:spacing w:after="0" w:line="255" w:lineRule="auto"/>
        <w:rPr>
          <w:sz w:val="20"/>
          <w:szCs w:val="20"/>
          <w:color w:val="auto"/>
        </w:rPr>
      </w:pPr>
      <w:r>
        <w:rPr>
          <w:rFonts w:ascii="Arial" w:cs="Arial" w:eastAsia="Arial" w:hAnsi="Arial"/>
          <w:sz w:val="18"/>
          <w:szCs w:val="18"/>
          <w:color w:val="auto"/>
        </w:rPr>
        <w:t>During the nine months ended September 30, 2019, net cash provided by investing activities was $0.8 million. This consisted primarily of $1.7 million in proceeds received from short-term investments which matured during the period, partially offset by purchases of short-term investments of $1.0 million.</w:t>
      </w:r>
    </w:p>
    <w:p>
      <w:pPr>
        <w:spacing w:after="0" w:line="16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During the year ended December 31, 2019, net cash provided by investing activities was $1.5 million. This consisted primarily of $2.5 million in proceeds received from short-term investments which matured during the period, partially offset by purchases of short-term investments of $1.0 million.</w:t>
      </w:r>
    </w:p>
    <w:p>
      <w:pPr>
        <w:spacing w:after="0" w:line="16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During the year ended December 31, 2018, net cash provided by investing activities was $2.0 million. This consisted primarily of $7.3 million in proceeds received from short-term investments which matured during the period, partially offset by purchases of short-term investments of $5.3 million.</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jc w:val="both"/>
        <w:ind w:right="400" w:firstLine="589"/>
        <w:spacing w:after="0" w:line="248" w:lineRule="auto"/>
        <w:rPr>
          <w:sz w:val="20"/>
          <w:szCs w:val="20"/>
          <w:color w:val="auto"/>
        </w:rPr>
      </w:pPr>
      <w:r>
        <w:rPr>
          <w:rFonts w:ascii="Arial" w:cs="Arial" w:eastAsia="Arial" w:hAnsi="Arial"/>
          <w:sz w:val="18"/>
          <w:szCs w:val="18"/>
          <w:color w:val="auto"/>
        </w:rPr>
        <w:t>During the nine months ended September 30, 2020, net cash provided by financing activities was $271.4 million. This consisted primarily of net proceeds received from our initial public offering of $187.2 million, net proceeds of $81.9 million from the issuance of our Series B convertible preferred stock and common stock warrants, $1.7 million from the issuance of our convertible notes, and to a lesser extent from exercises of stock options and common stock warrants.</w:t>
      </w:r>
    </w:p>
    <w:p>
      <w:pPr>
        <w:spacing w:after="0" w:line="170" w:lineRule="exact"/>
        <w:rPr>
          <w:sz w:val="20"/>
          <w:szCs w:val="20"/>
          <w:color w:val="auto"/>
        </w:rPr>
      </w:pPr>
    </w:p>
    <w:p>
      <w:pPr>
        <w:jc w:val="both"/>
        <w:ind w:right="680" w:firstLine="589"/>
        <w:spacing w:after="0" w:line="306" w:lineRule="auto"/>
        <w:rPr>
          <w:sz w:val="20"/>
          <w:szCs w:val="20"/>
          <w:color w:val="auto"/>
        </w:rPr>
      </w:pPr>
      <w:r>
        <w:rPr>
          <w:rFonts w:ascii="Arial" w:cs="Arial" w:eastAsia="Arial" w:hAnsi="Arial"/>
          <w:sz w:val="17"/>
          <w:szCs w:val="17"/>
          <w:color w:val="auto"/>
        </w:rPr>
        <w:t>During the nine months ended September 30, 2019, net cash provided by financing activities was $0.9 million. This consisted primarily of proceeds of $0.9 million from the issuance of our convertible notes and to a lesser extent from exercises of stock options.</w:t>
      </w:r>
    </w:p>
    <w:p>
      <w:pPr>
        <w:spacing w:after="0" w:line="123"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During the year ended December 31, 2019, net cash provided in financing activities was $0.9 million. This consisted primarily of net proceeds received from the issuance of our convertible notes of $0.9 million and to a lesser extent from exercises of stock options.</w:t>
      </w:r>
    </w:p>
    <w:p>
      <w:pPr>
        <w:spacing w:after="0" w:line="145"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During the year ended December 31, 2018, net cash provided in financing activities was $1.5 million. This consisted primarily of net proceeds received from the issuance of our convertible notes of $1.3 million, $0.1 million from exercises of stock options, and $0.1 million from the issuance of additional shares of Series A convertible preferred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06"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0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Our convertible notes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our statements of operations and comprehensive loss. The derivative liability related to these features is recorded at estimated fair value on a recurring basis. Any changes in fair value are reflected in other income (expense), net in our statements of operations and comprehensive loss at each period end while such instruments are outstanding. The derivative liability was remeasured to fair value until its settlement in May 2020 upon the conversion of the underlying convertible notes into shares of our Series B-1 convertible preferred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Freestanding warrants to purchase shares of our convertible preferred stock are accounted for as liabilities at fair value, because the shares underlying the warrants contain contingent redemption features outside our control. Warrants classified as liabilities are recorded on the balance sheets at their fair value on the date of issuance and remeasured to fair value on each subsequent reporting period, with the changes in fair value recognized as a component of other income (expense), net in the statements of operations. We adjusted the liability for the final change in fair value of these warrants immediately preceding their automatic exercise in connection with our initial public offering. Subsequently, the liability was reclassified to additional paid in capital.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The grant liability associated with the grants from the LSDF is accounted for under Accounting Standards Codification, or ASC, 825-10, </w:t>
      </w:r>
      <w:r>
        <w:rPr>
          <w:rFonts w:ascii="Arial" w:cs="Arial" w:eastAsia="Arial" w:hAnsi="Arial"/>
          <w:sz w:val="18"/>
          <w:szCs w:val="18"/>
          <w:i w:val="1"/>
          <w:iCs w:val="1"/>
          <w:color w:val="auto"/>
        </w:rPr>
        <w:t>Financial Instruments—Overall</w:t>
      </w:r>
      <w:r>
        <w:rPr>
          <w:rFonts w:ascii="Arial" w:cs="Arial" w:eastAsia="Arial" w:hAnsi="Arial"/>
          <w:sz w:val="18"/>
          <w:szCs w:val="18"/>
          <w:color w:val="auto"/>
        </w:rPr>
        <w:t>. The estimated fair value of the grant liability is reassessed at each balance sheet date, with changes in fair value reflected in other income (expense), net in our statements of operations and comprehensive loss at each period end. The fair value of the grant liability was estimated using a discounted cash flow simulation methodology that assigns probabilities to the timing and likelihood of each triggering event, each of which is disclosed in Note 7 to our audited financial statements and Note 6 to our unaudited interim condensed financial statements included elsewhere in this prospectus, as well as a discount rate based on market data for securities with similar durations and credit ratings to us, and the expected payment amount. The assumptions used to calculate the fair value of the grant liability are subject to significant judgment, and payment may be in an amount different from the liability that we estimate. The consummation of our initial</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102" w:name="page103"/>
    <w:bookmarkEnd w:id="102"/>
    <w:p>
      <w:pPr>
        <w:ind w:right="60"/>
        <w:spacing w:after="0" w:line="276" w:lineRule="auto"/>
        <w:rPr>
          <w:sz w:val="20"/>
          <w:szCs w:val="20"/>
          <w:color w:val="auto"/>
        </w:rPr>
      </w:pPr>
      <w:r>
        <w:rPr>
          <w:rFonts w:ascii="Arial" w:cs="Arial" w:eastAsia="Arial" w:hAnsi="Arial"/>
          <w:sz w:val="18"/>
          <w:szCs w:val="18"/>
          <w:color w:val="auto"/>
        </w:rPr>
        <w:t>public offering in September 2020 was a triggering event under the terms of the grant and the liability was remeasured to the pay-off amount of $1.5 million as of September 30,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4"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 xml:space="preserve">In January 2019, the Alzheimer’s Association awarded us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our ATH-1017 product candidate in the Alzheimer’s disease setting. Under the terms of the agreement, we received $776,000 in 2019 and may potentially receive the remaining $ 224,000 in 2020 upon the completion of certain development milestones. Reporting of expenses incurred supported by the grant as well as research updates are sent to the Alzheimer’s Association semi-annually. We recognize income related to the grant as qualifying expenses under the grant agreement are incurred, in grant income within other income (expense), net in our statement of operations and comprehensive loss. As of December 31, 2019, we had recognized $754,000 in grant income, which is included in other income (expense), net in our statements of operations and comprehensive loss, and had cash received in excess of qualifying expenses of approximately $22,000, which is included in accrued expenses on our balance sheets. During the nine months ended September 30, 2020, we recognized $22,000 in grant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0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45"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72" w:lineRule="exact"/>
        <w:rPr>
          <w:sz w:val="20"/>
          <w:szCs w:val="20"/>
          <w:color w:val="auto"/>
        </w:rPr>
      </w:pPr>
    </w:p>
    <w:p>
      <w:pPr>
        <w:ind w:right="480" w:firstLine="576"/>
        <w:spacing w:after="0" w:line="276"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37" w:lineRule="exact"/>
        <w:rPr>
          <w:sz w:val="20"/>
          <w:szCs w:val="20"/>
          <w:color w:val="auto"/>
        </w:rPr>
      </w:pPr>
    </w:p>
    <w:p>
      <w:pPr>
        <w:ind w:left="800" w:hanging="225"/>
        <w:spacing w:after="0"/>
        <w:tabs>
          <w:tab w:leader="none" w:pos="8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See the subsection titled “—Common Stock Valuations” below.</w:t>
      </w:r>
    </w:p>
    <w:p>
      <w:pPr>
        <w:spacing w:after="0" w:line="116" w:lineRule="exact"/>
        <w:rPr>
          <w:rFonts w:ascii="Times New Roman" w:cs="Times New Roman" w:eastAsia="Times New Roman" w:hAnsi="Times New Roman"/>
          <w:sz w:val="18"/>
          <w:szCs w:val="18"/>
          <w:color w:val="auto"/>
        </w:rPr>
      </w:pPr>
    </w:p>
    <w:p>
      <w:pPr>
        <w:ind w:left="800" w:right="180" w:hanging="225"/>
        <w:spacing w:after="0" w:line="275" w:lineRule="auto"/>
        <w:tabs>
          <w:tab w:leader="none" w:pos="80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 coupon issues in effect at the time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periods corresponding with the expected term of the option.</w:t>
      </w:r>
    </w:p>
    <w:p>
      <w:pPr>
        <w:spacing w:after="0" w:line="37" w:lineRule="exact"/>
        <w:rPr>
          <w:rFonts w:ascii="Times New Roman" w:cs="Times New Roman" w:eastAsia="Times New Roman" w:hAnsi="Times New Roman"/>
          <w:sz w:val="18"/>
          <w:szCs w:val="18"/>
          <w:color w:val="auto"/>
        </w:rPr>
      </w:pPr>
    </w:p>
    <w:p>
      <w:pPr>
        <w:jc w:val="both"/>
        <w:ind w:left="800" w:right="80" w:hanging="225"/>
        <w:spacing w:after="0" w:line="277" w:lineRule="auto"/>
        <w:tabs>
          <w:tab w:leader="none" w:pos="80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Because we have been privately held and do not have any trading history for our common stock,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was estimated based on the average volatility for comparable publicly traded life sciences companies over a period equal to the expected term of the stock option grants. The comparable companies were chosen based on the similar size, stage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03" w:name="page104"/>
    <w:bookmarkEnd w:id="103"/>
    <w:p>
      <w:pPr>
        <w:ind w:left="800" w:right="220"/>
        <w:spacing w:after="0" w:line="276" w:lineRule="auto"/>
        <w:rPr>
          <w:sz w:val="20"/>
          <w:szCs w:val="20"/>
          <w:color w:val="auto"/>
        </w:rPr>
      </w:pPr>
      <w:r>
        <w:rPr>
          <w:rFonts w:ascii="Arial" w:cs="Arial" w:eastAsia="Arial" w:hAnsi="Arial"/>
          <w:sz w:val="18"/>
          <w:szCs w:val="18"/>
          <w:color w:val="auto"/>
        </w:rPr>
        <w:t>in life cycle or area of specialty. We will continue to apply this process until a sufficient amount of historical information regarding the volatility of our own stock price becomes available.</w:t>
      </w:r>
    </w:p>
    <w:p>
      <w:pPr>
        <w:spacing w:after="0" w:line="37" w:lineRule="exact"/>
        <w:rPr>
          <w:sz w:val="20"/>
          <w:szCs w:val="20"/>
          <w:color w:val="auto"/>
        </w:rPr>
      </w:pPr>
    </w:p>
    <w:p>
      <w:pPr>
        <w:ind w:left="800" w:right="80" w:hanging="225"/>
        <w:spacing w:after="0" w:line="255" w:lineRule="auto"/>
        <w:tabs>
          <w:tab w:leader="none" w:pos="80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we do not have sufficient historical data to use any other method to estimate expected term.</w:t>
      </w:r>
    </w:p>
    <w:p>
      <w:pPr>
        <w:spacing w:after="0" w:line="54" w:lineRule="exact"/>
        <w:rPr>
          <w:rFonts w:ascii="Times New Roman" w:cs="Times New Roman" w:eastAsia="Times New Roman" w:hAnsi="Times New Roman"/>
          <w:sz w:val="18"/>
          <w:szCs w:val="18"/>
          <w:color w:val="auto"/>
        </w:rPr>
      </w:pPr>
    </w:p>
    <w:p>
      <w:pPr>
        <w:ind w:left="800" w:hanging="225"/>
        <w:spacing w:after="0" w:line="275" w:lineRule="auto"/>
        <w:tabs>
          <w:tab w:leader="none" w:pos="80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have no plans to pay dividends on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Therefore, we used an expected dividend yield of zero.</w:t>
      </w:r>
    </w:p>
    <w:p>
      <w:pPr>
        <w:spacing w:after="0" w:line="146" w:lineRule="exact"/>
        <w:rPr>
          <w:sz w:val="20"/>
          <w:szCs w:val="20"/>
          <w:color w:val="auto"/>
        </w:rPr>
      </w:pPr>
    </w:p>
    <w:p>
      <w:pPr>
        <w:ind w:right="260" w:firstLine="576"/>
        <w:spacing w:after="0" w:line="245" w:lineRule="auto"/>
        <w:rPr>
          <w:sz w:val="20"/>
          <w:szCs w:val="20"/>
          <w:color w:val="auto"/>
        </w:rPr>
      </w:pPr>
      <w:r>
        <w:rPr>
          <w:rFonts w:ascii="Arial" w:cs="Arial" w:eastAsia="Arial" w:hAnsi="Arial"/>
          <w:sz w:val="18"/>
          <w:szCs w:val="18"/>
          <w:color w:val="auto"/>
        </w:rPr>
        <w:t>See Note 12 to our audited financial statements and Note 11 to our unaudited interim condensed financial statements included elsewhere in this prospectus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72"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We recorded stock-based compensation expense of $0.2 million and $0.3 million for the years ended December 31, 2018 and 2019, respectively, and $0.2 million for each of the nine months ended September 30, 2019 and 2020. As of September 30, 2020, there was $2.9 million of total unrecognized stock-based compensation expense related to unvested stock options which we expect to recognize over a remaining weighted-average period of 1.95 years. We expect to continue to grant stock options and other equity-based awards in the future, and to the extent that we do, our stock-based compensation expense recognized in future periods will likely increase.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Since our initial public offering in September 2020, we base the fair value of the shares of common stock underlying our share-based awards on the market price of our common stock as reported the Nasdaq Global Select Market. For all periods prior to our initial public offering, there was no public market for our common stock, and, as a result, the fair value of the shares of common stock underlying our share-based awards was estimated on each grant date by our board of directors. To determine the fair value of our common stock underlying option grants,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and our board of directors’ assessment of additional objective and subjective factors that it believed were relevant, and factors that may have changed from the date of the most recent valuation through the date of the grant. These factors included, but were not limited to:</w:t>
      </w:r>
    </w:p>
    <w:p>
      <w:pPr>
        <w:spacing w:after="0" w:line="68" w:lineRule="exact"/>
        <w:rPr>
          <w:sz w:val="20"/>
          <w:szCs w:val="20"/>
          <w:color w:val="auto"/>
        </w:rPr>
      </w:pPr>
    </w:p>
    <w:p>
      <w:pPr>
        <w:ind w:left="800" w:hanging="225"/>
        <w:spacing w:after="0"/>
        <w:tabs>
          <w:tab w:leader="none" w:pos="8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our stage of development and material risks related to our business;</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progress of our research and development activities;</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conditions and projections;</w:t>
      </w:r>
    </w:p>
    <w:p>
      <w:pPr>
        <w:spacing w:after="0" w:line="116" w:lineRule="exact"/>
        <w:rPr>
          <w:rFonts w:ascii="Times New Roman" w:cs="Times New Roman" w:eastAsia="Times New Roman" w:hAnsi="Times New Roman"/>
          <w:sz w:val="18"/>
          <w:szCs w:val="18"/>
          <w:color w:val="auto"/>
        </w:rPr>
      </w:pPr>
    </w:p>
    <w:p>
      <w:pPr>
        <w:ind w:left="800" w:right="220" w:hanging="225"/>
        <w:spacing w:after="0" w:line="275" w:lineRule="auto"/>
        <w:tabs>
          <w:tab w:leader="none" w:pos="8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37"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marketability of our common stock as a private company;</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the prices at which we sold shares of our convertible preferred stock to outside investors in arms-length transactions;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04" w:name="page105"/>
    <w:bookmarkEnd w:id="104"/>
    <w:p>
      <w:pPr>
        <w:ind w:left="800" w:hanging="225"/>
        <w:spacing w:after="0"/>
        <w:tabs>
          <w:tab w:leader="none" w:pos="80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16" w:lineRule="exact"/>
        <w:rPr>
          <w:rFonts w:ascii="Times New Roman" w:cs="Times New Roman" w:eastAsia="Times New Roman" w:hAnsi="Times New Roman"/>
          <w:sz w:val="18"/>
          <w:szCs w:val="18"/>
          <w:color w:val="auto"/>
        </w:rPr>
      </w:pPr>
    </w:p>
    <w:p>
      <w:pPr>
        <w:ind w:left="800" w:right="20" w:hanging="225"/>
        <w:spacing w:after="0" w:line="275" w:lineRule="auto"/>
        <w:tabs>
          <w:tab w:leader="none" w:pos="80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37"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of key personnel and the experience of management;</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trends and developments in our industry; and</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2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For our valuations performed prior to December 31, 2019, we used the option pricing method, or OPM, back-solve method. In an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This method was selected as management concluded that the contemporaneous financing transaction was an arms-length transaction.</w:t>
      </w:r>
    </w:p>
    <w:p>
      <w:pPr>
        <w:spacing w:after="0" w:line="17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For our valuations performed subsequent to December 31, 2019, we used a hybrid method of the OPM and the Probability-Weighted Expected Return Method, or PWERM. PWERM considers various potential liquidity outcomes. Our approach included the use of an initial public offering scenario and a scenario assuming continued operation as a private entity. Under the hybrid OPM and PWERM method, the per share value calculated under the OPM and PWERM are weighted based on expected exit outcomes and the quality of the information specific to each allocation methodology to arrive at a final estimated fair value per share of the common stock before a discount for lack of marketability is applied.</w:t>
      </w:r>
    </w:p>
    <w:p>
      <w:pPr>
        <w:spacing w:after="0" w:line="174"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Following the closing of our initial public offering, our board of directors determines the fair market value of our common stock based on the closing price of our common stock as reported on the date of grant on the Nasdaq Global Select Market.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174" w:lineRule="exact"/>
        <w:rPr>
          <w:sz w:val="20"/>
          <w:szCs w:val="20"/>
          <w:color w:val="auto"/>
        </w:rPr>
      </w:pPr>
    </w:p>
    <w:p>
      <w:pPr>
        <w:ind w:right="100" w:firstLine="576"/>
        <w:spacing w:after="0" w:line="306" w:lineRule="auto"/>
        <w:rPr>
          <w:sz w:val="20"/>
          <w:szCs w:val="20"/>
          <w:color w:val="auto"/>
        </w:rPr>
      </w:pPr>
      <w:r>
        <w:rPr>
          <w:rFonts w:ascii="Arial" w:cs="Arial" w:eastAsia="Arial" w:hAnsi="Arial"/>
          <w:sz w:val="17"/>
          <w:szCs w:val="17"/>
          <w:color w:val="auto"/>
        </w:rPr>
        <w:t>As of December 31, 2019, we had $ 9.4 million of federal net operating loss, or NOL, carryforwards and $1.0 million of tax credit carryforwards which expire over a period of 11 to 20 years. As of December 31, 2019, we had $9.2 million of such NOLs that do not expire.</w:t>
      </w:r>
    </w:p>
    <w:p>
      <w:pPr>
        <w:spacing w:after="0" w:line="123"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174" w:lineRule="exact"/>
        <w:rPr>
          <w:sz w:val="20"/>
          <w:szCs w:val="20"/>
          <w:color w:val="auto"/>
        </w:rPr>
      </w:pPr>
    </w:p>
    <w:p>
      <w:pPr>
        <w:jc w:val="both"/>
        <w:ind w:right="360" w:firstLine="576"/>
        <w:spacing w:after="0" w:line="255" w:lineRule="auto"/>
        <w:rPr>
          <w:sz w:val="20"/>
          <w:szCs w:val="20"/>
          <w:color w:val="auto"/>
        </w:rPr>
      </w:pPr>
      <w:r>
        <w:rPr>
          <w:rFonts w:ascii="Arial" w:cs="Arial" w:eastAsia="Arial" w:hAnsi="Arial"/>
          <w:sz w:val="18"/>
          <w:szCs w:val="18"/>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68" w:right="439" w:bottom="1440" w:gutter="0" w:footer="0" w:header="0"/>
        </w:sectPr>
      </w:pPr>
    </w:p>
    <w:bookmarkStart w:id="105" w:name="page106"/>
    <w:bookmarkEnd w:id="105"/>
    <w:p>
      <w:pPr>
        <w:ind w:right="100"/>
        <w:spacing w:after="0" w:line="276" w:lineRule="auto"/>
        <w:rPr>
          <w:sz w:val="20"/>
          <w:szCs w:val="20"/>
          <w:color w:val="auto"/>
        </w:rPr>
      </w:pPr>
      <w:r>
        <w:rPr>
          <w:rFonts w:ascii="Arial" w:cs="Arial" w:eastAsia="Arial" w:hAnsi="Arial"/>
          <w:sz w:val="18"/>
          <w:szCs w:val="18"/>
          <w:color w:val="auto"/>
        </w:rPr>
        <w:t>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6" w:lineRule="exact"/>
        <w:rPr>
          <w:sz w:val="20"/>
          <w:szCs w:val="20"/>
          <w:color w:val="auto"/>
        </w:rPr>
      </w:pPr>
    </w:p>
    <w:p>
      <w:pPr>
        <w:ind w:right="160" w:firstLine="576"/>
        <w:spacing w:after="0" w:line="276" w:lineRule="auto"/>
        <w:rPr>
          <w:sz w:val="20"/>
          <w:szCs w:val="20"/>
          <w:color w:val="auto"/>
        </w:rPr>
      </w:pPr>
      <w:r>
        <w:rPr>
          <w:rFonts w:ascii="Arial" w:cs="Arial" w:eastAsia="Arial" w:hAnsi="Arial"/>
          <w:sz w:val="18"/>
          <w:szCs w:val="18"/>
          <w:color w:val="auto"/>
        </w:rPr>
        <w:t>See Note 2 to our audited financial statements and our unaudited interim condensed financial statements included elsewhere in this prospectus for additional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We had cash, cash equivalents and investments of $259.9 million as of September 30, 2020, respectively. Our exposure to interest rate risk is not significant and a hypothetical 10% change in interest rates during any of the periods presented would not have had a material impact on our financial statements included elsewhere in this prospectus.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4" w:lineRule="exact"/>
        <w:rPr>
          <w:sz w:val="20"/>
          <w:szCs w:val="20"/>
          <w:color w:val="auto"/>
        </w:rPr>
      </w:pPr>
    </w:p>
    <w:p>
      <w:pPr>
        <w:ind w:right="100" w:firstLine="576"/>
        <w:spacing w:after="0" w:line="260" w:lineRule="auto"/>
        <w:rPr>
          <w:sz w:val="20"/>
          <w:szCs w:val="20"/>
          <w:color w:val="auto"/>
        </w:rPr>
      </w:pPr>
      <w:r>
        <w:rPr>
          <w:rFonts w:ascii="Arial" w:cs="Arial" w:eastAsia="Arial" w:hAnsi="Arial"/>
          <w:sz w:val="17"/>
          <w:szCs w:val="17"/>
          <w:color w:val="auto"/>
        </w:rPr>
        <w:t>Our functional currency is the U.S. dollar. As of the date of this prospectus, we are exposed to foreign currency rate risk related to various third-party service contracts denominated in foreign currencies. Transaction gains and losses are included in other income (expense), net on our statements of operations and comprehensive loss and were not material for any of the periods presented. A hypothetical 10% change in exchange rates during any of the periods presented would not have had a material impact on our financial statements included elsewhere in this prospectus. However, in the third quarter of 2020, we established an Australian subsidiary to facilitate the ACT-AD P300 Phase 2 clinical trial. As a result, our exposure to the foreign currencies, particularly the Australian dollar, will increase.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04" w:lineRule="exact"/>
        <w:rPr>
          <w:sz w:val="20"/>
          <w:szCs w:val="20"/>
          <w:color w:val="auto"/>
        </w:rPr>
      </w:pPr>
    </w:p>
    <w:p>
      <w:pPr>
        <w:ind w:right="360" w:firstLine="576"/>
        <w:spacing w:after="0" w:line="276" w:lineRule="auto"/>
        <w:rPr>
          <w:sz w:val="20"/>
          <w:szCs w:val="20"/>
          <w:color w:val="auto"/>
        </w:rPr>
      </w:pPr>
      <w:r>
        <w:rPr>
          <w:rFonts w:ascii="Arial" w:cs="Arial" w:eastAsia="Arial" w:hAnsi="Arial"/>
          <w:sz w:val="18"/>
          <w:szCs w:val="18"/>
          <w:color w:val="auto"/>
        </w:rPr>
        <w:t>Inflation generally affects us by increasing our cost of labor and clinical trial costs. We believe that inflation has not had a material effect on our financial statements included elsewhere in this 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74"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this offering.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right="260" w:firstLine="569"/>
        <w:spacing w:after="0" w:line="255" w:lineRule="auto"/>
        <w:rPr>
          <w:sz w:val="20"/>
          <w:szCs w:val="20"/>
          <w:color w:val="auto"/>
        </w:rPr>
      </w:pPr>
      <w:r>
        <w:rPr>
          <w:rFonts w:ascii="Arial" w:cs="Arial" w:eastAsia="Arial" w:hAnsi="Arial"/>
          <w:sz w:val="18"/>
          <w:szCs w:val="18"/>
          <w:color w:val="auto"/>
        </w:rPr>
        <w:t>Athira is derived from the word Athir, the energy that reaches everyone. It captures our mission to develop therapies that can reach and positively impact everyone. We aim to restore neuronal health for those suffering from devastating neurological diseases, including Alzheimer’s disease, so that patients can regain their memories, lives, and family relationships.</w:t>
      </w:r>
    </w:p>
    <w:p>
      <w:pPr>
        <w:spacing w:after="0" w:line="164" w:lineRule="exact"/>
        <w:rPr>
          <w:sz w:val="20"/>
          <w:szCs w:val="20"/>
          <w:color w:val="auto"/>
        </w:rPr>
      </w:pPr>
    </w:p>
    <w:p>
      <w:pPr>
        <w:ind w:firstLine="569"/>
        <w:spacing w:after="0" w:line="237"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mild-to-moderate AD with topline results expected by the end of 2022. In November 2020, we initiated ACT-AD, a P300 Phase 2 clinical trial, in mild-to-moderate AD to better understand the overall effects of ATH-1017 on working memory processing speed and cognitive measures, with topline results expected by early 2022.</w:t>
      </w:r>
    </w:p>
    <w:p>
      <w:pPr>
        <w:spacing w:after="0" w:line="182" w:lineRule="exact"/>
        <w:rPr>
          <w:sz w:val="20"/>
          <w:szCs w:val="20"/>
          <w:color w:val="auto"/>
        </w:rPr>
      </w:pPr>
    </w:p>
    <w:p>
      <w:pPr>
        <w:ind w:right="40" w:firstLine="569"/>
        <w:spacing w:after="0" w:line="238"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treatment increased high frequency gamma power activity with a single dose in both young healthy volunteers and elderly healthy volunteers. Gamma power also improved in AD subjects. P300 latency, a functional measure of working memory processing speed and executive function that highly correlates with cognition, was also substantially improved.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These results suggest that ATH-1017 has the potential to substantially improve synaptic connectivity and brain function in AD subjects.</w:t>
      </w:r>
    </w:p>
    <w:p>
      <w:pPr>
        <w:spacing w:after="0" w:line="183" w:lineRule="exact"/>
        <w:rPr>
          <w:sz w:val="20"/>
          <w:szCs w:val="20"/>
          <w:color w:val="auto"/>
        </w:rPr>
      </w:pPr>
    </w:p>
    <w:p>
      <w:pPr>
        <w:ind w:right="20" w:firstLine="569"/>
        <w:spacing w:after="0" w:line="245" w:lineRule="auto"/>
        <w:rPr>
          <w:sz w:val="20"/>
          <w:szCs w:val="20"/>
          <w:color w:val="auto"/>
        </w:rPr>
      </w:pPr>
      <w:r>
        <w:rPr>
          <w:rFonts w:ascii="Arial" w:cs="Arial" w:eastAsia="Arial" w:hAnsi="Arial"/>
          <w:sz w:val="18"/>
          <w:szCs w:val="18"/>
          <w:color w:val="auto"/>
        </w:rPr>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HGF/MET growth factor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7" w:name="page108"/>
    <w:bookmarkEnd w:id="107"/>
    <w:p>
      <w:pPr>
        <w:ind w:right="200"/>
        <w:spacing w:after="0" w:line="276" w:lineRule="auto"/>
        <w:rPr>
          <w:sz w:val="20"/>
          <w:szCs w:val="20"/>
          <w:color w:val="auto"/>
        </w:rPr>
      </w:pPr>
      <w:r>
        <w:rPr>
          <w:rFonts w:ascii="Arial" w:cs="Arial" w:eastAsia="Arial" w:hAnsi="Arial"/>
          <w:sz w:val="18"/>
          <w:szCs w:val="18"/>
          <w:color w:val="auto"/>
        </w:rPr>
        <w:t>the brain will lead to increased synaptic density, network recovery and information transmission in the brain, which could ultimately result in cognitive improvement and clinical benefit.</w:t>
      </w:r>
    </w:p>
    <w:p>
      <w:pPr>
        <w:spacing w:after="0" w:line="145" w:lineRule="exact"/>
        <w:rPr>
          <w:sz w:val="20"/>
          <w:szCs w:val="20"/>
          <w:color w:val="auto"/>
        </w:rPr>
      </w:pPr>
    </w:p>
    <w:p>
      <w:pPr>
        <w:ind w:right="340" w:firstLine="569"/>
        <w:spacing w:after="0" w:line="248" w:lineRule="auto"/>
        <w:rPr>
          <w:sz w:val="20"/>
          <w:szCs w:val="20"/>
          <w:color w:val="auto"/>
        </w:rPr>
      </w:pPr>
      <w:r>
        <w:rPr>
          <w:rFonts w:ascii="Arial" w:cs="Arial" w:eastAsia="Arial" w:hAnsi="Arial"/>
          <w:sz w:val="18"/>
          <w:szCs w:val="18"/>
          <w:color w:val="auto"/>
        </w:rPr>
        <w:t>ATH-1017 is designed to address the broader dementia patient population beyond AD and we are planning to initiate a Phase 2 clinical trial for the treatment of Parkinson’s disease dementia, or PDD, by the end of 2021. Dementia is a significant unmet medical need affecting over 50 million worldwide. Given underlying healthcare trends, specifically the aging population globally, dementia patients are expected to grow significantly and almost triple by 2050.</w:t>
      </w:r>
    </w:p>
    <w:p>
      <w:pPr>
        <w:spacing w:after="0" w:line="170" w:lineRule="exact"/>
        <w:rPr>
          <w:sz w:val="20"/>
          <w:szCs w:val="20"/>
          <w:color w:val="auto"/>
        </w:rPr>
      </w:pPr>
    </w:p>
    <w:p>
      <w:pPr>
        <w:ind w:right="80" w:firstLine="569"/>
        <w:spacing w:after="0"/>
        <w:rPr>
          <w:sz w:val="20"/>
          <w:szCs w:val="20"/>
          <w:color w:val="auto"/>
        </w:rPr>
      </w:pPr>
      <w:r>
        <w:rPr>
          <w:rFonts w:ascii="Arial" w:cs="Arial" w:eastAsia="Arial" w:hAnsi="Arial"/>
          <w:sz w:val="18"/>
          <w:szCs w:val="18"/>
          <w:color w:val="auto"/>
        </w:rPr>
        <w:t>We are pioneering the use of small molecules that are designed to promote hepatocyte growth factor/MET, or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180" w:lineRule="exact"/>
        <w:rPr>
          <w:sz w:val="20"/>
          <w:szCs w:val="20"/>
          <w:color w:val="auto"/>
        </w:rPr>
      </w:pPr>
    </w:p>
    <w:p>
      <w:pPr>
        <w:ind w:firstLine="569"/>
        <w:spacing w:after="0" w:line="207" w:lineRule="exact"/>
        <w:rPr>
          <w:sz w:val="20"/>
          <w:szCs w:val="20"/>
          <w:color w:val="auto"/>
        </w:rPr>
      </w:pPr>
      <w:r>
        <w:rPr>
          <w:rFonts w:ascii="Arial" w:cs="Arial" w:eastAsia="Arial" w:hAnsi="Arial"/>
          <w:sz w:val="18"/>
          <w:szCs w:val="18"/>
          <w:color w:val="auto"/>
        </w:rPr>
        <w:t>It is our goal to establish in current and future clinical trials that our ATH platform, which is designed to enhance the body’s repair mechanism of HGF/MET, can potentially address a wide range of clinical applications ranging from CNS disorders, such as AD, PDD, multiple sclerosis, or MS, and amyotrophic lateral sclerosis, or ALS, to more peripheral conditions such as neuropathy. In addition, we believe that HGF/MET biology plays a role in neuropsychiatric indications such as depression and anxiety. Currently we have several preclinical candidates for non-AD indications, including ATH-1018, which is being developed to address peripheral indications, and ATH-1019 / ATH</w:t>
      </w:r>
      <w:r>
        <w:rPr>
          <w:rFonts w:ascii="MS PGothic" w:cs="MS PGothic" w:eastAsia="MS PGothic" w:hAnsi="MS PGothic"/>
          <w:sz w:val="18"/>
          <w:szCs w:val="18"/>
          <w:color w:val="auto"/>
        </w:rPr>
        <w:t>‑</w:t>
      </w:r>
      <w:r>
        <w:rPr>
          <w:rFonts w:ascii="Arial" w:cs="Arial" w:eastAsia="Arial" w:hAnsi="Arial"/>
          <w:sz w:val="18"/>
          <w:szCs w:val="18"/>
          <w:color w:val="auto"/>
        </w:rPr>
        <w:t>1020 compounds, which are being advanced to address neuropsychiatric indications. ATH</w:t>
      </w:r>
      <w:r>
        <w:rPr>
          <w:rFonts w:ascii="MS PGothic" w:cs="MS PGothic" w:eastAsia="MS PGothic" w:hAnsi="MS PGothic"/>
          <w:sz w:val="18"/>
          <w:szCs w:val="18"/>
          <w:color w:val="auto"/>
        </w:rPr>
        <w:t>‑</w:t>
      </w:r>
      <w:r>
        <w:rPr>
          <w:rFonts w:ascii="Arial" w:cs="Arial" w:eastAsia="Arial" w:hAnsi="Arial"/>
          <w:sz w:val="18"/>
          <w:szCs w:val="18"/>
          <w:color w:val="auto"/>
        </w:rPr>
        <w:t>1020 is a new compound that recently moved from the discovery to the development stage. Similar to ATH</w:t>
      </w:r>
      <w:r>
        <w:rPr>
          <w:rFonts w:ascii="MS PGothic" w:cs="MS PGothic" w:eastAsia="MS PGothic" w:hAnsi="MS PGothic"/>
          <w:sz w:val="18"/>
          <w:szCs w:val="18"/>
          <w:color w:val="auto"/>
        </w:rPr>
        <w:t>‑</w:t>
      </w:r>
      <w:r>
        <w:rPr>
          <w:rFonts w:ascii="Arial" w:cs="Arial" w:eastAsia="Arial" w:hAnsi="Arial"/>
          <w:sz w:val="18"/>
          <w:szCs w:val="18"/>
          <w:color w:val="auto"/>
        </w:rPr>
        <w:t>1019, it is designed to activate HGF/MET and is neuroactive in animal models. Late-stage non-clinical development work and potentially early clinical studies will support decisions on selection of the lead product candidate and indication moving forward. Our ATH platform allows us the flexibility to engineer compounds that are BBB-penetrating or that generate specific activity in the periphery and molecules are suitable for subcutaneous or oral route of administration.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Our Pipeline</w:t>
      </w:r>
    </w:p>
    <w:p>
      <w:pPr>
        <w:spacing w:after="0" w:line="106"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Figure 1 below illustrates the current development stage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214745" cy="33864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14745" cy="338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0" w:hanging="432"/>
        <w:spacing w:after="0"/>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109" w:lineRule="exact"/>
        <w:rPr>
          <w:rFonts w:ascii="Arial" w:cs="Arial" w:eastAsia="Arial" w:hAnsi="Arial"/>
          <w:sz w:val="14"/>
          <w:szCs w:val="14"/>
          <w:color w:val="auto"/>
        </w:rPr>
      </w:pPr>
    </w:p>
    <w:p>
      <w:pPr>
        <w:ind w:left="440" w:hanging="432"/>
        <w:spacing w:after="0"/>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ATH-1017 for AD is moving from Phase 1b to a Phase 2/3 clinical trial that may provide pivotal data in support of registration based on discussions with FDA.</w:t>
      </w:r>
    </w:p>
    <w:p>
      <w:pPr>
        <w:spacing w:after="0" w:line="109" w:lineRule="exact"/>
        <w:rPr>
          <w:rFonts w:ascii="Arial" w:cs="Arial" w:eastAsia="Arial" w:hAnsi="Arial"/>
          <w:sz w:val="14"/>
          <w:szCs w:val="14"/>
          <w:color w:val="auto"/>
        </w:rPr>
      </w:pPr>
    </w:p>
    <w:p>
      <w:pPr>
        <w:jc w:val="both"/>
        <w:ind w:left="440" w:right="100" w:hanging="432"/>
        <w:spacing w:after="0" w:line="266" w:lineRule="auto"/>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6" w:lineRule="exact"/>
        <w:rPr>
          <w:sz w:val="20"/>
          <w:szCs w:val="20"/>
          <w:color w:val="auto"/>
        </w:rPr>
      </w:pPr>
    </w:p>
    <w:p>
      <w:pPr>
        <w:ind w:right="680" w:firstLine="576"/>
        <w:spacing w:after="0" w:line="276"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37" w:lineRule="exact"/>
        <w:rPr>
          <w:sz w:val="20"/>
          <w:szCs w:val="20"/>
          <w:color w:val="auto"/>
        </w:rPr>
      </w:pPr>
    </w:p>
    <w:p>
      <w:pPr>
        <w:ind w:left="1300" w:hanging="442"/>
        <w:spacing w:after="0" w:line="242" w:lineRule="auto"/>
        <w:tabs>
          <w:tab w:leader="none" w:pos="13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Advance ATH-1017 through clinical development for AD</w:t>
      </w:r>
      <w:r>
        <w:rPr>
          <w:rFonts w:ascii="Arial" w:cs="Arial" w:eastAsia="Arial" w:hAnsi="Arial"/>
          <w:sz w:val="18"/>
          <w:szCs w:val="18"/>
          <w:color w:val="auto"/>
        </w:rPr>
        <w:t>. We believe ATH-1017 has the potential to rapidly improve 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durably improve the lives of the millions of people suffering from AD who currently have limited therapeutic options. We have initiated one clinical trial for AD in September 2020 and an additional clinical trial for AD in November 2020 to potentially accelerate our development timelines and further inform our development decisions. The first of these clinical trials is LIFT-AD, our Phase 2/3 clinical trial evaluating the holistic impact of ATH-1017, initiated in September 2020 with topline results expected by the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109" w:name="page110"/>
    <w:bookmarkEnd w:id="109"/>
    <w:p>
      <w:pPr>
        <w:jc w:val="both"/>
        <w:ind w:left="1300" w:right="200"/>
        <w:spacing w:after="0" w:line="224" w:lineRule="exact"/>
        <w:rPr>
          <w:sz w:val="20"/>
          <w:szCs w:val="20"/>
          <w:color w:val="auto"/>
        </w:rPr>
      </w:pPr>
      <w:r>
        <w:rPr>
          <w:rFonts w:ascii="Arial" w:cs="Arial" w:eastAsia="Arial" w:hAnsi="Arial"/>
          <w:sz w:val="18"/>
          <w:szCs w:val="18"/>
          <w:color w:val="auto"/>
        </w:rPr>
        <w:t>end of 2022, which results may provide pivotal data in support of registration. The second clinical trial is our ACT</w:t>
      </w:r>
      <w:r>
        <w:rPr>
          <w:rFonts w:ascii="MS PGothic" w:cs="MS PGothic" w:eastAsia="MS PGothic" w:hAnsi="MS PGothic"/>
          <w:sz w:val="18"/>
          <w:szCs w:val="18"/>
          <w:color w:val="auto"/>
        </w:rPr>
        <w:t>‑</w:t>
      </w:r>
      <w:r>
        <w:rPr>
          <w:rFonts w:ascii="Arial" w:cs="Arial" w:eastAsia="Arial" w:hAnsi="Arial"/>
          <w:sz w:val="18"/>
          <w:szCs w:val="18"/>
          <w:color w:val="auto"/>
        </w:rPr>
        <w:t xml:space="preserve"> AD P300 Phase 2 clinical trial for AD evaluating the overall effects of ATH-1017 on working memory processing speed and cognitive measures, initiated in November 2020 with topline results expected by early 2022.</w:t>
      </w:r>
    </w:p>
    <w:p>
      <w:pPr>
        <w:spacing w:after="0" w:line="70" w:lineRule="exact"/>
        <w:rPr>
          <w:sz w:val="20"/>
          <w:szCs w:val="20"/>
          <w:color w:val="auto"/>
        </w:rPr>
      </w:pPr>
    </w:p>
    <w:p>
      <w:pPr>
        <w:ind w:left="1300" w:right="20" w:hanging="442"/>
        <w:spacing w:after="0" w:line="241" w:lineRule="auto"/>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Expand the development of ATH-1017 to include additional indications and delivery methods</w:t>
      </w:r>
      <w:r>
        <w:rPr>
          <w:rFonts w:ascii="Arial" w:cs="Arial" w:eastAsia="Arial" w:hAnsi="Arial"/>
          <w:sz w:val="18"/>
          <w:szCs w:val="18"/>
          <w:color w:val="auto"/>
        </w:rPr>
        <w:t>. We are developing ATH-1017</w:t>
      </w:r>
      <w:r>
        <w:rPr>
          <w:rFonts w:ascii="Arial" w:cs="Arial" w:eastAsia="Arial" w:hAnsi="Arial"/>
          <w:sz w:val="18"/>
          <w:szCs w:val="18"/>
          <w:i w:val="1"/>
          <w:iCs w:val="1"/>
          <w:color w:val="auto"/>
        </w:rPr>
        <w:t xml:space="preserve"> </w:t>
      </w:r>
      <w:r>
        <w:rPr>
          <w:rFonts w:ascii="Arial" w:cs="Arial" w:eastAsia="Arial" w:hAnsi="Arial"/>
          <w:sz w:val="18"/>
          <w:szCs w:val="18"/>
          <w:color w:val="auto"/>
        </w:rPr>
        <w:t>as a treatment for mild-to-moderate AD, but over time we aim to expand development to cover all stages of AD. Beyond AD, we believe that ATH-1017 can ultimately address the broader dementia patient population. In an effort to begin this expansion, we are planning to conduct a Phase 2 clinical trial for PDD to commence by the end of 2021. ATH-1017 is initially being developed to be delivered via pre-filled syringes, and we are exploring the development of alternative delivery devices, including multi-dose pen injectors, to increase patient comfort and ease of use for patients and caregivers, ultimately improving patient compliance and outcomes.</w:t>
      </w:r>
    </w:p>
    <w:p>
      <w:pPr>
        <w:spacing w:after="0" w:line="69" w:lineRule="exact"/>
        <w:rPr>
          <w:rFonts w:ascii="Times New Roman" w:cs="Times New Roman" w:eastAsia="Times New Roman" w:hAnsi="Times New Roman"/>
          <w:sz w:val="18"/>
          <w:szCs w:val="18"/>
          <w:color w:val="auto"/>
        </w:rPr>
      </w:pPr>
    </w:p>
    <w:p>
      <w:pPr>
        <w:ind w:left="1300" w:right="140" w:hanging="442"/>
        <w:spacing w:after="0" w:line="244" w:lineRule="auto"/>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Focus on translational and functional endpoints to efficiently develop product candidates</w:t>
      </w:r>
      <w:r>
        <w:rPr>
          <w:rFonts w:ascii="Arial" w:cs="Arial" w:eastAsia="Arial" w:hAnsi="Arial"/>
          <w:sz w:val="18"/>
          <w:szCs w:val="18"/>
          <w:color w:val="auto"/>
        </w:rPr>
        <w:t>. We intend to use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translatable and predictive measures, such as EEG and event-related potential, or ERP, methods, early in development to guide clinical dose decisions, provide predictable measures for potential clinical benefit, and advance product candidates through clinical development. We have focused on changes in cognitive processing and function, coupled with measures of brain function with EEG and ERP, allowing for more efficient and cost-effective clinical trials.</w:t>
      </w:r>
    </w:p>
    <w:p>
      <w:pPr>
        <w:spacing w:after="0" w:line="6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Continue developing additional pipeline programs and utilize our ATH platform for further drug discovery</w:t>
      </w:r>
      <w:r>
        <w:rPr>
          <w:rFonts w:ascii="Arial" w:cs="Arial" w:eastAsia="Arial" w:hAnsi="Arial"/>
          <w:sz w:val="18"/>
          <w:szCs w:val="18"/>
          <w:color w:val="auto"/>
        </w:rPr>
        <w:t>. Our strategy is to</w:t>
      </w:r>
      <w:r>
        <w:rPr>
          <w:rFonts w:ascii="Arial" w:cs="Arial" w:eastAsia="Arial" w:hAnsi="Arial"/>
          <w:sz w:val="18"/>
          <w:szCs w:val="18"/>
          <w:i w:val="1"/>
          <w:iCs w:val="1"/>
          <w:color w:val="auto"/>
        </w:rPr>
        <w:t xml:space="preserve"> </w:t>
      </w:r>
      <w:r>
        <w:rPr>
          <w:rFonts w:ascii="Arial" w:cs="Arial" w:eastAsia="Arial" w:hAnsi="Arial"/>
          <w:sz w:val="18"/>
          <w:szCs w:val="18"/>
          <w:color w:val="auto"/>
        </w:rPr>
        <w:t>only advance product candidates that show both strong translation and early predictive clinical data. We plan to continue growing our discovery organization in the field of neuronal health and regeneration by building on our strong foundational knowledge of neuronal network, behavior, and translatable measures. It is our goal to establish in current and future clinical trials that our ATH platform, which is designed to enhance the body’s repair mechanism of HGF/MET, can potentially address a wide range of clinical applications ranging from CNS disorders, such as AD, PDD, MS, and ALS, to more peripheral conditions such as neuropathy. In addition, we believe that HGF/MET biology plays a role in neuropsychiatric indications such as depression and anxiety.</w:t>
      </w:r>
    </w:p>
    <w:p>
      <w:pPr>
        <w:spacing w:after="0" w:line="71" w:lineRule="exact"/>
        <w:rPr>
          <w:rFonts w:ascii="Times New Roman" w:cs="Times New Roman" w:eastAsia="Times New Roman" w:hAnsi="Times New Roman"/>
          <w:sz w:val="18"/>
          <w:szCs w:val="18"/>
          <w:color w:val="auto"/>
        </w:rPr>
      </w:pPr>
    </w:p>
    <w:p>
      <w:pPr>
        <w:ind w:left="1300" w:right="20" w:hanging="442"/>
        <w:spacing w:after="0" w:line="248" w:lineRule="auto"/>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Optimize the value of ATH-1017 and other candidates in major markets</w:t>
      </w:r>
      <w:r>
        <w:rPr>
          <w:rFonts w:ascii="Arial" w:cs="Arial" w:eastAsia="Arial" w:hAnsi="Arial"/>
          <w:sz w:val="18"/>
          <w:szCs w:val="18"/>
          <w:color w:val="auto"/>
        </w:rPr>
        <w:t>. We own worldwide rights to ATH-1017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our pipeline of small molecule candidates. We plan to develop and pursue approval of ATH-1017 and other future candidates in major markets. Where appropriate, we may use strategic collaborations or partnerships to accelerate development and maximize the commercial potential of our programs.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Addressing the Key Aspects of Neuronal Health and Alzheimer’s Disease</w:t>
      </w:r>
    </w:p>
    <w:p>
      <w:pPr>
        <w:spacing w:after="0" w:line="106"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Maintenance of neuronal health is critical to preserving normal neuronal and brain function. Several neurodegenerative diseases, such as AD, PDD, MS, and ALS, share a common consequence of continued neuronal damage and death that ultimately lead to progressive impairment of the neuronal network and loss of both cognitive and general functions. Globally, these diseases affect millions of people.</w:t>
      </w:r>
    </w:p>
    <w:p>
      <w:pPr>
        <w:spacing w:after="0" w:line="164" w:lineRule="exact"/>
        <w:rPr>
          <w:sz w:val="20"/>
          <w:szCs w:val="20"/>
          <w:color w:val="auto"/>
        </w:rPr>
      </w:pPr>
    </w:p>
    <w:p>
      <w:pPr>
        <w:ind w:right="60" w:firstLine="576"/>
        <w:spacing w:after="0" w:line="268" w:lineRule="auto"/>
        <w:rPr>
          <w:sz w:val="20"/>
          <w:szCs w:val="20"/>
          <w:color w:val="auto"/>
        </w:rPr>
      </w:pPr>
      <w:r>
        <w:rPr>
          <w:rFonts w:ascii="Arial" w:cs="Arial" w:eastAsia="Arial" w:hAnsi="Arial"/>
          <w:sz w:val="17"/>
          <w:szCs w:val="17"/>
          <w:color w:val="auto"/>
        </w:rPr>
        <w:t>AD, our initial focus, is a progressive dementia caused by widespread neurodegeneration. The causal pathophysiological mechanism of AD has yet to be identified. This fundamental lack of understanding, combined with the complex range of pathological features, has led to a history of late-stage drug development failures. Regardless of the underlying pathology, it has been established that the loss of synaptic density and breakdown of the neuronal network leads to cognitive impairment in subjects with AD and other forms of dementia.</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110" w:name="page111"/>
    <w:bookmarkEnd w:id="110"/>
    <w:p>
      <w:pPr>
        <w:ind w:right="240" w:firstLine="576"/>
        <w:spacing w:after="0" w:line="243" w:lineRule="auto"/>
        <w:rPr>
          <w:sz w:val="20"/>
          <w:szCs w:val="20"/>
          <w:color w:val="auto"/>
        </w:rPr>
      </w:pPr>
      <w:r>
        <w:rPr>
          <w:rFonts w:ascii="Arial" w:cs="Arial" w:eastAsia="Arial" w:hAnsi="Arial"/>
          <w:sz w:val="18"/>
          <w:szCs w:val="18"/>
          <w:color w:val="auto"/>
        </w:rPr>
        <w:t>There is a vast unmet need for effective pharmacological treatment for AD. Despite significant investments in drug discovery programs and strategies to treat AD there have been no approved therapeutics developed that can boost cognition, alter the course of the disease, and provide long-term symptomatic improvement. There are currently four marketed drugs for the management of AD symptoms: donepezil, galantamine, and rivastigmine (all acting on cholinergic pathways) and memantine (targeting the NMDA receptor and glutaminergic pathways). The long-term efficacy for these drugs has not been proven and they provide only temporary and modest clinical improvement.</w:t>
      </w:r>
    </w:p>
    <w:p>
      <w:pPr>
        <w:spacing w:after="0" w:line="174"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Additionally, there are currently a number of experimental therapeutic agents for AD in various stages of development with clinical testing directed towards amyloid-beta, or Aβ, clearance, and inhibition of Tau protein aggregation or phosphorylated-Tau, or pTau, clearance. Recent clinical failures involving Aβ clearance highlight the incomplete understanding of the pathological processes in AD and clearly demonstrate the need for novel strategies to fight the disease.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HGF/MET Pathway – A Crucial System for Regeneration</w:t>
      </w:r>
    </w:p>
    <w:p>
      <w:pPr>
        <w:spacing w:after="0" w:line="104" w:lineRule="exact"/>
        <w:rPr>
          <w:sz w:val="20"/>
          <w:szCs w:val="20"/>
          <w:color w:val="auto"/>
        </w:rPr>
      </w:pPr>
    </w:p>
    <w:p>
      <w:pPr>
        <w:ind w:right="280" w:firstLine="576"/>
        <w:spacing w:after="0" w:line="268" w:lineRule="auto"/>
        <w:rPr>
          <w:sz w:val="20"/>
          <w:szCs w:val="20"/>
          <w:color w:val="auto"/>
        </w:rPr>
      </w:pPr>
      <w:r>
        <w:rPr>
          <w:rFonts w:ascii="Arial" w:cs="Arial" w:eastAsia="Arial" w:hAnsi="Arial"/>
          <w:sz w:val="17"/>
          <w:szCs w:val="17"/>
          <w:color w:val="auto"/>
        </w:rPr>
        <w:t>The HGF/MET system has diverse roles relevant for synaptic function, network recovery, survival, and regeneration. We believe activation of HGF/MET offers a unique opportunity to address many aspects of AD pathology through a single target approach. Promoting the HGF/MET system has been shown to have multiple downstream beneficial effects relevant to improving symptoms and reversing the neurodegenerative process, making it an ideal target for complex neurodegenerative diseases, as illustrated below in Figure 2.</w:t>
      </w:r>
    </w:p>
    <w:p>
      <w:pPr>
        <w:spacing w:after="0" w:line="153" w:lineRule="exact"/>
        <w:rPr>
          <w:sz w:val="20"/>
          <w:szCs w:val="20"/>
          <w:color w:val="auto"/>
        </w:rPr>
      </w:pPr>
    </w:p>
    <w:p>
      <w:pPr>
        <w:ind w:firstLine="569"/>
        <w:spacing w:after="0" w:line="243" w:lineRule="auto"/>
        <w:rPr>
          <w:sz w:val="20"/>
          <w:szCs w:val="20"/>
          <w:color w:val="auto"/>
        </w:rPr>
      </w:pPr>
      <w:r>
        <w:rPr>
          <w:rFonts w:ascii="Arial" w:cs="Arial" w:eastAsia="Arial" w:hAnsi="Arial"/>
          <w:sz w:val="18"/>
          <w:szCs w:val="18"/>
          <w:i w:val="1"/>
          <w:iCs w:val="1"/>
          <w:color w:val="auto"/>
        </w:rPr>
        <w:t xml:space="preserve">Figure 2. Normal HGF/MET System and Pathway. </w:t>
      </w:r>
      <w:r>
        <w:rPr>
          <w:rFonts w:ascii="Arial" w:cs="Arial" w:eastAsia="Arial" w:hAnsi="Arial"/>
          <w:sz w:val="18"/>
          <w:szCs w:val="18"/>
          <w:color w:val="auto"/>
        </w:rPr>
        <w:t>HGF is a protein ligand that binds to MET, which is a receptor expressed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surface of neurons, glia, and vascular cells in the brain. HGF binding converts MET to an active state and initiates processes including changes in gene expression that help maintain normal cellular health and function. In the brain, the HGF/MET system contributes to neuronal signaling and healthy function including regulating N-methyl-D-aspartate, or NMDA, receptor activity, modulating glial activity to regulate inflammation, and helping maintain cerebral blood flow. These multiple downstream effects of the HGF/MET system play critical roles in maintaining healthy connectivity and brain function.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1485265</wp:posOffset>
            </wp:positionH>
            <wp:positionV relativeFrom="page">
              <wp:posOffset>380365</wp:posOffset>
            </wp:positionV>
            <wp:extent cx="4551680" cy="64293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4551680" cy="642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87630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2" w:name="page113"/>
    <w:bookmarkEnd w:id="112"/>
    <w:p>
      <w:pPr>
        <w:ind w:firstLine="576"/>
        <w:spacing w:after="0" w:line="248" w:lineRule="auto"/>
        <w:rPr>
          <w:sz w:val="20"/>
          <w:szCs w:val="20"/>
          <w:color w:val="auto"/>
        </w:rPr>
      </w:pPr>
      <w:r>
        <w:rPr>
          <w:rFonts w:ascii="Arial" w:cs="Arial" w:eastAsia="Arial" w:hAnsi="Arial"/>
          <w:sz w:val="18"/>
          <w:szCs w:val="18"/>
          <w:color w:val="auto"/>
        </w:rPr>
        <w:t>The multi-modal effect of HGF/MET across the nervous, vascular, and immune systems may address the impact of neurodegnerative diseases where neuronal health, cerebral blood flow, and excess inflammation play a significant role in disease progression. Promotion of the HGF/MET system has the potential to directly halt neurodegeneration, induce regeneration, improve cerebral blood flow, and reduce inflammation.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Scientific Data Support HGF/MET’s Role in Maintaining Neuronal Health and Function</w:t>
      </w:r>
    </w:p>
    <w:p>
      <w:pPr>
        <w:spacing w:after="0" w:line="104"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Normal MET expression is crucial in maintaining the healthy adult brain. Multiple studies have demonstrated that the MET system is strictly regulated to have a stable expression pattern. MET is one of a small number of uniquely regulated genes with very high differential stability in its quantitative pattern of mRNA gene transcript levels across hundreds of structures throughout the neurotypical healthy adult brain. In fact, compared to approximately 17,000 other human genes, the MET receptor has the most differentially stable expression pattern in the cortex of the normal adult human brain. The cortex is a brain region that has important roles in learning, memory, and executive functioning, and this stable expression pattern demonstrates that the MET receptor is an important signature of a healthy brain.</w:t>
      </w:r>
    </w:p>
    <w:p>
      <w:pPr>
        <w:spacing w:after="0" w:line="17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Additionally, although MET expression is very stable in healthy adults, expression is reduced in AD subjects, particularly in the hippocampus, as illustrated below in Figure 3. Previous studies have shown that AD subjects have approximately 25%-75% less MET expression in different brain regions compared to healthy age-matched adults. This reduction highlights another rationale to rescue the activity of this critical regenerative system. The HGF/MET system is neuroprotective in models of neurodegenerative disorders, including AD, PDD, MS, and ALS. Amplification of the HGF/MET system has the potential to provide critical neuroprotective and neuroregenerative effects to rescue damaged and dysfunctional neurons and promote recovery of cognitive functions.</w:t>
      </w:r>
    </w:p>
    <w:p>
      <w:pPr>
        <w:spacing w:after="0" w:line="174" w:lineRule="exact"/>
        <w:rPr>
          <w:sz w:val="20"/>
          <w:szCs w:val="20"/>
          <w:color w:val="auto"/>
        </w:rPr>
      </w:pPr>
    </w:p>
    <w:p>
      <w:pPr>
        <w:ind w:right="360" w:firstLine="576"/>
        <w:spacing w:after="0" w:line="255" w:lineRule="auto"/>
        <w:rPr>
          <w:sz w:val="20"/>
          <w:szCs w:val="20"/>
          <w:color w:val="auto"/>
        </w:rPr>
      </w:pPr>
      <w:r>
        <w:rPr>
          <w:rFonts w:ascii="Arial" w:cs="Arial" w:eastAsia="Arial" w:hAnsi="Arial"/>
          <w:sz w:val="18"/>
          <w:szCs w:val="18"/>
          <w:i w:val="1"/>
          <w:iCs w:val="1"/>
          <w:color w:val="auto"/>
        </w:rPr>
        <w:t xml:space="preserve">Figure 3. Neuronal MET Expression Is Reduced in the Hippocampus of AD Subjects. </w:t>
      </w:r>
      <w:r>
        <w:rPr>
          <w:rFonts w:ascii="Arial" w:cs="Arial" w:eastAsia="Arial" w:hAnsi="Arial"/>
          <w:sz w:val="18"/>
          <w:szCs w:val="18"/>
          <w:color w:val="auto"/>
        </w:rPr>
        <w:t>A study measuring MET mRNA levels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hippocampus of AD subjects shows reduced MET expression compared to healthy samples, suggesting that the reduced activity of this critical regenerative system may potentially play a role in the progressive neurodegeneration in AD</w:t>
      </w:r>
      <w:r>
        <w:rPr>
          <w:rFonts w:ascii="Arial" w:cs="Arial" w:eastAsia="Arial" w:hAnsi="Arial"/>
          <w:sz w:val="18"/>
          <w:szCs w:val="18"/>
          <w:i w:val="1"/>
          <w:i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MET and mRNA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1856105</wp:posOffset>
            </wp:positionV>
            <wp:extent cx="7283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227330</wp:posOffset>
            </wp:positionV>
            <wp:extent cx="822960" cy="1543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296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Hokama et al., 2014</w:t>
      </w:r>
      <w:r>
        <w:rPr>
          <w:rFonts w:ascii="Arial" w:cs="Arial" w:eastAsia="Arial" w:hAnsi="Arial"/>
          <w:sz w:val="14"/>
          <w:szCs w:val="14"/>
          <w:color w:val="auto"/>
        </w:rPr>
        <w:t>.</w:t>
      </w:r>
    </w:p>
    <w:p>
      <w:pPr>
        <w:spacing w:after="0" w:line="207"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with examples shown in Figure 4 below. Notably, promotion of the HGF/MET system improved memory in AD and PDD models and improvement in neuronal survival was reported in various disease models including MS and ALS. These studies indicate that an enhanced HGF/MET system has substantial beneficial effects and support the HGF/MET system as a therapeutic target in a diverse array of nervous system disorders.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13" w:name="page114"/>
    <w:bookmarkEnd w:id="113"/>
    <w:p>
      <w:pPr>
        <w:ind w:right="20" w:firstLine="576"/>
        <w:spacing w:after="0" w:line="245" w:lineRule="auto"/>
        <w:rPr>
          <w:sz w:val="20"/>
          <w:szCs w:val="20"/>
          <w:color w:val="auto"/>
        </w:rPr>
      </w:pPr>
      <w:r>
        <w:rPr>
          <w:rFonts w:ascii="Arial" w:cs="Arial" w:eastAsia="Arial" w:hAnsi="Arial"/>
          <w:sz w:val="18"/>
          <w:szCs w:val="18"/>
          <w:i w:val="1"/>
          <w:iCs w:val="1"/>
          <w:color w:val="auto"/>
        </w:rPr>
        <w:t xml:space="preserve">Figure 4. Effects of HGF Treatment in Animal Models of CNS Disorders. </w:t>
      </w:r>
      <w:r>
        <w:rPr>
          <w:rFonts w:ascii="Arial" w:cs="Arial" w:eastAsia="Arial" w:hAnsi="Arial"/>
          <w:sz w:val="18"/>
          <w:szCs w:val="18"/>
          <w:color w:val="auto"/>
        </w:rPr>
        <w:t>Below is a list of preclinical studies conducted by third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shows the beneficial effects of HGF/MET on functional endpoint or processes that are critical in recovering neuronal health and function. These studies demonstrate that boosting the activity of the HGF/MET system, whether through direct injection of HGF or increasing expression of HGF by gene therapy techniques, promotes neuronal health and regeneration, and rescues memory and function in several animal models of CNS disorders.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Borders>
              <w:top w:val="single" w:sz="8" w:color="5B9BD5"/>
              <w:bottom w:val="single" w:sz="8" w:color="5B9BD5"/>
            </w:tcBorders>
          </w:tcPr>
          <w:p>
            <w:pPr>
              <w:jc w:val="center"/>
              <w:spacing w:after="0"/>
              <w:rPr>
                <w:sz w:val="20"/>
                <w:szCs w:val="20"/>
                <w:color w:val="auto"/>
              </w:rPr>
            </w:pPr>
            <w:r>
              <w:rPr>
                <w:rFonts w:ascii="Arial" w:cs="Arial" w:eastAsia="Arial" w:hAnsi="Arial"/>
                <w:sz w:val="13"/>
                <w:szCs w:val="13"/>
                <w:b w:val="1"/>
                <w:bCs w:val="1"/>
                <w:color w:val="auto"/>
                <w:w w:val="97"/>
              </w:rPr>
              <w:t>Disease</w:t>
            </w:r>
          </w:p>
        </w:tc>
        <w:tc>
          <w:tcPr>
            <w:tcW w:w="2480" w:type="dxa"/>
            <w:vAlign w:val="bottom"/>
            <w:tcBorders>
              <w:top w:val="single" w:sz="8" w:color="5B9BD5"/>
              <w:bottom w:val="single" w:sz="8" w:color="5B9BD5"/>
            </w:tcBorders>
          </w:tcPr>
          <w:p>
            <w:pPr>
              <w:jc w:val="center"/>
              <w:ind w:left="97"/>
              <w:spacing w:after="0"/>
              <w:rPr>
                <w:sz w:val="20"/>
                <w:szCs w:val="20"/>
                <w:color w:val="auto"/>
              </w:rPr>
            </w:pPr>
            <w:r>
              <w:rPr>
                <w:rFonts w:ascii="Arial" w:cs="Arial" w:eastAsia="Arial" w:hAnsi="Arial"/>
                <w:sz w:val="13"/>
                <w:szCs w:val="13"/>
                <w:b w:val="1"/>
                <w:bCs w:val="1"/>
                <w:color w:val="auto"/>
                <w:w w:val="96"/>
              </w:rPr>
              <w:t>Animal model (species)</w:t>
            </w:r>
          </w:p>
        </w:tc>
        <w:tc>
          <w:tcPr>
            <w:tcW w:w="1920" w:type="dxa"/>
            <w:vAlign w:val="bottom"/>
            <w:tcBorders>
              <w:top w:val="single" w:sz="8" w:color="5B9BD5"/>
              <w:bottom w:val="single" w:sz="8" w:color="5B9BD5"/>
            </w:tcBorders>
          </w:tcPr>
          <w:p>
            <w:pPr>
              <w:jc w:val="center"/>
              <w:ind w:left="237"/>
              <w:spacing w:after="0"/>
              <w:rPr>
                <w:sz w:val="20"/>
                <w:szCs w:val="20"/>
                <w:color w:val="auto"/>
              </w:rPr>
            </w:pPr>
            <w:r>
              <w:rPr>
                <w:rFonts w:ascii="Arial" w:cs="Arial" w:eastAsia="Arial" w:hAnsi="Arial"/>
                <w:sz w:val="13"/>
                <w:szCs w:val="13"/>
                <w:b w:val="1"/>
                <w:bCs w:val="1"/>
                <w:color w:val="auto"/>
                <w:w w:val="95"/>
              </w:rPr>
              <w:t>HGF Delivery Method</w:t>
            </w:r>
          </w:p>
        </w:tc>
        <w:tc>
          <w:tcPr>
            <w:tcW w:w="3420" w:type="dxa"/>
            <w:vAlign w:val="bottom"/>
            <w:tcBorders>
              <w:top w:val="single" w:sz="8" w:color="5B9BD5"/>
              <w:bottom w:val="single" w:sz="8" w:color="5B9BD5"/>
            </w:tcBorders>
          </w:tcPr>
          <w:p>
            <w:pPr>
              <w:jc w:val="center"/>
              <w:ind w:right="57"/>
              <w:spacing w:after="0"/>
              <w:rPr>
                <w:sz w:val="20"/>
                <w:szCs w:val="20"/>
                <w:color w:val="auto"/>
              </w:rPr>
            </w:pPr>
            <w:r>
              <w:rPr>
                <w:rFonts w:ascii="Arial" w:cs="Arial" w:eastAsia="Arial" w:hAnsi="Arial"/>
                <w:sz w:val="13"/>
                <w:szCs w:val="13"/>
                <w:b w:val="1"/>
                <w:bCs w:val="1"/>
                <w:color w:val="auto"/>
                <w:w w:val="97"/>
              </w:rPr>
              <w:t>Outcomes</w:t>
            </w:r>
          </w:p>
        </w:tc>
        <w:tc>
          <w:tcPr>
            <w:tcW w:w="2020" w:type="dxa"/>
            <w:vAlign w:val="bottom"/>
            <w:tcBorders>
              <w:top w:val="single" w:sz="8" w:color="5B9BD5"/>
              <w:bottom w:val="single" w:sz="8" w:color="5B9BD5"/>
            </w:tcBorders>
          </w:tcPr>
          <w:p>
            <w:pPr>
              <w:jc w:val="center"/>
              <w:ind w:right="197"/>
              <w:spacing w:after="0"/>
              <w:rPr>
                <w:sz w:val="20"/>
                <w:szCs w:val="20"/>
                <w:color w:val="auto"/>
              </w:rPr>
            </w:pPr>
            <w:r>
              <w:rPr>
                <w:rFonts w:ascii="Arial" w:cs="Arial" w:eastAsia="Arial" w:hAnsi="Arial"/>
                <w:sz w:val="13"/>
                <w:szCs w:val="13"/>
                <w:b w:val="1"/>
                <w:bCs w:val="1"/>
                <w:color w:val="auto"/>
                <w:w w:val="95"/>
              </w:rPr>
              <w:t>Reference</w:t>
            </w:r>
          </w:p>
        </w:tc>
        <w:tc>
          <w:tcPr>
            <w:tcW w:w="0" w:type="dxa"/>
            <w:vAlign w:val="bottom"/>
          </w:tcPr>
          <w:p>
            <w:pPr>
              <w:spacing w:after="0"/>
              <w:rPr>
                <w:sz w:val="1"/>
                <w:szCs w:val="1"/>
                <w:color w:val="auto"/>
              </w:rPr>
            </w:pPr>
          </w:p>
        </w:tc>
      </w:tr>
      <w:tr>
        <w:trPr>
          <w:trHeight w:val="120"/>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9"/>
              </w:rPr>
              <w:t>AD</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Aβ-injection</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shd w:val="clear" w:color="auto" w:fill="EAEFF7"/>
          </w:tcPr>
          <w:p>
            <w:pPr>
              <w:jc w:val="center"/>
              <w:ind w:right="37"/>
              <w:spacing w:after="0" w:line="120" w:lineRule="exact"/>
              <w:rPr>
                <w:sz w:val="20"/>
                <w:szCs w:val="20"/>
                <w:color w:val="auto"/>
              </w:rPr>
            </w:pPr>
            <w:r>
              <w:rPr>
                <w:rFonts w:ascii="Arial" w:cs="Arial" w:eastAsia="Arial" w:hAnsi="Arial"/>
                <w:sz w:val="13"/>
                <w:szCs w:val="13"/>
                <w:color w:val="auto"/>
                <w:w w:val="96"/>
              </w:rPr>
              <w:t>Improvement in memory, increased cerebral blood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Takeuchi et. al. 2008</w:t>
            </w:r>
          </w:p>
        </w:tc>
        <w:tc>
          <w:tcPr>
            <w:tcW w:w="0" w:type="dxa"/>
            <w:vAlign w:val="bottom"/>
          </w:tcPr>
          <w:p>
            <w:pPr>
              <w:spacing w:after="0"/>
              <w:rPr>
                <w:sz w:val="1"/>
                <w:szCs w:val="1"/>
                <w:color w:val="auto"/>
              </w:rPr>
            </w:pPr>
          </w:p>
        </w:tc>
      </w:tr>
      <w:tr>
        <w:trPr>
          <w:trHeight w:val="102"/>
        </w:trPr>
        <w:tc>
          <w:tcPr>
            <w:tcW w:w="1400" w:type="dxa"/>
            <w:vAlign w:val="bottom"/>
            <w:vMerge w:val="continue"/>
            <w:shd w:val="clear" w:color="auto" w:fill="EAEFF7"/>
          </w:tcPr>
          <w:p>
            <w:pPr>
              <w:spacing w:after="0"/>
              <w:rPr>
                <w:sz w:val="8"/>
                <w:szCs w:val="8"/>
                <w:color w:val="auto"/>
              </w:rPr>
            </w:pPr>
          </w:p>
        </w:tc>
        <w:tc>
          <w:tcPr>
            <w:tcW w:w="2480" w:type="dxa"/>
            <w:vAlign w:val="bottom"/>
            <w:vMerge w:val="continue"/>
            <w:shd w:val="clear" w:color="auto" w:fill="EAEFF7"/>
          </w:tcPr>
          <w:p>
            <w:pPr>
              <w:spacing w:after="0"/>
              <w:rPr>
                <w:sz w:val="8"/>
                <w:szCs w:val="8"/>
                <w:color w:val="auto"/>
              </w:rPr>
            </w:pPr>
          </w:p>
        </w:tc>
        <w:tc>
          <w:tcPr>
            <w:tcW w:w="1920" w:type="dxa"/>
            <w:vAlign w:val="bottom"/>
            <w:vMerge w:val="continue"/>
            <w:shd w:val="clear" w:color="auto" w:fill="EAEFF7"/>
          </w:tcPr>
          <w:p>
            <w:pPr>
              <w:spacing w:after="0"/>
              <w:rPr>
                <w:sz w:val="8"/>
                <w:szCs w:val="8"/>
                <w:color w:val="auto"/>
              </w:rPr>
            </w:pPr>
          </w:p>
        </w:tc>
        <w:tc>
          <w:tcPr>
            <w:tcW w:w="3420" w:type="dxa"/>
            <w:vAlign w:val="bottom"/>
            <w:vMerge w:val="restart"/>
            <w:shd w:val="clear" w:color="auto" w:fill="EAEFF7"/>
          </w:tcPr>
          <w:p>
            <w:pPr>
              <w:jc w:val="center"/>
              <w:ind w:right="57"/>
              <w:spacing w:after="0"/>
              <w:rPr>
                <w:sz w:val="20"/>
                <w:szCs w:val="20"/>
                <w:color w:val="auto"/>
              </w:rPr>
            </w:pPr>
            <w:r>
              <w:rPr>
                <w:rFonts w:ascii="Arial" w:cs="Arial" w:eastAsia="Arial" w:hAnsi="Arial"/>
                <w:sz w:val="13"/>
                <w:szCs w:val="13"/>
                <w:color w:val="auto"/>
                <w:w w:val="96"/>
              </w:rPr>
              <w:t>flow, increased BDNF expression</w:t>
            </w:r>
          </w:p>
        </w:tc>
        <w:tc>
          <w:tcPr>
            <w:tcW w:w="2020" w:type="dxa"/>
            <w:vAlign w:val="bottom"/>
            <w:vMerge w:val="continue"/>
            <w:shd w:val="clear" w:color="auto" w:fill="EAEFF7"/>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5"/>
              </w:rPr>
              <w:t>Parkinson’s</w:t>
            </w: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7"/>
              </w:rPr>
              <w:t>6-OHDA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27" w:lineRule="exact"/>
              <w:rPr>
                <w:sz w:val="20"/>
                <w:szCs w:val="20"/>
                <w:color w:val="auto"/>
              </w:rPr>
            </w:pPr>
            <w:r>
              <w:rPr>
                <w:rFonts w:ascii="Arial" w:cs="Arial" w:eastAsia="Arial" w:hAnsi="Arial"/>
                <w:sz w:val="13"/>
                <w:szCs w:val="13"/>
                <w:color w:val="auto"/>
                <w:w w:val="97"/>
              </w:rPr>
              <w:t>Improved survival of dopaminergic neurons, improved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4"/>
              </w:rPr>
              <w:t>Koike et. al.</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7"/>
              </w:rPr>
              <w:t>motor function</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2006</w:t>
            </w:r>
          </w:p>
        </w:tc>
        <w:tc>
          <w:tcPr>
            <w:tcW w:w="0" w:type="dxa"/>
            <w:vAlign w:val="bottom"/>
          </w:tcPr>
          <w:p>
            <w:pPr>
              <w:spacing w:after="0"/>
              <w:rPr>
                <w:sz w:val="1"/>
                <w:szCs w:val="1"/>
                <w:color w:val="auto"/>
              </w:rPr>
            </w:pPr>
          </w:p>
        </w:tc>
      </w:tr>
      <w:tr>
        <w:trPr>
          <w:trHeight w:val="136"/>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jc w:val="center"/>
              <w:spacing w:after="0"/>
              <w:rPr>
                <w:sz w:val="20"/>
                <w:szCs w:val="20"/>
                <w:color w:val="auto"/>
              </w:rPr>
            </w:pPr>
            <w:r>
              <w:rPr>
                <w:rFonts w:ascii="Arial" w:cs="Arial" w:eastAsia="Arial" w:hAnsi="Arial"/>
                <w:sz w:val="13"/>
                <w:szCs w:val="13"/>
                <w:color w:val="auto"/>
                <w:w w:val="96"/>
              </w:rPr>
              <w:t>Brain ischemia</w:t>
            </w:r>
          </w:p>
        </w:tc>
        <w:tc>
          <w:tcPr>
            <w:tcW w:w="2480" w:type="dxa"/>
            <w:vAlign w:val="bottom"/>
            <w:shd w:val="clear" w:color="auto" w:fill="EAEFF7"/>
          </w:tcPr>
          <w:p>
            <w:pPr>
              <w:jc w:val="center"/>
              <w:ind w:left="77"/>
              <w:spacing w:after="0"/>
              <w:rPr>
                <w:sz w:val="20"/>
                <w:szCs w:val="20"/>
                <w:color w:val="auto"/>
              </w:rPr>
            </w:pPr>
            <w:r>
              <w:rPr>
                <w:rFonts w:ascii="Arial" w:cs="Arial" w:eastAsia="Arial" w:hAnsi="Arial"/>
                <w:sz w:val="13"/>
                <w:szCs w:val="13"/>
                <w:color w:val="auto"/>
                <w:w w:val="97"/>
              </w:rPr>
              <w:t>Transient ischemia</w:t>
            </w:r>
          </w:p>
        </w:tc>
        <w:tc>
          <w:tcPr>
            <w:tcW w:w="1920" w:type="dxa"/>
            <w:vAlign w:val="bottom"/>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rPr>
                <w:sz w:val="20"/>
                <w:szCs w:val="20"/>
                <w:color w:val="auto"/>
              </w:rPr>
            </w:pPr>
            <w:r>
              <w:rPr>
                <w:rFonts w:ascii="Arial" w:cs="Arial" w:eastAsia="Arial" w:hAnsi="Arial"/>
                <w:sz w:val="13"/>
                <w:szCs w:val="13"/>
                <w:color w:val="auto"/>
                <w:w w:val="96"/>
              </w:rPr>
              <w:t>Improved neuronal survival</w:t>
            </w:r>
          </w:p>
        </w:tc>
        <w:tc>
          <w:tcPr>
            <w:tcW w:w="2020" w:type="dxa"/>
            <w:vAlign w:val="bottom"/>
            <w:shd w:val="clear" w:color="auto" w:fill="EAEFF7"/>
          </w:tcPr>
          <w:p>
            <w:pPr>
              <w:jc w:val="center"/>
              <w:ind w:right="197"/>
              <w:spacing w:after="0"/>
              <w:rPr>
                <w:sz w:val="20"/>
                <w:szCs w:val="20"/>
                <w:color w:val="auto"/>
              </w:rPr>
            </w:pPr>
            <w:r>
              <w:rPr>
                <w:rFonts w:ascii="Arial" w:cs="Arial" w:eastAsia="Arial" w:hAnsi="Arial"/>
                <w:sz w:val="13"/>
                <w:szCs w:val="13"/>
                <w:color w:val="auto"/>
                <w:w w:val="95"/>
              </w:rPr>
              <w:t>Miyazawa et. al. 2007</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shd w:val="clear" w:color="auto" w:fill="EAEFF7"/>
          </w:tcPr>
          <w:p>
            <w:pPr>
              <w:jc w:val="center"/>
              <w:ind w:left="97"/>
              <w:spacing w:after="0"/>
              <w:rPr>
                <w:sz w:val="20"/>
                <w:szCs w:val="20"/>
                <w:color w:val="auto"/>
              </w:rPr>
            </w:pPr>
            <w:r>
              <w:rPr>
                <w:rFonts w:ascii="Arial" w:cs="Arial" w:eastAsia="Arial" w:hAnsi="Arial"/>
                <w:sz w:val="13"/>
                <w:szCs w:val="13"/>
                <w:color w:val="auto"/>
                <w:w w:val="98"/>
              </w:rPr>
              <w:t>(gerbil)</w:t>
            </w: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7"/>
              </w:rPr>
              <w:t>ALS</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SOD1-G93)</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27" w:lineRule="exact"/>
              <w:rPr>
                <w:sz w:val="20"/>
                <w:szCs w:val="20"/>
                <w:color w:val="auto"/>
              </w:rPr>
            </w:pPr>
            <w:r>
              <w:rPr>
                <w:rFonts w:ascii="Arial" w:cs="Arial" w:eastAsia="Arial" w:hAnsi="Arial"/>
                <w:sz w:val="13"/>
                <w:szCs w:val="13"/>
                <w:color w:val="auto"/>
                <w:w w:val="96"/>
              </w:rPr>
              <w:t>Improved survival of motor neurons, prolonged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Sun et. al.</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8"/>
              </w:rPr>
              <w:t>lifespan</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2002</w:t>
            </w:r>
          </w:p>
        </w:tc>
        <w:tc>
          <w:tcPr>
            <w:tcW w:w="0" w:type="dxa"/>
            <w:vAlign w:val="bottom"/>
          </w:tcPr>
          <w:p>
            <w:pPr>
              <w:spacing w:after="0"/>
              <w:rPr>
                <w:sz w:val="1"/>
                <w:szCs w:val="1"/>
                <w:color w:val="auto"/>
              </w:rPr>
            </w:pPr>
          </w:p>
        </w:tc>
      </w:tr>
      <w:tr>
        <w:trPr>
          <w:trHeight w:val="136"/>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7"/>
              </w:rPr>
              <w:t>Cerebral infarction</w:t>
            </w: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w w:val="98"/>
              </w:rPr>
              <w:t>Embolism</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27" w:lineRule="exact"/>
              <w:rPr>
                <w:sz w:val="20"/>
                <w:szCs w:val="20"/>
                <w:color w:val="auto"/>
              </w:rPr>
            </w:pPr>
            <w:r>
              <w:rPr>
                <w:rFonts w:ascii="Arial" w:cs="Arial" w:eastAsia="Arial" w:hAnsi="Arial"/>
                <w:sz w:val="13"/>
                <w:szCs w:val="13"/>
                <w:color w:val="auto"/>
                <w:w w:val="96"/>
              </w:rPr>
              <w:t>Improvement in learning and memory,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5"/>
              </w:rPr>
              <w:t>Date et. al.</w:t>
            </w:r>
          </w:p>
        </w:tc>
        <w:tc>
          <w:tcPr>
            <w:tcW w:w="0" w:type="dxa"/>
            <w:vAlign w:val="bottom"/>
          </w:tcPr>
          <w:p>
            <w:pPr>
              <w:spacing w:after="0"/>
              <w:rPr>
                <w:sz w:val="1"/>
                <w:szCs w:val="1"/>
                <w:color w:val="auto"/>
              </w:rPr>
            </w:pPr>
          </w:p>
        </w:tc>
      </w:tr>
      <w:tr>
        <w:trPr>
          <w:trHeight w:val="102"/>
        </w:trPr>
        <w:tc>
          <w:tcPr>
            <w:tcW w:w="1400" w:type="dxa"/>
            <w:vAlign w:val="bottom"/>
            <w:vMerge w:val="continue"/>
            <w:shd w:val="clear" w:color="auto" w:fill="EAEFF7"/>
          </w:tcPr>
          <w:p>
            <w:pPr>
              <w:spacing w:after="0"/>
              <w:rPr>
                <w:sz w:val="8"/>
                <w:szCs w:val="8"/>
                <w:color w:val="auto"/>
              </w:rPr>
            </w:pPr>
          </w:p>
        </w:tc>
        <w:tc>
          <w:tcPr>
            <w:tcW w:w="2480" w:type="dxa"/>
            <w:vAlign w:val="bottom"/>
            <w:vMerge w:val="continue"/>
            <w:shd w:val="clear" w:color="auto" w:fill="EAEFF7"/>
          </w:tcPr>
          <w:p>
            <w:pPr>
              <w:spacing w:after="0"/>
              <w:rPr>
                <w:sz w:val="8"/>
                <w:szCs w:val="8"/>
                <w:color w:val="auto"/>
              </w:rPr>
            </w:pPr>
          </w:p>
        </w:tc>
        <w:tc>
          <w:tcPr>
            <w:tcW w:w="1920" w:type="dxa"/>
            <w:vAlign w:val="bottom"/>
            <w:vMerge w:val="continue"/>
            <w:shd w:val="clear" w:color="auto" w:fill="EAEFF7"/>
          </w:tcPr>
          <w:p>
            <w:pPr>
              <w:spacing w:after="0"/>
              <w:rPr>
                <w:sz w:val="8"/>
                <w:szCs w:val="8"/>
                <w:color w:val="auto"/>
              </w:rPr>
            </w:pPr>
          </w:p>
        </w:tc>
        <w:tc>
          <w:tcPr>
            <w:tcW w:w="3420" w:type="dxa"/>
            <w:vAlign w:val="bottom"/>
            <w:vMerge w:val="restart"/>
            <w:shd w:val="clear" w:color="auto" w:fill="EAEFF7"/>
          </w:tcPr>
          <w:p>
            <w:pPr>
              <w:jc w:val="center"/>
              <w:ind w:right="57"/>
              <w:spacing w:after="0"/>
              <w:rPr>
                <w:sz w:val="20"/>
                <w:szCs w:val="20"/>
                <w:color w:val="auto"/>
              </w:rPr>
            </w:pPr>
            <w:r>
              <w:rPr>
                <w:rFonts w:ascii="Arial" w:cs="Arial" w:eastAsia="Arial" w:hAnsi="Arial"/>
                <w:sz w:val="13"/>
                <w:szCs w:val="13"/>
                <w:color w:val="auto"/>
                <w:w w:val="95"/>
              </w:rPr>
              <w:t>neuronal survival</w:t>
            </w:r>
          </w:p>
        </w:tc>
        <w:tc>
          <w:tcPr>
            <w:tcW w:w="2020" w:type="dxa"/>
            <w:vAlign w:val="bottom"/>
            <w:vMerge w:val="continue"/>
            <w:shd w:val="clear" w:color="auto" w:fill="EAEFF7"/>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2004</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vMerge w:val="continue"/>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Spinal cord injury</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3"/>
              </w:rPr>
              <w:t>Trauma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27" w:lineRule="exact"/>
              <w:rPr>
                <w:sz w:val="20"/>
                <w:szCs w:val="20"/>
                <w:color w:val="auto"/>
              </w:rPr>
            </w:pPr>
            <w:r>
              <w:rPr>
                <w:rFonts w:ascii="Arial" w:cs="Arial" w:eastAsia="Arial" w:hAnsi="Arial"/>
                <w:sz w:val="13"/>
                <w:szCs w:val="13"/>
                <w:color w:val="auto"/>
                <w:w w:val="96"/>
              </w:rPr>
              <w:t>Promoted neuron survival and axonal regrowth,</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Kitamura et. al. 2007</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improved functional recovery</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rPr>
              <w:t>MS</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9"/>
              </w:rPr>
              <w:t>EAE</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27" w:lineRule="exact"/>
              <w:rPr>
                <w:sz w:val="20"/>
                <w:szCs w:val="20"/>
                <w:color w:val="auto"/>
              </w:rPr>
            </w:pPr>
            <w:r>
              <w:rPr>
                <w:rFonts w:ascii="Arial" w:cs="Arial" w:eastAsia="Arial" w:hAnsi="Arial"/>
                <w:sz w:val="13"/>
                <w:szCs w:val="13"/>
                <w:color w:val="auto"/>
                <w:w w:val="96"/>
              </w:rPr>
              <w:t>Promoted remyelination of damaged axons,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Bai et al., 2012</w:t>
            </w:r>
          </w:p>
        </w:tc>
        <w:tc>
          <w:tcPr>
            <w:tcW w:w="0" w:type="dxa"/>
            <w:vAlign w:val="bottom"/>
          </w:tcPr>
          <w:p>
            <w:pPr>
              <w:spacing w:after="0"/>
              <w:rPr>
                <w:sz w:val="1"/>
                <w:szCs w:val="1"/>
                <w:color w:val="auto"/>
              </w:rPr>
            </w:pPr>
          </w:p>
        </w:tc>
      </w:tr>
      <w:tr>
        <w:trPr>
          <w:trHeight w:val="102"/>
        </w:trPr>
        <w:tc>
          <w:tcPr>
            <w:tcW w:w="1400" w:type="dxa"/>
            <w:vAlign w:val="bottom"/>
            <w:vMerge w:val="continue"/>
            <w:shd w:val="clear" w:color="auto" w:fill="EAEFF7"/>
          </w:tcPr>
          <w:p>
            <w:pPr>
              <w:spacing w:after="0"/>
              <w:rPr>
                <w:sz w:val="8"/>
                <w:szCs w:val="8"/>
                <w:color w:val="auto"/>
              </w:rPr>
            </w:pPr>
          </w:p>
        </w:tc>
        <w:tc>
          <w:tcPr>
            <w:tcW w:w="2480" w:type="dxa"/>
            <w:vAlign w:val="bottom"/>
            <w:vMerge w:val="continue"/>
            <w:shd w:val="clear" w:color="auto" w:fill="EAEFF7"/>
          </w:tcPr>
          <w:p>
            <w:pPr>
              <w:spacing w:after="0"/>
              <w:rPr>
                <w:sz w:val="8"/>
                <w:szCs w:val="8"/>
                <w:color w:val="auto"/>
              </w:rPr>
            </w:pPr>
          </w:p>
        </w:tc>
        <w:tc>
          <w:tcPr>
            <w:tcW w:w="1920" w:type="dxa"/>
            <w:vAlign w:val="bottom"/>
            <w:vMerge w:val="continue"/>
            <w:shd w:val="clear" w:color="auto" w:fill="EAEFF7"/>
          </w:tcPr>
          <w:p>
            <w:pPr>
              <w:spacing w:after="0"/>
              <w:rPr>
                <w:sz w:val="8"/>
                <w:szCs w:val="8"/>
                <w:color w:val="auto"/>
              </w:rPr>
            </w:pPr>
          </w:p>
        </w:tc>
        <w:tc>
          <w:tcPr>
            <w:tcW w:w="3420" w:type="dxa"/>
            <w:vAlign w:val="bottom"/>
            <w:vMerge w:val="restart"/>
            <w:shd w:val="clear" w:color="auto" w:fill="EAEFF7"/>
          </w:tcPr>
          <w:p>
            <w:pPr>
              <w:jc w:val="center"/>
              <w:ind w:right="57"/>
              <w:spacing w:after="0"/>
              <w:rPr>
                <w:sz w:val="20"/>
                <w:szCs w:val="20"/>
                <w:color w:val="auto"/>
              </w:rPr>
            </w:pPr>
            <w:r>
              <w:rPr>
                <w:rFonts w:ascii="Arial" w:cs="Arial" w:eastAsia="Arial" w:hAnsi="Arial"/>
                <w:sz w:val="13"/>
                <w:szCs w:val="13"/>
                <w:color w:val="auto"/>
                <w:w w:val="96"/>
              </w:rPr>
              <w:t>clinical scoring</w:t>
            </w:r>
          </w:p>
        </w:tc>
        <w:tc>
          <w:tcPr>
            <w:tcW w:w="2020" w:type="dxa"/>
            <w:vAlign w:val="bottom"/>
            <w:vMerge w:val="continue"/>
            <w:shd w:val="clear" w:color="auto" w:fill="EAEFF7"/>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tcPr>
          <w:p>
            <w:pPr>
              <w:spacing w:after="0"/>
              <w:rPr>
                <w:sz w:val="11"/>
                <w:szCs w:val="11"/>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6"/>
              </w:rPr>
              <w:t>Nerve crush</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57"/>
              <w:spacing w:after="0" w:line="127" w:lineRule="exact"/>
              <w:rPr>
                <w:sz w:val="20"/>
                <w:szCs w:val="20"/>
                <w:color w:val="auto"/>
              </w:rPr>
            </w:pPr>
            <w:r>
              <w:rPr>
                <w:rFonts w:ascii="Arial" w:cs="Arial" w:eastAsia="Arial" w:hAnsi="Arial"/>
                <w:sz w:val="13"/>
                <w:szCs w:val="13"/>
                <w:color w:val="auto"/>
                <w:w w:val="97"/>
              </w:rPr>
              <w:t>Promoted regeneration of nerve tissue by recruitment</w:t>
            </w: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Peripheral neuropathy</w:t>
            </w: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of Schwann cells and remyelination</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Ko et al., 2018</w:t>
            </w:r>
          </w:p>
        </w:tc>
        <w:tc>
          <w:tcPr>
            <w:tcW w:w="0" w:type="dxa"/>
            <w:vAlign w:val="bottom"/>
          </w:tcPr>
          <w:p>
            <w:pPr>
              <w:spacing w:after="0"/>
              <w:rPr>
                <w:sz w:val="1"/>
                <w:szCs w:val="1"/>
                <w:color w:val="auto"/>
              </w:rPr>
            </w:pPr>
          </w:p>
        </w:tc>
      </w:tr>
      <w:tr>
        <w:trPr>
          <w:trHeight w:val="62"/>
        </w:trPr>
        <w:tc>
          <w:tcPr>
            <w:tcW w:w="1400" w:type="dxa"/>
            <w:vAlign w:val="bottom"/>
            <w:vMerge w:val="continue"/>
          </w:tcPr>
          <w:p>
            <w:pPr>
              <w:spacing w:after="0"/>
              <w:rPr>
                <w:sz w:val="5"/>
                <w:szCs w:val="5"/>
                <w:color w:val="auto"/>
              </w:rPr>
            </w:pPr>
          </w:p>
        </w:tc>
        <w:tc>
          <w:tcPr>
            <w:tcW w:w="24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2480"/>
        <w:spacing w:after="0"/>
        <w:rPr>
          <w:sz w:val="20"/>
          <w:szCs w:val="20"/>
          <w:color w:val="auto"/>
        </w:rPr>
      </w:pPr>
      <w:r>
        <w:rPr>
          <w:rFonts w:ascii="Arial" w:cs="Arial" w:eastAsia="Arial" w:hAnsi="Arial"/>
          <w:sz w:val="13"/>
          <w:szCs w:val="13"/>
          <w:color w:val="auto"/>
        </w:rPr>
        <w:t>(mouse)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i w:val="1"/>
          <w:iCs w:val="1"/>
          <w:color w:val="auto"/>
        </w:rPr>
        <w:t>6-OHDA: 6-hydroxydopamine; BDNF: brain-derived neurotrophic factor; EAE: experimental autoimmune encephalomyelitis</w:t>
      </w:r>
    </w:p>
    <w:p>
      <w:pPr>
        <w:spacing w:after="0" w:line="193" w:lineRule="exact"/>
        <w:rPr>
          <w:sz w:val="20"/>
          <w:szCs w:val="20"/>
          <w:color w:val="auto"/>
        </w:rPr>
      </w:pPr>
    </w:p>
    <w:p>
      <w:pPr>
        <w:ind w:right="320" w:firstLine="569"/>
        <w:spacing w:after="0" w:line="248" w:lineRule="auto"/>
        <w:rPr>
          <w:sz w:val="20"/>
          <w:szCs w:val="20"/>
          <w:color w:val="auto"/>
        </w:rPr>
      </w:pPr>
      <w:r>
        <w:rPr>
          <w:rFonts w:ascii="Arial" w:cs="Arial" w:eastAsia="Arial" w:hAnsi="Arial"/>
          <w:sz w:val="18"/>
          <w:szCs w:val="18"/>
          <w:color w:val="auto"/>
        </w:rPr>
        <w:t>As demonstrated by these studies, HGF/MET has long been known as a promising therapeutic target for CNS disorders, but the delivery of large proteins or gene therapy to the CNS to augment HGF/MET has been problematic and fraught with challenges. These approaches are not BBB-penetrating and require invasive methods to deliver to the CNS, which increases the risk of an immune reaction. Further, they are also expensive and more challenging to scale which might limit their availability to patients.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06"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 urgent need for new and novel approaches to address most neuronal disorders including progressive and severe conditions such as AD, PDD, MS, and others.</w:t>
      </w:r>
    </w:p>
    <w:p>
      <w:pPr>
        <w:spacing w:after="0" w:line="17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This can lead to variability of treatment outcomes and longer clinical development timelines.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4" w:name="page115"/>
    <w:bookmarkEnd w:id="114"/>
    <w:p>
      <w:pPr>
        <w:ind w:firstLine="576"/>
        <w:spacing w:after="0" w:line="243" w:lineRule="auto"/>
        <w:rPr>
          <w:sz w:val="20"/>
          <w:szCs w:val="20"/>
          <w:color w:val="auto"/>
        </w:rPr>
      </w:pPr>
      <w:r>
        <w:rPr>
          <w:rFonts w:ascii="Arial" w:cs="Arial" w:eastAsia="Arial" w:hAnsi="Arial"/>
          <w:sz w:val="18"/>
          <w:szCs w:val="18"/>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Historically, AD testing in clinical trials has relied heavily on imaging techniques to assess changes in amyloid PET scans over several years, creating enormous costs and elongated timelines for the development process while not showing any direct correlation to cognitive functional improvement. We believe that these traditional methods can be replaced or supplemented by the use of rapid, non-invasive markers of brain activity and cognitive processing, like EEG and ERP.</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Differentiated Approach</w:t>
      </w:r>
    </w:p>
    <w:p>
      <w:pPr>
        <w:spacing w:after="0" w:line="106"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56" w:lineRule="exact"/>
        <w:rPr>
          <w:sz w:val="20"/>
          <w:szCs w:val="20"/>
          <w:color w:val="auto"/>
        </w:rPr>
      </w:pPr>
    </w:p>
    <w:p>
      <w:pPr>
        <w:ind w:left="1300" w:hanging="442"/>
        <w:spacing w:after="0" w:line="248" w:lineRule="auto"/>
        <w:tabs>
          <w:tab w:leader="none" w:pos="130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 to a rapid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61" w:lineRule="exact"/>
        <w:rPr>
          <w:rFonts w:ascii="Times New Roman" w:cs="Times New Roman" w:eastAsia="Times New Roman" w:hAnsi="Times New Roman"/>
          <w:sz w:val="18"/>
          <w:szCs w:val="18"/>
          <w:color w:val="auto"/>
        </w:rPr>
      </w:pPr>
    </w:p>
    <w:p>
      <w:pPr>
        <w:ind w:left="1300" w:right="100" w:hanging="442"/>
        <w:spacing w:after="0" w:line="255" w:lineRule="auto"/>
        <w:tabs>
          <w:tab w:leader="none" w:pos="130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 activate brain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oxidative stress, which is expected to reduce damage and slow down disease progression and improve network activity. Many therapies in development are focused only on slowing disease progression.</w:t>
      </w:r>
    </w:p>
    <w:p>
      <w:pPr>
        <w:spacing w:after="0" w:line="54"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Improvement in cerebral blood flow, as well as reducing inflammation </w:t>
      </w:r>
      <w:r>
        <w:rPr>
          <w:rFonts w:ascii="Arial" w:cs="Arial" w:eastAsia="Arial" w:hAnsi="Arial"/>
          <w:sz w:val="18"/>
          <w:szCs w:val="18"/>
          <w:color w:val="auto"/>
        </w:rPr>
        <w:t>by modulating inflammatory cytokine expression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glia. Many other therapies only have a single mode of activity.</w:t>
      </w:r>
    </w:p>
    <w:p>
      <w:pPr>
        <w:spacing w:after="0" w:line="146" w:lineRule="exact"/>
        <w:rPr>
          <w:sz w:val="20"/>
          <w:szCs w:val="20"/>
          <w:color w:val="auto"/>
        </w:rPr>
      </w:pPr>
    </w:p>
    <w:p>
      <w:pPr>
        <w:ind w:right="180" w:firstLine="576"/>
        <w:spacing w:after="0" w:line="255" w:lineRule="auto"/>
        <w:rPr>
          <w:sz w:val="20"/>
          <w:szCs w:val="20"/>
          <w:color w:val="auto"/>
        </w:rPr>
      </w:pPr>
      <w:r>
        <w:rPr>
          <w:rFonts w:ascii="Arial" w:cs="Arial" w:eastAsia="Arial" w:hAnsi="Arial"/>
          <w:sz w:val="18"/>
          <w:szCs w:val="18"/>
          <w:color w:val="auto"/>
        </w:rPr>
        <w:t>It is our goal to establish in current and future clinical trials that our ATH platform can positively impact neuronal health and function, not only by slowing down disease progression but also by improving brain network activity and function. We believe these effects could position Athira, and initially ATH-1017, to address the complex pathology in neurodegenerative diseases.</w:t>
      </w:r>
    </w:p>
    <w:p>
      <w:pPr>
        <w:spacing w:after="0" w:line="164"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We have designed ATH-1017 to enhance the ability of HGF to activate MET. This substantially increases MET activation levels, and amplifies the beneficial effects downstream of the HGF/MET system.</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15" w:name="page116"/>
    <w:bookmarkEnd w:id="115"/>
    <w:p>
      <w:pPr>
        <w:ind w:right="360" w:firstLine="576"/>
        <w:spacing w:after="0" w:line="274" w:lineRule="auto"/>
        <w:rPr>
          <w:sz w:val="20"/>
          <w:szCs w:val="20"/>
          <w:color w:val="auto"/>
        </w:rPr>
      </w:pPr>
      <w:r>
        <w:rPr>
          <w:rFonts w:ascii="Arial" w:cs="Arial" w:eastAsia="Arial" w:hAnsi="Arial"/>
          <w:sz w:val="18"/>
          <w:szCs w:val="18"/>
          <w:i w:val="1"/>
          <w:iCs w:val="1"/>
          <w:color w:val="auto"/>
        </w:rPr>
        <w:t>Figure 5. Our ATH Small Molecule Candidates Are Designed to Enhance the HGF/MET System and Promote Multiple Beneficial Effects with the Potential to Improve Connectivity and Brain Function in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107315</wp:posOffset>
            </wp:positionV>
            <wp:extent cx="5349240" cy="40633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49240" cy="406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By promoting endogenous pro-survival and regenerative mechanisms orchestrated by HGF/MET signaling, our ATH platform is designed to be a novel path to treat AD and neurodegeneration using a systemic approach. Activation of the HGF/MET system captures the modulation of the NMDA neurotransmitter pathway. Modulation of neurotransmitter systems serves as the basis for the four currently approved AD drugs. However, unlike these currently approved AD drugs, ATH-1017 is designed to also activate regenerative and anti-inflammatory pathways. Figure 6 below illustrates the typical timing of the different beneficial effects as an outcome of activating the HGF/MET system.</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686" w:right="459" w:bottom="1440" w:gutter="0" w:footer="0" w:header="0"/>
        </w:sectPr>
      </w:pPr>
    </w:p>
    <w:bookmarkStart w:id="116" w:name="page117"/>
    <w:bookmarkEnd w:id="116"/>
    <w:p>
      <w:pPr>
        <w:ind w:right="100" w:firstLine="576"/>
        <w:spacing w:after="0" w:line="247" w:lineRule="auto"/>
        <w:rPr>
          <w:sz w:val="20"/>
          <w:szCs w:val="20"/>
          <w:color w:val="auto"/>
        </w:rPr>
      </w:pPr>
      <w:r>
        <w:rPr>
          <w:rFonts w:ascii="Arial" w:cs="Arial" w:eastAsia="Arial" w:hAnsi="Arial"/>
          <w:sz w:val="18"/>
          <w:szCs w:val="18"/>
          <w:i w:val="1"/>
          <w:iCs w:val="1"/>
          <w:color w:val="auto"/>
        </w:rPr>
        <w:t xml:space="preserve">Figure 6. Our ATH Candidates Are Designed to Promote the HGF/MET System Which May Lead to Both Rapid and Long-term Beneficial Effects. </w:t>
      </w:r>
      <w:r>
        <w:rPr>
          <w:rFonts w:ascii="Arial" w:cs="Arial" w:eastAsia="Arial" w:hAnsi="Arial"/>
          <w:sz w:val="18"/>
          <w:szCs w:val="18"/>
          <w:color w:val="auto"/>
        </w:rPr>
        <w:t>We believe that following administration of ATH-1017, the HGF/MET system will activate and lead to several downstream</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We anticipate that these effects may rapidly boost cognition with multiple regenerative mechanisms and lead to a stable and sustained recovery of the brain network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123825</wp:posOffset>
            </wp:positionV>
            <wp:extent cx="5349240" cy="22459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34924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780" w:firstLine="576"/>
        <w:spacing w:after="0" w:line="276" w:lineRule="auto"/>
        <w:rPr>
          <w:sz w:val="20"/>
          <w:szCs w:val="20"/>
          <w:color w:val="auto"/>
        </w:rPr>
      </w:pPr>
      <w:r>
        <w:rPr>
          <w:rFonts w:ascii="Arial" w:cs="Arial" w:eastAsia="Arial" w:hAnsi="Arial"/>
          <w:sz w:val="18"/>
          <w:szCs w:val="18"/>
          <w:color w:val="auto"/>
        </w:rPr>
        <w:t>For therapeutic applications in CNS disorders, particularly AD, treatments that target neuronal growth factors can potentially accomplish several therapeutic goals including rapid cognitive improvement and sustained neuroprotective effects.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04"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cognitive processing and function, can result in more efficient and cost-effective clinical trials, and potentially provide an accelerated development path compared to traditional AD drug development programs.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EEG and ERP Methods Reflect Brain Activity and Function</w:t>
      </w:r>
    </w:p>
    <w:p>
      <w:pPr>
        <w:spacing w:after="0" w:line="10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Our focused drug development approach aims to understand the potential clinical benefit of a product candidate at the early stages of clinical development by utilizing EEG and ERP methods. Commonly 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EEG methods measure the brain’s electrical activity from electrodes on the scalp. This noninvasive look at brain activity is highly informative and can give insight into the brain penetration and neuroactivity of therapeutics directed to the brain. EEG is a measure of the brain at rest, while ERP is measured from the same electrodes but only arises in response to a task-related stimulus. EEG/ERP methods can give substantial insight into the overall brain health and connectivity, as these measures are significantly altered in disorders that lead to cognitive impairment, such as AD. Certain EEG/ERP components are valuable measures of cognition, such as quantitative EEG, or qEEG, an assessment of high frequency gamma power brain waves, and the P300 latency component of ERP.</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117" w:name="page118"/>
    <w:bookmarkEnd w:id="117"/>
    <w:p>
      <w:pPr>
        <w:ind w:right="60" w:firstLine="576"/>
        <w:spacing w:after="0" w:line="248" w:lineRule="auto"/>
        <w:rPr>
          <w:sz w:val="20"/>
          <w:szCs w:val="20"/>
          <w:color w:val="auto"/>
        </w:rPr>
      </w:pPr>
      <w:r>
        <w:rPr>
          <w:rFonts w:ascii="Arial" w:cs="Arial" w:eastAsia="Arial" w:hAnsi="Arial"/>
          <w:sz w:val="18"/>
          <w:szCs w:val="18"/>
          <w:color w:val="auto"/>
        </w:rPr>
        <w:t>For ATH-1017, we incorporated a variety of translatable tools and measures into our clinical development plan. These measures, including both qEEG and P300 latency, have guided dose selection and provided predictive measures of cognitive improvement. By focusing on these direct measures of brain activity and cognitive processing, we believe we will be able to develop ATH-1017 more efficiently for treatment of AD and broader dementia.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Electroencephalogram: qEEG</w:t>
      </w:r>
    </w:p>
    <w:p>
      <w:pPr>
        <w:spacing w:after="0" w:line="102"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EEG is a way to measure the electrical activity of the brain using small electrodes placed on the scalp. Neurons communicate and perform all functions using electrical impulses. EEG captures this electrical activity through the scalp and displays these electrical impulses as waves, as illustrated in Figure 7 below. The electrical activity will present at different frequencies or waves which provide various insights into neuronal health. We are most focused on the faster, higher frequency gamma waves which are associated with learning, memory formation and higher cognitive functions. qEEG is a method to quantitatively determine the amount of electrical signal that resides in each waveform, often described as power.</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7. Noninvasive EEG Recordings Reflect Brain Activity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147320</wp:posOffset>
            </wp:positionV>
            <wp:extent cx="5349240" cy="37719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492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Changes in qEEG power or shifts in the amount of activity in each waveform can be caused by several factors including response to stimulus, cognitive state (healthy or dementia), and CNS-directed therapies. Because qEEG is a non-invasive direct measure of brain activity, it represents a valuable tool for investigating therapies in AD and broader dementia. Changes in qEEG signals following administration of therapies targeting the brain indicate the therapy has reached the brain and likely engaged the intended target. Additionally, AD subjects present a general slowing of qEEG, where activity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8" w:name="page119"/>
    <w:bookmarkEnd w:id="118"/>
    <w:p>
      <w:pPr>
        <w:ind w:right="320"/>
        <w:spacing w:after="0" w:line="255" w:lineRule="auto"/>
        <w:rPr>
          <w:sz w:val="20"/>
          <w:szCs w:val="20"/>
          <w:color w:val="auto"/>
        </w:rPr>
      </w:pPr>
      <w:r>
        <w:rPr>
          <w:rFonts w:ascii="Arial" w:cs="Arial" w:eastAsia="Arial" w:hAnsi="Arial"/>
          <w:sz w:val="18"/>
          <w:szCs w:val="18"/>
          <w:color w:val="auto"/>
        </w:rPr>
        <w:t>in higher frequency waves, such as gamma, is reduced. If therapies can reverse this pattern in AD, and increase gamma power, this may suggest treatment has helped improve brain activity. We utilized qEEG in our ATH-1017 Phase 1 clinical trial in healthy young, healthy elderly, and AD subjects as a measure of CNS penetration and target engagement.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Event-related Potential: P300</w:t>
      </w:r>
    </w:p>
    <w:p>
      <w:pPr>
        <w:spacing w:after="0" w:line="102"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ERP refers to changes in the electrical activity of the brain in response to external stimuli. Recording brain activity while a subject is presented with a task reveals neural activity related to cognitive processing. Presenting subjects with a stimulus associated with a task, such as counting specific tones within a sequence, induces a series of electrical peaks that represent cognitive processing and memory access</w:t>
      </w:r>
      <w:r>
        <w:rPr>
          <w:rFonts w:ascii="Arial" w:cs="Arial" w:eastAsia="Arial" w:hAnsi="Arial"/>
          <w:sz w:val="18"/>
          <w:szCs w:val="18"/>
          <w:i w:val="1"/>
          <w:iCs w:val="1"/>
          <w:color w:val="auto"/>
        </w:rPr>
        <w:t>.</w:t>
      </w:r>
      <w:r>
        <w:rPr>
          <w:rFonts w:ascii="Arial" w:cs="Arial" w:eastAsia="Arial" w:hAnsi="Arial"/>
          <w:sz w:val="18"/>
          <w:szCs w:val="18"/>
          <w:color w:val="auto"/>
        </w:rPr>
        <w:t xml:space="preserve"> P300 is the peak positive signal which is reported to typically arise 300 milliseconds after a tone stimulus and is the most studied component of the ERP waveform.</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8. ERP Recording with an Auditory Oddball Paradigm.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147320</wp:posOffset>
            </wp:positionV>
            <wp:extent cx="5349240" cy="37719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3492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latency, or the amount of time that it takes to reach the peak of the positive wave following the stimulus, is typically reported to be 300 milliseconds in healthy, cognitively normal individuals. Numerous studies have shown that P300 latency is strongly correlated with cognition. P300 latency is increased and continues to worsen as AD and cognitive decline progresses. As an example, P300 latency is expected to be increased in subjects with severe AD, compared to subjects with mild AD. The connection between P300 latency and increased cognitive decline has been characterized in a number of diseases including AD, PDD, Lewy body dementia, Huntington’s, major depressive disorder with cognitive impairment, and traumatic brain injury. Loss of synaptic connections and neuronal dysfunction are well characterized in AD, and likely are the primary causes of the increased P300 latency. Figure 9 below illustrates the latency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00" w:right="379" w:bottom="1440" w:gutter="0" w:footer="0" w:header="0"/>
        </w:sectPr>
      </w:pPr>
    </w:p>
    <w:bookmarkStart w:id="119" w:name="page120"/>
    <w:bookmarkEnd w:id="119"/>
    <w:p>
      <w:pPr>
        <w:spacing w:after="0" w:line="255" w:lineRule="auto"/>
        <w:rPr>
          <w:sz w:val="20"/>
          <w:szCs w:val="20"/>
          <w:color w:val="auto"/>
        </w:rPr>
      </w:pPr>
      <w:r>
        <w:rPr>
          <w:rFonts w:ascii="Arial" w:cs="Arial" w:eastAsia="Arial" w:hAnsi="Arial"/>
          <w:sz w:val="18"/>
          <w:szCs w:val="18"/>
          <w:color w:val="auto"/>
        </w:rPr>
        <w:t>of cognitive processing as demonstrated by the delayed peaks in P300 in AD subjects compared to healthy, age-matched subjects. While the P300 amplitude is often reported as lower in AD subjects compared to healthy, age-matched subjects, this measure is much less consistent and not as strongly correlated to cognition as latency.</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9. ERP Waveforms in AD Subjects Show Increased P300 Latency.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147320</wp:posOffset>
            </wp:positionV>
            <wp:extent cx="4671695" cy="30175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67169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w:t>
      </w:r>
    </w:p>
    <w:p>
      <w:pPr>
        <w:spacing w:after="0" w:line="10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the Alzheimer’s Disease Assessment Scale-Cognitive Subscale, or ADAS-cog, as shown in Figure 10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 The magnitude of effects in P300 latency measures for current AD treatments is shown in Figure 10 below. The studies of donepezil and rivastigmine were conducted in patient populations at similar stages of disease (mild to moderate AD with an average P300 latency of 382.7 ms for the donepezil group and 382.3 ms for the rivastigmine group). The P300 methodology used was similar to that of our ATH-1017 study. Both drugs showed a modest improvement in P300 latency, with donepezil demonstrating an improvement of 16 ms and rivastigmine demonstrating an improvement of 22 ms.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0" w:right="359" w:bottom="1440" w:gutter="0" w:footer="0" w:header="0"/>
        </w:sectPr>
      </w:pPr>
    </w:p>
    <w:bookmarkStart w:id="120" w:name="page121"/>
    <w:bookmarkEnd w:id="120"/>
    <w:p>
      <w:pPr>
        <w:ind w:left="580"/>
        <w:spacing w:after="0"/>
        <w:rPr>
          <w:sz w:val="20"/>
          <w:szCs w:val="20"/>
          <w:color w:val="auto"/>
        </w:rPr>
      </w:pPr>
      <w:r>
        <w:rPr>
          <w:rFonts w:ascii="Arial" w:cs="Arial" w:eastAsia="Arial" w:hAnsi="Arial"/>
          <w:sz w:val="18"/>
          <w:szCs w:val="18"/>
          <w:i w:val="1"/>
          <w:iCs w:val="1"/>
          <w:color w:val="auto"/>
        </w:rPr>
        <w:t>Figure 10. Changes in P300 Latency Correlate with Cognitive Outcomes with Treatment of Approved Therapies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6240780" cy="55892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40780" cy="558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Adapted from Thomas et al., 2001.</w:t>
      </w:r>
    </w:p>
    <w:p>
      <w:pPr>
        <w:spacing w:after="0" w:line="246" w:lineRule="exact"/>
        <w:rPr>
          <w:sz w:val="20"/>
          <w:szCs w:val="20"/>
          <w:color w:val="auto"/>
        </w:rPr>
      </w:pPr>
    </w:p>
    <w:p>
      <w:pPr>
        <w:ind w:left="5420" w:hanging="4836"/>
        <w:spacing w:after="0" w:line="526" w:lineRule="auto"/>
        <w:rPr>
          <w:sz w:val="20"/>
          <w:szCs w:val="20"/>
          <w:color w:val="auto"/>
        </w:rPr>
      </w:pPr>
      <w:r>
        <w:rPr>
          <w:rFonts w:ascii="Arial" w:cs="Arial" w:eastAsia="Arial" w:hAnsi="Arial"/>
          <w:sz w:val="18"/>
          <w:szCs w:val="18"/>
          <w:color w:val="auto"/>
        </w:rPr>
        <w:t>Figure 11, below, summarizes the correlation between P300 latency and changes in cognition in studies involving approved therapies.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121" w:name="page122"/>
    <w:bookmarkEnd w:id="121"/>
    <w:p>
      <w:pPr>
        <w:ind w:left="580"/>
        <w:spacing w:after="0"/>
        <w:rPr>
          <w:sz w:val="20"/>
          <w:szCs w:val="20"/>
          <w:color w:val="auto"/>
        </w:rPr>
      </w:pPr>
      <w:r>
        <w:rPr>
          <w:rFonts w:ascii="Arial" w:cs="Arial" w:eastAsia="Arial" w:hAnsi="Arial"/>
          <w:sz w:val="18"/>
          <w:szCs w:val="18"/>
          <w:i w:val="1"/>
          <w:iCs w:val="1"/>
          <w:color w:val="auto"/>
        </w:rPr>
        <w:t>Figure 11. Studies Suggest Changes in P300 Latency Have Been Predictive of Changes in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223635" cy="19030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2363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i w:val="1"/>
          <w:iCs w:val="1"/>
          <w:color w:val="auto"/>
        </w:rPr>
        <w:t>Source: Results for donepezil and rivastigmine adapted from Thomas et al., 2001; results for memantine adapted from Sallach et al., 2011, and results for scopolamine adapted from Potter et al., 2000.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Applications to Our ATH Platform</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inconclusive in determining the connection of these biomarkers to cognition. We sought to develop a translational strategy for ATH that was highly correlated to brain function and cognition which led us to use EEG/ERP for the clinical development of ATH-1017. We believe these measures are particularly well-suited to provide insight into early therapeutic effects in AD, given that as cognitive decline progresses, subjects display a decrease in EEG gamma power, and a progressive increase in ERP P300 latency.</w:t>
      </w:r>
    </w:p>
    <w:p>
      <w:pPr>
        <w:spacing w:after="0" w:line="172"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Utilizing EEG/ERP as non-invasive and efficient translatable measures early in clinical development allows us to assess therapeutic effects and helps to inform future clinical trial design. Positive changes in EEG and ERP P300 latency potentially indicate a positive cognitive effect of our ATH treatments, which increases our confidence that these effects may translate to clinical benefit in later-stage clinical trials.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ATH-1017 for the Potential Treatment of AD and Other Neuronal Diseases</w:t>
      </w:r>
    </w:p>
    <w:p>
      <w:pPr>
        <w:spacing w:after="0" w:line="10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 for the treatment of AD was well tolerated with no serious adverse events across 88 subjects recruited in the study, including 11 subjects with mild-to-moderate AD, who were assigned to treatment and control groups. Additionally, ATH-1017 treatment led to improvements in brain network activity that indicated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It is our goal to establish in current and future clinical trials that administration of ATH-1017 is effective in promoting cognitive improvement. We identified ATH-1017 in 2016 and less than five years later, we are planning to initiate our Phase 2/3 LIFT-AD trial, which has the potential to provide pivotal data in support of registration. In September 2020, we began site initiation and patient screening for our LIFT-AD clinical trial for ATH-1017 for the treatment of mild-to-moderate AD, with topline results expected by the end of 2022. In November 2020, we initiated ACT-AD, our P300 Phase 2 clinical trial, in mild-to-moderate AD to evaluate the overall effects of ATH-1017 on working memory processing speed and cognitive measurements, with topline results expected by early 2022, which will inform our strategy with respect to an additional Phase 3 clinical trial. We believe that ATH-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2" w:name="page123"/>
    <w:bookmarkEnd w:id="122"/>
    <w:p>
      <w:pPr>
        <w:ind w:right="340"/>
        <w:spacing w:after="0" w:line="276" w:lineRule="auto"/>
        <w:rPr>
          <w:sz w:val="20"/>
          <w:szCs w:val="20"/>
          <w:color w:val="auto"/>
        </w:rPr>
      </w:pPr>
      <w:r>
        <w:rPr>
          <w:rFonts w:ascii="Arial" w:cs="Arial" w:eastAsia="Arial" w:hAnsi="Arial"/>
          <w:sz w:val="18"/>
          <w:szCs w:val="18"/>
          <w:color w:val="auto"/>
        </w:rPr>
        <w:t>1017 has the potential to provide meaningful benefit to individuals impacted by AD and substantially enhance overall quality of life for the subjects and their families.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04" w:lineRule="exact"/>
        <w:rPr>
          <w:sz w:val="20"/>
          <w:szCs w:val="20"/>
          <w:color w:val="auto"/>
        </w:rPr>
      </w:pPr>
    </w:p>
    <w:p>
      <w:pPr>
        <w:ind w:right="360" w:firstLine="576"/>
        <w:spacing w:after="0" w:line="245"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Our lead candidate, ATH-1017, is a small molecule therapeutic specifically designed to promote the ability of HGF to activate MET. This promotion substantially increases MET activation levels and amplifies the beneficial downstream effects of the HGF/MET system, with several attributes relevant to AD:</w:t>
      </w:r>
    </w:p>
    <w:p>
      <w:pPr>
        <w:spacing w:after="0" w:line="64" w:lineRule="exact"/>
        <w:rPr>
          <w:sz w:val="20"/>
          <w:szCs w:val="20"/>
          <w:color w:val="auto"/>
        </w:rPr>
      </w:pPr>
    </w:p>
    <w:p>
      <w:pPr>
        <w:ind w:left="1300" w:hanging="442"/>
        <w:spacing w:after="0"/>
        <w:tabs>
          <w:tab w:leader="none" w:pos="130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256" w:lineRule="exact"/>
        <w:rPr>
          <w:sz w:val="20"/>
          <w:szCs w:val="20"/>
          <w:color w:val="auto"/>
        </w:rPr>
      </w:pPr>
    </w:p>
    <w:p>
      <w:pPr>
        <w:ind w:right="160" w:firstLine="576"/>
        <w:spacing w:after="0" w:line="274" w:lineRule="auto"/>
        <w:rPr>
          <w:sz w:val="20"/>
          <w:szCs w:val="20"/>
          <w:color w:val="auto"/>
        </w:rPr>
      </w:pPr>
      <w:r>
        <w:rPr>
          <w:rFonts w:ascii="Arial" w:cs="Arial" w:eastAsia="Arial" w:hAnsi="Arial"/>
          <w:sz w:val="18"/>
          <w:szCs w:val="18"/>
          <w:i w:val="1"/>
          <w:iCs w:val="1"/>
          <w:color w:val="auto"/>
        </w:rPr>
        <w:t>Figure 12. ATH-1017 Is Designed to Increase HGF/MET Activity and May Promote Regeneration of Neurons, Reduce Inflammation, Enhance Cognitive Processing Represented by a Decreased P300 Latency, and Improve Overall Brain Health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107315</wp:posOffset>
            </wp:positionV>
            <wp:extent cx="5349240" cy="3086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4924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20" w:firstLine="576"/>
        <w:spacing w:after="0" w:line="276" w:lineRule="auto"/>
        <w:rPr>
          <w:sz w:val="20"/>
          <w:szCs w:val="20"/>
          <w:color w:val="auto"/>
        </w:rPr>
      </w:pPr>
      <w:r>
        <w:rPr>
          <w:rFonts w:ascii="Arial" w:cs="Arial" w:eastAsia="Arial" w:hAnsi="Arial"/>
          <w:sz w:val="18"/>
          <w:szCs w:val="18"/>
          <w:color w:val="auto"/>
        </w:rPr>
        <w:t>Unlike most approved or in development drugs, ATH-1017 has the potential to be regenerative, and is designed to slow, halt, or potentially reverse the effects of AD all while using a naturally modulated approach.</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Clinical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and Phase 1b Clinical Trials</w:t>
      </w:r>
    </w:p>
    <w:p>
      <w:pPr>
        <w:spacing w:after="0" w:line="10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IND for ATH-1017 in AD was filed in September 2017. Since then, we have completed our Phase 1a and Phase 1b clinical trials, which enrolled a total of 88 subjects, including 11 AD subjects, as illustrated below in Figure 13. The clinical trials were randomized and double-blind and consisted of daily single injections over a nine-day period. While the primary endpoints of our Phase 1a single ascending dose, or SAD, and Phase 1b multiple ascending dose, or MAD, trials were focused on safety and assessment of human pharmacokinetics, we also included qEEG and ERP as measures to evaluate effects of ATH-1017 on brain activity in AD subjects. Together, these clinical trials assessed qEEG as a measure of brain circuitry and network activity and ERP as a measure of working memory access and cognitive processes in the brain.</w:t>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13. 88 Subjects Included in the Phase 1a and Phase 1b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147320</wp:posOffset>
            </wp:positionV>
            <wp:extent cx="5349240" cy="21259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4924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ATH-1017 was shown to be well tolerated with no serious adverse events across a wide dose range (2-90 mg) with single and multiple doses over 9 days. ATH-1017 demonstrated a pulsatile mode of target activation, and as shown in Figure 14, the PK profile is compelling, with linear dose relationship, no accumulation, and no sex or age effect. We did not have any subject dropout due to serious adverse events during these clinical trials.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14. ATH-1017 Demonstrated a Dose-Linear PK Profile and Did Not Accumulate with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164465</wp:posOffset>
            </wp:positionV>
            <wp:extent cx="5349240" cy="16630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4924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i w:val="1"/>
          <w:iCs w:val="1"/>
          <w:color w:val="auto"/>
        </w:rPr>
        <w:t>Translation of ATH-1017 Changes in Brain Circuitry Activity</w:t>
      </w:r>
    </w:p>
    <w:p>
      <w:pPr>
        <w:spacing w:after="0" w:line="102" w:lineRule="exact"/>
        <w:rPr>
          <w:sz w:val="20"/>
          <w:szCs w:val="20"/>
          <w:color w:val="auto"/>
        </w:rPr>
      </w:pPr>
    </w:p>
    <w:p>
      <w:pPr>
        <w:jc w:val="both"/>
        <w:ind w:right="100" w:firstLine="576"/>
        <w:spacing w:after="0" w:line="255" w:lineRule="auto"/>
        <w:rPr>
          <w:sz w:val="20"/>
          <w:szCs w:val="20"/>
          <w:color w:val="auto"/>
        </w:rPr>
      </w:pPr>
      <w:r>
        <w:rPr>
          <w:rFonts w:ascii="Arial" w:cs="Arial" w:eastAsia="Arial" w:hAnsi="Arial"/>
          <w:sz w:val="18"/>
          <w:szCs w:val="18"/>
          <w:color w:val="auto"/>
        </w:rPr>
        <w:t>qEEG was used as a translational tool to recapitulate the changes in brain network activity from ATH-1017 that were observed in our preclinical models and to help guide dose selection for late-stage clinical development. We collected qEEG recordings from healthy young, healthy elderly, and AD subjects to determine qEEG changes after the administration of ATH-1017.</w:t>
      </w:r>
    </w:p>
    <w:p>
      <w:pPr>
        <w:spacing w:after="0" w:line="16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criteria for healthy young were male subjects who at the time of screening were between the ages of 18 and 45, met certain body mass index and weight standards, and who were determined at the investigators’ discretion to be generally in good health as determined by medical history, vital signs, and physical and clinical examination. The criteria for healthy elderly were male and female subjects, who at the time of screening were between the ages of 60 and 85, met certain body mass index and weight standards, and who were determined at the investigators’ discretion to be generally in good health as determined by medical history, vital signs, and physical and clinical examination.</w:t>
      </w:r>
    </w:p>
    <w:p>
      <w:pPr>
        <w:spacing w:after="0" w:line="172"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In the clinical trials, ATH-1017 increased the levels of the high frequency gamma power which is the frequency band that is associated with learning, memory, and cognitive function. Gamma is typically decreased in AD subjects. ATH-1017 showed dose-dependent and consistent changes in gamma brain activity signals across all treated cohorts, consistent with the changes observed in non-clinical models.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EEG Changes Observed in the Phase 1a SAD Clinical Trial</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Rapid induction in the high frequency gamma power was observed after a single dose and is most likely explained by ATH-1017 promoting HGF/MET induced synaptic relocation of NMDA receptors and potentiation of NMDA receptor currents. A dose-dependent increase was observed across the low, mid, and high doses with statistically significant changes at the highest dose levels assessed. Figure 15 below shows the change in qEEG gamma power from baseline following administration of placebo, low dose ATH-1017 (2 and 6 mg, pooled), mid dose (20 and 40 mg, pooled), and high dose (60 and 90 mg, pooled).The p-value maps show the statistics based on analysis of covariance, or ANCOVA, analysis. There were 12 subjects for each of the low- and mid-dose groups, and 11 subjects for the high-dose group. A single subject from the high-dose group in the single-dose data set in Figure 15 below was excluded from analysis due to an inability to capture or analyze data as a result of technical issues such as electrode placement or subject movement. All AD subjects’ data were captured at all data points.</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15. Single Dose of ATH-1017 Increased qEEG Gamma Power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164465</wp:posOffset>
            </wp:positionV>
            <wp:extent cx="4612005" cy="17487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61200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0" w:right="3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i w:val="1"/>
          <w:iCs w:val="1"/>
          <w:color w:val="auto"/>
        </w:rPr>
        <w:t>Quantitative EEG Changes Observed in Phase 1b MAD Clinical Trial in Healthy Elderly Subjects</w:t>
      </w:r>
    </w:p>
    <w:p>
      <w:pPr>
        <w:spacing w:after="0" w:line="10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main qEEG effect of ATH-1017 administration at all doses (20, 40, and 60 mg) in the healthy elderly subjects was increased gamma power, both at 3 hours post-dose on Day 1 and across multiple data points collected on Days 4 and 8 for all assessed doses of ATH-1017. Figure 16 below shows the change in gamma power with once-daily administration of the 20 mg dose of ATH-1017 over 9 days. Similar results were observed for the 40 and 60 mg doses. All subjects completed the planned administration and data collection schedule; however, data from two of the healthy elderly subjects on Day 8 was lost due to an inability to capture or analyze that data as a result of technical issues such as electrode placement or subject movement. All AD subjects’ data were captured at all data points.</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16. ATH-1017 Administration Increased qEEG Gamma Power in Elderly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147320</wp:posOffset>
            </wp:positionV>
            <wp:extent cx="4543425" cy="21177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43425"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We also observed increased gamma power on Days 4 and 8 at the pre-dose recording: 24 hours after the last dose of ATH-1017, ATH-1017 was measured and shown to be completely cleared from the plasma. These results suggest that the beneficial effects of ATH-1017 are sustained. The increase in gamma power was specific to the treatment groups as no increase was observed in subjects receiving placebo.</w:t>
      </w:r>
    </w:p>
    <w:p>
      <w:pPr>
        <w:spacing w:after="0" w:line="170"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multiple dose clinical trial in AD subjects (40 mg subcutaneous injection once daily over 9 days) suggested a potential effect in AD subjects. Analysis of qEEG indicates an acute induction of gamma power (Day 4 and Day 8) after multiple doses. Figure 17 below shows emerging recovery of acute gamma power induction after 4 days of ATH-1017 treatment which continues to increase after 8 days of treatment. This pattern was not observed in subjects receiving placebo, where there was no consistent change in acute gamma power induction.</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17. ATH-1017 Administration Rescued Acute Gamma Power Signal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147320</wp:posOffset>
            </wp:positionV>
            <wp:extent cx="3051810" cy="5060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0518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10" w:right="39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1579880</wp:posOffset>
            </wp:positionH>
            <wp:positionV relativeFrom="page">
              <wp:posOffset>243205</wp:posOffset>
            </wp:positionV>
            <wp:extent cx="4354830" cy="16973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435483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firstLine="576"/>
        <w:spacing w:after="0" w:line="276" w:lineRule="auto"/>
        <w:rPr>
          <w:sz w:val="20"/>
          <w:szCs w:val="20"/>
          <w:color w:val="auto"/>
        </w:rPr>
      </w:pPr>
      <w:r>
        <w:rPr>
          <w:rFonts w:ascii="Arial" w:cs="Arial" w:eastAsia="Arial" w:hAnsi="Arial"/>
          <w:sz w:val="18"/>
          <w:szCs w:val="18"/>
          <w:color w:val="auto"/>
        </w:rPr>
        <w:t>Overall, the qEEG results in humans are indicative of CNS penetration and target engagement, suggesting an active dose range of ATH-1017 from 20 to 90 mg.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Event-related Potential</w:t>
      </w:r>
    </w:p>
    <w:p>
      <w:pPr>
        <w:spacing w:after="0" w:line="104" w:lineRule="exact"/>
        <w:rPr>
          <w:sz w:val="20"/>
          <w:szCs w:val="20"/>
          <w:color w:val="auto"/>
        </w:rPr>
      </w:pPr>
    </w:p>
    <w:p>
      <w:pPr>
        <w:ind w:firstLine="576"/>
        <w:spacing w:after="0" w:line="253" w:lineRule="auto"/>
        <w:rPr>
          <w:sz w:val="20"/>
          <w:szCs w:val="20"/>
          <w:color w:val="auto"/>
        </w:rPr>
      </w:pPr>
      <w:r>
        <w:rPr>
          <w:rFonts w:ascii="Arial" w:cs="Arial" w:eastAsia="Arial" w:hAnsi="Arial"/>
          <w:sz w:val="17"/>
          <w:szCs w:val="17"/>
          <w:color w:val="auto"/>
        </w:rPr>
        <w:t>In our Phase 1b clinical trial, ERP P300 recordings were collected from the MAD healthy elderly and AD subjects. Analysis of these P300 data demonstrated that one daily dose of ATH-1017 improved P300 latency over an 8-day dosing period in AD subjects, as shown in Figures 18-20. P300 latency, a functional measure of working memory processing speed and executive function that highly correlates with cognition, was dramatically improved; however, we have not yet established a connection between these P300 latency results and improved cognition.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We also observed sustained effects on P300 latency in the pre-dose recordings on subsequent testing days (the arrows in Figure 18 show the average P300 latency value from the ATH-1017 group as a heat map). At these time points, which are 24 hours after the last dose, ATH-1017 was measured and shown to be completely cleared from the plasma, while recorded P300 latency values remained lower than baseline. These data indicate ATH-1017 treatment potentially recovered disruptions to brain function and network connectivity, which we believe are likely through several components of the mechanism, including NMDA receptor modulation, increased connectivity through recovery of synaptic density, and improved overall neuronal health and function.</w:t>
      </w:r>
    </w:p>
    <w:p>
      <w:pPr>
        <w:spacing w:after="0" w:line="281"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i w:val="1"/>
          <w:iCs w:val="1"/>
          <w:color w:val="auto"/>
        </w:rPr>
        <w:t xml:space="preserve">Figure 18. ATH-1017 Treatment Led to Continued and Sustained Improvement in P300 Latency in AD Subjects. </w:t>
      </w:r>
      <w:r>
        <w:rPr>
          <w:rFonts w:ascii="Arial" w:cs="Arial" w:eastAsia="Arial" w:hAnsi="Arial"/>
          <w:sz w:val="18"/>
          <w:szCs w:val="18"/>
          <w:color w:val="auto"/>
        </w:rPr>
        <w:t>The arrows highlight</w:t>
      </w:r>
      <w:r>
        <w:rPr>
          <w:rFonts w:ascii="Arial" w:cs="Arial" w:eastAsia="Arial" w:hAnsi="Arial"/>
          <w:sz w:val="18"/>
          <w:szCs w:val="18"/>
          <w:i w:val="1"/>
          <w:iCs w:val="1"/>
          <w:color w:val="auto"/>
        </w:rPr>
        <w:t xml:space="preserve"> </w:t>
      </w:r>
      <w:r>
        <w:rPr>
          <w:rFonts w:ascii="Arial" w:cs="Arial" w:eastAsia="Arial" w:hAnsi="Arial"/>
          <w:sz w:val="18"/>
          <w:szCs w:val="18"/>
          <w:color w:val="auto"/>
        </w:rPr>
        <w:t>the sustained P300 latency benefit due to ATH-1017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106680</wp:posOffset>
            </wp:positionV>
            <wp:extent cx="5349240" cy="2177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4924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27" w:name="page128"/>
    <w:bookmarkEnd w:id="127"/>
    <w:p>
      <w:pPr>
        <w:jc w:val="both"/>
        <w:ind w:firstLine="576"/>
        <w:spacing w:after="0" w:line="254" w:lineRule="auto"/>
        <w:rPr>
          <w:sz w:val="20"/>
          <w:szCs w:val="20"/>
          <w:color w:val="auto"/>
        </w:rPr>
      </w:pPr>
      <w:r>
        <w:rPr>
          <w:rFonts w:ascii="Arial" w:cs="Arial" w:eastAsia="Arial" w:hAnsi="Arial"/>
          <w:sz w:val="18"/>
          <w:szCs w:val="18"/>
          <w:i w:val="1"/>
          <w:iCs w:val="1"/>
          <w:color w:val="auto"/>
        </w:rPr>
        <w:t xml:space="preserve">Figure 19. Quantification of the Change in P300 Latency from Baseline, ATH-1017 Significantly Reduced P300 Latency Compared to the Placebo Group on Day 8 Recordings. </w:t>
      </w:r>
      <w:r>
        <w:rPr>
          <w:rFonts w:ascii="Arial" w:cs="Arial" w:eastAsia="Arial" w:hAnsi="Arial"/>
          <w:sz w:val="18"/>
          <w:szCs w:val="18"/>
          <w:color w:val="auto"/>
        </w:rPr>
        <w:t>Data show average P300 latency values of 7 AD subjects treated with ATH-1017 vs. 4 AD subjects</w:t>
      </w:r>
      <w:r>
        <w:rPr>
          <w:rFonts w:ascii="Arial" w:cs="Arial" w:eastAsia="Arial" w:hAnsi="Arial"/>
          <w:sz w:val="18"/>
          <w:szCs w:val="18"/>
          <w:i w:val="1"/>
          <w:iCs w:val="1"/>
          <w:color w:val="auto"/>
        </w:rPr>
        <w:t xml:space="preserve"> </w:t>
      </w:r>
      <w:r>
        <w:rPr>
          <w:rFonts w:ascii="Arial" w:cs="Arial" w:eastAsia="Arial" w:hAnsi="Arial"/>
          <w:sz w:val="18"/>
          <w:szCs w:val="18"/>
          <w:color w:val="auto"/>
        </w:rPr>
        <w:t>on placebo * p≤0.05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135890</wp:posOffset>
            </wp:positionV>
            <wp:extent cx="5117465" cy="2674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1746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00" w:firstLine="576"/>
        <w:spacing w:after="0" w:line="254" w:lineRule="auto"/>
        <w:rPr>
          <w:sz w:val="20"/>
          <w:szCs w:val="20"/>
          <w:color w:val="auto"/>
        </w:rPr>
      </w:pPr>
      <w:r>
        <w:rPr>
          <w:rFonts w:ascii="Arial" w:cs="Arial" w:eastAsia="Arial" w:hAnsi="Arial"/>
          <w:sz w:val="18"/>
          <w:szCs w:val="18"/>
          <w:i w:val="1"/>
          <w:iCs w:val="1"/>
          <w:color w:val="auto"/>
        </w:rPr>
        <w:t>Figure 20. Data from Each Subject in the Clinical Trial Showing the Change in P300 Latency from Baseline, What Is Clear Is that Every Subject Receiving ATH-1017 Showed a Level of Improvement in P300 Latency and Subjects Receiving Placebo Had No Consistent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118745</wp:posOffset>
            </wp:positionV>
            <wp:extent cx="3848735" cy="30003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4873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18" w:right="39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i w:val="1"/>
          <w:iCs w:val="1"/>
          <w:color w:val="auto"/>
        </w:rPr>
        <w:t>Safety</w:t>
      </w:r>
    </w:p>
    <w:p>
      <w:pPr>
        <w:spacing w:after="0" w:line="102"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ATH-1017 was well tolerated with no serious adverse events in our placebo-controlled double blind Phase 1a and Phase 1b clinical trials conducted to date where we enrolled 88 subjects recruited in the study, including 11 subjects with mild-to-moderate AD, who were assigned to treatment and control groups.</w:t>
      </w:r>
    </w:p>
    <w:p>
      <w:pPr>
        <w:spacing w:after="0" w:line="164"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Additionally, standard 26-week chronic GLP toxicology studies in rats and dogs showed no adverse findings in clinical observations, behavior, and clinical pathology laboratory parameters. Daily subcutaneous administration of ATH-1017 to rats for 26 weeks was tolerated. The only adverse finding was necrosis of the injection site subcutaneous tissue in male animals that largely resolved after the 28-day recovery period. Moreover, GLP safety pharmacology studies on rats and dogs reported no effects on cardiovascular, respiratory, or CNS function.</w:t>
      </w:r>
    </w:p>
    <w:p>
      <w:pPr>
        <w:spacing w:after="0" w:line="172"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In summary, human exposures from the planned dose range of 20-80 mg for the Phase 2 clinical trials are well below the animal no observable adverse event level, or NOAEL, exposures. Furthermore, the NOAEL from the 26-week GLP toxicity study was defined by injection site reactions, which are monitorable and reversible, and may be less of a risk in humans due to greater surface area, a higher number of injection sites, and a lower volume of injection relative to body size.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ATH-1017 is delivered by once-daily subcutaneous injection. The ATH-1017 formulation is non-viscous, with a neutral pH, and is expected to be dispensed and administered at room temperature. These attributes and the use of small-gauge needles, and minimal volumes (≤ 1 mL) significantly optimize the ATH-1017 product profile for a subcutaneous route of administration. Subcutaneous injections are a common route of administration of chronic therapies, including those for diabetic or MS patients, and are easy to administer for patients and/or caregivers while being generally well tolerated. With the progression of neurodegenerative disorders, oral administration can become challenging as:</w:t>
      </w:r>
    </w:p>
    <w:p>
      <w:pPr>
        <w:spacing w:after="0" w:line="66" w:lineRule="exact"/>
        <w:rPr>
          <w:sz w:val="20"/>
          <w:szCs w:val="20"/>
          <w:color w:val="auto"/>
        </w:rPr>
      </w:pPr>
    </w:p>
    <w:p>
      <w:pPr>
        <w:ind w:left="1300" w:hanging="442"/>
        <w:spacing w:after="0"/>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safe swallowing often becomes increasingly difficult;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daily trays of multiple solid oral dosage forms add to patient/caregiver burden;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resistance to care can also impact compliance.</w:t>
      </w:r>
    </w:p>
    <w:p>
      <w:pPr>
        <w:spacing w:after="0" w:line="22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Subcutaneous injectables are expected to improve compliance and overall treatment outcomes. We have conducted a medication management research initiative, where we surveyed a number of caregivers and medical professionals to understand compliance challenges in the AD population. Top issues impeding compliance included forgetfulness, resistance to care, pill handling, and swallowing. The results of this study combined with the potential for a subcutaneous product profile to address several of these challenges, support ATH-1017 to be advanced as a once-daily subcutaneous injectable therapy for AD and dementia patients.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Plans for Alternative Delivery Devices for ATH-1017</w:t>
      </w:r>
    </w:p>
    <w:p>
      <w:pPr>
        <w:spacing w:after="0" w:line="102" w:lineRule="exact"/>
        <w:rPr>
          <w:sz w:val="20"/>
          <w:szCs w:val="20"/>
          <w:color w:val="auto"/>
        </w:rPr>
      </w:pPr>
    </w:p>
    <w:p>
      <w:pPr>
        <w:jc w:val="both"/>
        <w:ind w:right="100" w:firstLine="576"/>
        <w:spacing w:after="0" w:line="255" w:lineRule="auto"/>
        <w:rPr>
          <w:sz w:val="20"/>
          <w:szCs w:val="20"/>
          <w:color w:val="auto"/>
        </w:rPr>
      </w:pPr>
      <w:r>
        <w:rPr>
          <w:rFonts w:ascii="Arial" w:cs="Arial" w:eastAsia="Arial" w:hAnsi="Arial"/>
          <w:sz w:val="18"/>
          <w:szCs w:val="18"/>
          <w:color w:val="auto"/>
        </w:rPr>
        <w:t>ATH-1017 is initially being developed to be delivered via pre-filled syringes for Phase 2/3 clinical trials and initial market penetration. We are exploring the development of alternative delivery devices, including multi-dose pen injectors, to increase patient comfort and ease of use for patients and caregivers, with a view towards improving patient compliance and outcomes.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LIFT-AD Trial: A 26-Week Phase 2/3 Clinical Trial in Mild-to-Moderate AD Subjects</w:t>
      </w:r>
    </w:p>
    <w:p>
      <w:pPr>
        <w:spacing w:after="0" w:line="102"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Based on the safety and translational Phase 1a and Phase 1b clinical trial results, including AD subjects, we have initiated LIFT-AD, a Phase 2/3 randomized, double-blind, placebo-controlled clinical trial. This clinical trial is designed to assess the efficacy, safety, and tolerability of two dose levels of ATH-</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129" w:name="page130"/>
    <w:bookmarkEnd w:id="129"/>
    <w:p>
      <w:pPr>
        <w:ind w:right="80"/>
        <w:spacing w:after="0" w:line="241" w:lineRule="auto"/>
        <w:rPr>
          <w:sz w:val="20"/>
          <w:szCs w:val="20"/>
          <w:color w:val="auto"/>
        </w:rPr>
      </w:pPr>
      <w:r>
        <w:rPr>
          <w:rFonts w:ascii="Arial" w:cs="Arial" w:eastAsia="Arial" w:hAnsi="Arial"/>
          <w:sz w:val="18"/>
          <w:szCs w:val="18"/>
          <w:color w:val="auto"/>
        </w:rPr>
        <w:t>1017 (low and high) in subjects with mild-to-moderate AD compared to placebo. The clinical trial is intended to enroll approximately 240 to 300 AD subjects. Subjects enrolled in the clinical trial will have a severity range within the conventional boundaries for mild-to-moderate AD, based on MMSE 14-24 inclusive. Clinical dementia rating, or CDR, is a 5-point scale used to assess cognitive processing and function in AD and related dementias. CDR 1 or 2 are an additional inclusion criterion to ensure overt dementia. In September 2020, we began the site initiation and patient screening for the LIFT-AD trial and anticipate topline results by the end of 2022. These topline results may provide pivotal data in support of registration, but the FDA or other regulators may still require additional trials even if results from the LIFT-AD trial are positive.</w:t>
      </w:r>
    </w:p>
    <w:p>
      <w:pPr>
        <w:spacing w:after="0" w:line="179" w:lineRule="exact"/>
        <w:rPr>
          <w:sz w:val="20"/>
          <w:szCs w:val="20"/>
          <w:color w:val="auto"/>
        </w:rPr>
      </w:pPr>
    </w:p>
    <w:p>
      <w:pPr>
        <w:jc w:val="both"/>
        <w:ind w:right="80" w:firstLine="576"/>
        <w:spacing w:after="0" w:line="255" w:lineRule="auto"/>
        <w:rPr>
          <w:sz w:val="20"/>
          <w:szCs w:val="20"/>
          <w:color w:val="auto"/>
        </w:rPr>
      </w:pPr>
      <w:r>
        <w:rPr>
          <w:rFonts w:ascii="Arial" w:cs="Arial" w:eastAsia="Arial" w:hAnsi="Arial"/>
          <w:sz w:val="18"/>
          <w:szCs w:val="18"/>
          <w:color w:val="auto"/>
        </w:rPr>
        <w:t>Compared to therapies focused on AD progression, which traditionally require multi-year clinical trials to measure changes in disease progression, we believe that ATH-1017 may induce a rapid boost in cognition, which enables us to design our trial with a 26-week treatment period and potentially accelerate the clinical development of ATH-1017.</w:t>
      </w:r>
    </w:p>
    <w:p>
      <w:pPr>
        <w:spacing w:after="0" w:line="16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primary endpoint in this clinical trial will be the Global Statistical Test, or GST, and this outcome will provide proof-of-concept data. GST is based on actual psychometric performance tests of ADAS-cog-11 and ADCS-CGIC, both of which are key secondary endpoints and will potentially provide pivotal evidence to support registration. ADAS-cog-11 refers to the 11 tasks that make up the ADAS-cog neuropsychological assessment. ADCS-CGIC refers to the Alzheimer’s Disease Cooperative Study-Clinical Global Impression of Change, a systematic method for assessing clinically significant change in a clinical trial. GST provides a more sensitive endpoint to the overall treatment effect of multiple variables and increases our chances of understanding the full impact of ATH-1017 clinical outcomes. If each of the key secondary endpoints – ADAS-cog-11 and ADCS-CGIC – is positive, then GST will also be positive. Positive GST data will support proof of concept and positive results from the key secondary endpoints will potentially provide pivotal evidence to support regulatory approval.</w:t>
      </w:r>
    </w:p>
    <w:p>
      <w:pPr>
        <w:spacing w:after="0" w:line="176" w:lineRule="exact"/>
        <w:rPr>
          <w:sz w:val="20"/>
          <w:szCs w:val="20"/>
          <w:color w:val="auto"/>
        </w:rPr>
      </w:pPr>
    </w:p>
    <w:p>
      <w:pPr>
        <w:ind w:right="300" w:firstLine="576"/>
        <w:spacing w:after="0" w:line="255" w:lineRule="auto"/>
        <w:rPr>
          <w:sz w:val="20"/>
          <w:szCs w:val="20"/>
          <w:color w:val="auto"/>
        </w:rPr>
      </w:pPr>
      <w:r>
        <w:rPr>
          <w:rFonts w:ascii="Arial" w:cs="Arial" w:eastAsia="Arial" w:hAnsi="Arial"/>
          <w:sz w:val="18"/>
          <w:szCs w:val="18"/>
          <w:color w:val="auto"/>
        </w:rPr>
        <w:t>Further secondary endpoints will include the Controlled Oral Word Association Test, or COWAT, to specifically assess changes in executive memory function, the Disability Assessment for Dementia, or DAD, scale to assess instrumental activities of daily living, and the Neuropsychiatric Inventory, or NPI, to assess any changes in behavior.</w:t>
      </w:r>
    </w:p>
    <w:p>
      <w:pPr>
        <w:spacing w:after="0" w:line="164" w:lineRule="exact"/>
        <w:rPr>
          <w:sz w:val="20"/>
          <w:szCs w:val="20"/>
          <w:color w:val="auto"/>
        </w:rPr>
      </w:pPr>
    </w:p>
    <w:p>
      <w:pPr>
        <w:ind w:right="680" w:firstLine="576"/>
        <w:spacing w:after="0" w:line="276" w:lineRule="auto"/>
        <w:rPr>
          <w:sz w:val="20"/>
          <w:szCs w:val="20"/>
          <w:color w:val="auto"/>
        </w:rPr>
      </w:pPr>
      <w:r>
        <w:rPr>
          <w:rFonts w:ascii="Arial" w:cs="Arial" w:eastAsia="Arial" w:hAnsi="Arial"/>
          <w:sz w:val="18"/>
          <w:szCs w:val="18"/>
          <w:color w:val="auto"/>
        </w:rPr>
        <w:t>Exploratory pharmaco-economic outcomes will be comprised of validated scales to capture resource utilization (RUD-lite 3.3), caregiver burden (Zarit Burden Interview) and the EQ-5D-5L.</w:t>
      </w:r>
    </w:p>
    <w:p>
      <w:pPr>
        <w:spacing w:after="0" w:line="145" w:lineRule="exact"/>
        <w:rPr>
          <w:sz w:val="20"/>
          <w:szCs w:val="20"/>
          <w:color w:val="auto"/>
        </w:rPr>
      </w:pPr>
    </w:p>
    <w:p>
      <w:pPr>
        <w:ind w:right="800" w:firstLine="576"/>
        <w:spacing w:after="0" w:line="255" w:lineRule="auto"/>
        <w:rPr>
          <w:sz w:val="20"/>
          <w:szCs w:val="20"/>
          <w:color w:val="auto"/>
        </w:rPr>
      </w:pPr>
      <w:r>
        <w:rPr>
          <w:rFonts w:ascii="Arial" w:cs="Arial" w:eastAsia="Arial" w:hAnsi="Arial"/>
          <w:sz w:val="18"/>
          <w:szCs w:val="18"/>
          <w:color w:val="auto"/>
        </w:rPr>
        <w:t>The clinical trial design for LIFT-AD was informed by our previous interactions and discussions with the FDA. In order to be considered a pivotal trial supportive of FDA approval for mild to moderate AD, LIFT-AD will need to achieve a statistically significant improvement separately on both the ADAS-Cog11 and ADCS-CGIC.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ACT-AD P300 Trial: A 26-Week Phase 2 Clinical Trial in Mild-to-Moderate AD Subjects</w:t>
      </w:r>
    </w:p>
    <w:p>
      <w:pPr>
        <w:spacing w:after="0" w:line="77" w:lineRule="exact"/>
        <w:rPr>
          <w:sz w:val="20"/>
          <w:szCs w:val="20"/>
          <w:color w:val="auto"/>
        </w:rPr>
      </w:pPr>
    </w:p>
    <w:p>
      <w:pPr>
        <w:ind w:firstLine="576"/>
        <w:spacing w:after="0" w:line="219" w:lineRule="exact"/>
        <w:rPr>
          <w:sz w:val="20"/>
          <w:szCs w:val="20"/>
          <w:color w:val="auto"/>
        </w:rPr>
      </w:pPr>
      <w:r>
        <w:rPr>
          <w:rFonts w:ascii="Arial" w:cs="Arial" w:eastAsia="Arial" w:hAnsi="Arial"/>
          <w:sz w:val="18"/>
          <w:szCs w:val="18"/>
          <w:color w:val="auto"/>
        </w:rPr>
        <w:t>In addition to LIFT-AD, in November 2020 we initiated ACT</w:t>
      </w:r>
      <w:r>
        <w:rPr>
          <w:rFonts w:ascii="MS PGothic" w:cs="MS PGothic" w:eastAsia="MS PGothic" w:hAnsi="MS PGothic"/>
          <w:sz w:val="18"/>
          <w:szCs w:val="18"/>
          <w:color w:val="auto"/>
        </w:rPr>
        <w:t>‑</w:t>
      </w:r>
      <w:r>
        <w:rPr>
          <w:rFonts w:ascii="Arial" w:cs="Arial" w:eastAsia="Arial" w:hAnsi="Arial"/>
          <w:sz w:val="18"/>
          <w:szCs w:val="18"/>
          <w:color w:val="auto"/>
        </w:rPr>
        <w:t>AD, a randomized, placebo-controlled P300 Phase 2 clinical trial designed to test the same dose levels of ATH-1017 (low and high) in subjects with mild-to-moderate AD compared to placebo. We intend to enroll approximately 60 to 75 mild-to-moderate AD subjects using the same enrollment criteria as described above and include a 26-week treatment period.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30" w:name="page131"/>
    <w:bookmarkEnd w:id="130"/>
    <w:p>
      <w:pPr>
        <w:ind w:firstLine="576"/>
        <w:spacing w:after="0" w:line="207" w:lineRule="exact"/>
        <w:rPr>
          <w:sz w:val="20"/>
          <w:szCs w:val="20"/>
          <w:color w:val="auto"/>
        </w:rPr>
      </w:pPr>
      <w:r>
        <w:rPr>
          <w:rFonts w:ascii="Arial" w:cs="Arial" w:eastAsia="Arial" w:hAnsi="Arial"/>
          <w:sz w:val="18"/>
          <w:szCs w:val="18"/>
          <w:color w:val="auto"/>
        </w:rPr>
        <w:t>The primary endpoint of this clinical trial is to establish the correlation of P300 latency changes due to ATH-1017 treatment to cognitive benefits, as previously shown for cholinergic drugs and cognitive therapies. Secondary endpoints include the GST as well as psychometric performance tests of ADAS-cog-11 and ADCS-CGIC, which are the primary endpoint and key secondary endpoints of LIFT-AD. This clinical trial will help define the safety profile and effect size of ATH-1017 in mild-to-moderate AD. Additionally, because this clinical trial is expected to have a faster readout due to a smaller sample size than LIFT-AD, it will help support strategic decisions around additional clinical trials, including any additional pivotal trials that we may initiate in parallel to the LIFT-AD trial if the results from the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do not meet our expectations. In November 2020, we initiated the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in mild-to-moderate AD to better understand the overall effects of ATH-1017 on working memory processing speed and cognitive measures, with topline results expected by early 2022.</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Expand Development of ATH-1017 to Include Additional Indications.</w:t>
      </w:r>
    </w:p>
    <w:p>
      <w:pPr>
        <w:spacing w:after="0" w:line="102"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We are developing ATH-1017 as a treatment for mild-to-moderate AD patients, but over time, we aim to expand development to cover all stages of AD. Ultimately, we believe that ATH-1017 can address the broader dementia patient population.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Proof-of-Concept Clinical Trial in PDD Subjects</w:t>
      </w:r>
    </w:p>
    <w:p>
      <w:pPr>
        <w:spacing w:after="0" w:line="10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In addition to the two AD clinical trials, we are also planning to test the effects of ATH-1017 in PDD subjects. PDD is a disease that impacts neuronal health and leads to a progressive damage of the brain network, ultimately impacting function and cognition. Like AD, PDD subjects demonstrate an increase in their P300 latency, which increases the likelihood that ATH-1017 can potentially address dementia in PDD subjects. This clinical trial will be a randomized, placebo-controlled, Phase 2 proof-of-concept clinical trial in PDD subjects with a planned start by the end of 2021. The population severity will include Hoehn-Yahr stages 1 through 4, inclusive, who will receive high and low doses of ATH-1017 versus placebo. Endpoints will include Parkinson’s Disease-Cognitive Rating Scale, or PD-CRS.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Results</w:t>
      </w:r>
    </w:p>
    <w:p>
      <w:pPr>
        <w:spacing w:after="0" w:line="104"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 xml:space="preserve">ATH-1017 was assessed in multiple preclinical studies, including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and several animal models of memory deficits. ATH-1017 promoted the formation of new spines and functional synapses in hippocampal neurons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(neuronal cultures). ATH-1017 also activated HGF/MET, which in turn has been shown to enhance long-term potentiation. Long-term potentiation refers to a process at the individual neuron level, where memory formation is thought to involve a sustained increase in synaptic efficiency following repeated stimulation. In the aged animal model of dementia, ATH-1017 increased synaptic density and in multiple models of dementia improved performance in tests of spatial memory.</w:t>
      </w:r>
    </w:p>
    <w:p>
      <w:pPr>
        <w:spacing w:after="0" w:line="17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Similar to the clinical findings, ATH-1017 treatment also increased the qEEG gamma power that is associated with cognitive processing and memory in a non-clinical AD animal model (APP1/PS1), as shown in Figure 21. Changes in gamma brain activity signals are highly translatable which helped guide our selection of the clinical doses.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31" w:name="page132"/>
    <w:bookmarkEnd w:id="131"/>
    <w:p>
      <w:pPr>
        <w:ind w:right="580" w:firstLine="576"/>
        <w:spacing w:after="0" w:line="274" w:lineRule="auto"/>
        <w:rPr>
          <w:sz w:val="20"/>
          <w:szCs w:val="20"/>
          <w:color w:val="auto"/>
        </w:rPr>
      </w:pPr>
      <w:r>
        <w:rPr>
          <w:rFonts w:ascii="Arial" w:cs="Arial" w:eastAsia="Arial" w:hAnsi="Arial"/>
          <w:sz w:val="18"/>
          <w:szCs w:val="18"/>
          <w:i w:val="1"/>
          <w:iCs w:val="1"/>
          <w:color w:val="auto"/>
        </w:rPr>
        <w:t>Figure 21. ATH-1017 Treatment Induces Acute Increases in Gamma Power within One Hour of Administration (left); and Daily Treatment for Two Weeks Followed by a Seven-Day Washout Shows a Sustained Effect on Gamma Power (right).</w:t>
      </w:r>
    </w:p>
    <w:p>
      <w:pPr>
        <w:sectPr>
          <w:pgSz w:w="11900" w:h="16838" w:orient="portrait"/>
          <w:cols w:equalWidth="0" w:num="1">
            <w:col w:w="11140"/>
          </w:cols>
          <w:pgMar w:left="320" w:top="362" w:right="439" w:bottom="1440" w:gutter="0" w:footer="0" w:header="0"/>
        </w:sectPr>
      </w:pPr>
    </w:p>
    <w:p>
      <w:pPr>
        <w:spacing w:after="0" w:line="144" w:lineRule="exact"/>
        <w:rPr>
          <w:sz w:val="20"/>
          <w:szCs w:val="20"/>
          <w:color w:val="auto"/>
        </w:rPr>
      </w:pPr>
    </w:p>
    <w:p>
      <w:pPr>
        <w:jc w:val="center"/>
        <w:ind w:left="60"/>
        <w:spacing w:after="0" w:line="287" w:lineRule="auto"/>
        <w:rPr>
          <w:sz w:val="20"/>
          <w:szCs w:val="20"/>
          <w:color w:val="auto"/>
        </w:rPr>
      </w:pPr>
      <w:r>
        <w:rPr>
          <w:rFonts w:ascii="Arial" w:cs="Arial" w:eastAsia="Arial" w:hAnsi="Arial"/>
          <w:sz w:val="18"/>
          <w:szCs w:val="18"/>
          <w:b w:val="1"/>
          <w:bCs w:val="1"/>
          <w:color w:val="auto"/>
        </w:rPr>
        <w:t>ATH-1017 Induces an Acute Dose-Dependent Increase in Gamma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95885</wp:posOffset>
            </wp:positionV>
            <wp:extent cx="2245995" cy="1920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45995" cy="1920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100"/>
        <w:spacing w:after="0" w:line="287" w:lineRule="auto"/>
        <w:rPr>
          <w:sz w:val="20"/>
          <w:szCs w:val="20"/>
          <w:color w:val="auto"/>
        </w:rPr>
      </w:pPr>
      <w:r>
        <w:rPr>
          <w:rFonts w:ascii="Arial" w:cs="Arial" w:eastAsia="Arial" w:hAnsi="Arial"/>
          <w:sz w:val="18"/>
          <w:szCs w:val="18"/>
          <w:b w:val="1"/>
          <w:bCs w:val="1"/>
          <w:color w:val="auto"/>
        </w:rPr>
        <w:t>Two Weeks of ATH-1017 Treatment Induced Increased Gamma Power That Was Sustained After Seven Days of Washout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95885</wp:posOffset>
            </wp:positionV>
            <wp:extent cx="2880360" cy="19030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80360" cy="1903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260"/>
            <w:col w:w="6000"/>
          </w:cols>
          <w:pgMar w:left="320" w:top="36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ATH Platform</w:t>
      </w:r>
    </w:p>
    <w:p>
      <w:pPr>
        <w:spacing w:after="0" w:line="106" w:lineRule="exact"/>
        <w:rPr>
          <w:sz w:val="20"/>
          <w:szCs w:val="20"/>
          <w:color w:val="auto"/>
        </w:rPr>
      </w:pPr>
    </w:p>
    <w:p>
      <w:pPr>
        <w:jc w:val="both"/>
        <w:ind w:right="160" w:firstLine="576"/>
        <w:spacing w:after="0" w:line="245" w:lineRule="auto"/>
        <w:rPr>
          <w:sz w:val="20"/>
          <w:szCs w:val="20"/>
          <w:color w:val="auto"/>
        </w:rPr>
      </w:pPr>
      <w:r>
        <w:rPr>
          <w:rFonts w:ascii="Arial" w:cs="Arial" w:eastAsia="Arial" w:hAnsi="Arial"/>
          <w:sz w:val="18"/>
          <w:szCs w:val="18"/>
          <w:color w:val="auto"/>
        </w:rPr>
        <w:t>Our ATH platform leverages the activity of a validated regenerative pathway, the HGF/MET system, that is critical for normal brain function. It is our goal to establish in current and future clinical trials that our ATH platform, which is designed to enhance the body’s repair mechanism of HGF/MET, can potentially address a wide range of clinical applications ranging from CNS disorders, such as AD, PDD, MS, and ALS, to more peripheral conditions such as neuropathy. In addition, we believe that HGF/MET biology plays a role in neuropsychiatric indications such as depression and anxiety.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Aspects of Our ATH Platform</w:t>
      </w:r>
    </w:p>
    <w:p>
      <w:pPr>
        <w:spacing w:after="0" w:line="104" w:lineRule="exact"/>
        <w:rPr>
          <w:sz w:val="20"/>
          <w:szCs w:val="20"/>
          <w:color w:val="auto"/>
        </w:rPr>
      </w:pPr>
    </w:p>
    <w:p>
      <w:pPr>
        <w:jc w:val="both"/>
        <w:ind w:right="320" w:firstLine="576"/>
        <w:spacing w:after="0" w:line="255" w:lineRule="auto"/>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56" w:lineRule="exact"/>
        <w:rPr>
          <w:sz w:val="20"/>
          <w:szCs w:val="20"/>
          <w:color w:val="auto"/>
        </w:rPr>
      </w:pPr>
    </w:p>
    <w:p>
      <w:pPr>
        <w:ind w:left="1300" w:right="60" w:hanging="442"/>
        <w:spacing w:after="0" w:line="255" w:lineRule="auto"/>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Small molecules</w:t>
      </w:r>
      <w:r>
        <w:rPr>
          <w:rFonts w:ascii="Arial" w:cs="Arial" w:eastAsia="Arial" w:hAnsi="Arial"/>
          <w:sz w:val="18"/>
          <w:szCs w:val="18"/>
          <w:color w:val="auto"/>
        </w:rPr>
        <w:t>. Previous attempts to promote neurotrophic factor activity with recombinant proteins or stem cells involved</w:t>
      </w:r>
      <w:r>
        <w:rPr>
          <w:rFonts w:ascii="Arial" w:cs="Arial" w:eastAsia="Arial" w:hAnsi="Arial"/>
          <w:sz w:val="18"/>
          <w:szCs w:val="18"/>
          <w:i w:val="1"/>
          <w:iCs w:val="1"/>
          <w:color w:val="auto"/>
        </w:rPr>
        <w:t xml:space="preserve"> </w:t>
      </w:r>
      <w:r>
        <w:rPr>
          <w:rFonts w:ascii="Arial" w:cs="Arial" w:eastAsia="Arial" w:hAnsi="Arial"/>
          <w:sz w:val="18"/>
          <w:szCs w:val="18"/>
          <w:color w:val="auto"/>
        </w:rPr>
        <w:t>invasive surgeries or risked immune response. Our small molecules overcome these challenges, allowing for non-invasive systemic drug delivery through subcutaneous or oral routes that distribute to the nervous system.</w:t>
      </w:r>
    </w:p>
    <w:p>
      <w:pPr>
        <w:spacing w:after="0" w:line="54"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Efficient and scalable manufacturing process</w:t>
      </w:r>
      <w:r>
        <w:rPr>
          <w:rFonts w:ascii="Arial" w:cs="Arial" w:eastAsia="Arial" w:hAnsi="Arial"/>
          <w:sz w:val="18"/>
          <w:szCs w:val="18"/>
          <w:color w:val="auto"/>
        </w:rPr>
        <w:t>. Small molecules are manufactured using scalable chemical synthesis routes,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cost and time efficient process that does not require custom manufacturing infrastructure.</w:t>
      </w:r>
    </w:p>
    <w:p>
      <w:pPr>
        <w:spacing w:after="0" w:line="37"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Avoids alteration of target system regulation</w:t>
      </w:r>
      <w:r>
        <w:rPr>
          <w:rFonts w:ascii="Arial" w:cs="Arial" w:eastAsia="Arial" w:hAnsi="Arial"/>
          <w:sz w:val="18"/>
          <w:szCs w:val="18"/>
          <w:color w:val="auto"/>
        </w:rPr>
        <w:t>. ATH compounds are designed to enhance the activity of the target system with</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disruption to nor evasion of the normal regulatory processes that are in place to prevent hypo- or hyper-activation. This design aims to reduce safety risks.</w:t>
      </w:r>
    </w:p>
    <w:p>
      <w:pPr>
        <w:spacing w:after="0" w:line="163" w:lineRule="exact"/>
        <w:rPr>
          <w:sz w:val="20"/>
          <w:szCs w:val="20"/>
          <w:color w:val="auto"/>
        </w:rPr>
      </w:pPr>
    </w:p>
    <w:p>
      <w:pPr>
        <w:ind w:right="340" w:firstLine="576"/>
        <w:spacing w:after="0" w:line="276" w:lineRule="auto"/>
        <w:rPr>
          <w:sz w:val="20"/>
          <w:szCs w:val="20"/>
          <w:color w:val="auto"/>
        </w:rPr>
      </w:pPr>
      <w:r>
        <w:rPr>
          <w:rFonts w:ascii="Arial" w:cs="Arial" w:eastAsia="Arial" w:hAnsi="Arial"/>
          <w:sz w:val="18"/>
          <w:szCs w:val="18"/>
          <w:color w:val="auto"/>
        </w:rPr>
        <w:t>We believe that the ATH platform represents a significant opportunity to develop therapeutics for the treatment of diseases of the nervous system and has the potential to drive significant advancement in regenerative medicine.</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62" w:right="4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8"/>
          <w:szCs w:val="18"/>
          <w:b w:val="1"/>
          <w:bCs w:val="1"/>
          <w:i w:val="1"/>
          <w:iCs w:val="1"/>
          <w:color w:val="auto"/>
        </w:rPr>
        <w:t>Our Therapeutic Discovery Process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utilize a rigorous process to identify small-molecule compounds that activate regenerative systems.</w:t>
      </w:r>
    </w:p>
    <w:p>
      <w:pPr>
        <w:spacing w:after="0" w:line="104" w:lineRule="exact"/>
        <w:rPr>
          <w:sz w:val="20"/>
          <w:szCs w:val="20"/>
          <w:color w:val="auto"/>
        </w:rPr>
      </w:pPr>
    </w:p>
    <w:p>
      <w:pPr>
        <w:ind w:left="800" w:hanging="225"/>
        <w:spacing w:after="0" w:line="255" w:lineRule="auto"/>
        <w:tabs>
          <w:tab w:leader="none" w:pos="80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Focus on activity</w:t>
      </w:r>
      <w:r>
        <w:rPr>
          <w:rFonts w:ascii="Arial" w:cs="Arial" w:eastAsia="Arial" w:hAnsi="Arial"/>
          <w:sz w:val="18"/>
          <w:szCs w:val="18"/>
          <w:color w:val="auto"/>
        </w:rPr>
        <w:t>. Our drug screening process is an efficient blend of modern and traditional methods, starting with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modeling to create compound libraries. In our process, focus is placed on early activity assays, in which potential hits are advanced to further discovery.</w:t>
      </w:r>
    </w:p>
    <w:p>
      <w:pPr>
        <w:spacing w:after="0" w:line="54" w:lineRule="exact"/>
        <w:rPr>
          <w:rFonts w:ascii="Times New Roman" w:cs="Times New Roman" w:eastAsia="Times New Roman" w:hAnsi="Times New Roman"/>
          <w:sz w:val="18"/>
          <w:szCs w:val="18"/>
          <w:color w:val="auto"/>
        </w:rPr>
      </w:pPr>
    </w:p>
    <w:p>
      <w:pPr>
        <w:ind w:left="800" w:right="40" w:hanging="225"/>
        <w:spacing w:after="0" w:line="255" w:lineRule="auto"/>
        <w:tabs>
          <w:tab w:leader="none" w:pos="80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Maximize hit potential</w:t>
      </w:r>
      <w:r>
        <w:rPr>
          <w:rFonts w:ascii="Arial" w:cs="Arial" w:eastAsia="Arial" w:hAnsi="Arial"/>
          <w:sz w:val="18"/>
          <w:szCs w:val="18"/>
          <w:color w:val="auto"/>
        </w:rPr>
        <w:t>. When hits are identified, we employ a comprehensive set of studies to collect compound characteristics and</w:t>
      </w:r>
      <w:r>
        <w:rPr>
          <w:rFonts w:ascii="Arial" w:cs="Arial" w:eastAsia="Arial" w:hAnsi="Arial"/>
          <w:sz w:val="18"/>
          <w:szCs w:val="18"/>
          <w:i w:val="1"/>
          <w:iCs w:val="1"/>
          <w:color w:val="auto"/>
        </w:rPr>
        <w:t xml:space="preserve"> </w:t>
      </w:r>
      <w:r>
        <w:rPr>
          <w:rFonts w:ascii="Arial" w:cs="Arial" w:eastAsia="Arial" w:hAnsi="Arial"/>
          <w:sz w:val="18"/>
          <w:szCs w:val="18"/>
          <w:color w:val="auto"/>
        </w:rPr>
        <w:t>optimize for drug-like characteristics with medicinal chemistry and structure-activity relationship studies to produce candidates ready for further development.</w:t>
      </w:r>
    </w:p>
    <w:p>
      <w:pPr>
        <w:spacing w:after="0" w:line="54" w:lineRule="exact"/>
        <w:rPr>
          <w:rFonts w:ascii="Times New Roman" w:cs="Times New Roman" w:eastAsia="Times New Roman" w:hAnsi="Times New Roman"/>
          <w:sz w:val="18"/>
          <w:szCs w:val="18"/>
          <w:color w:val="auto"/>
        </w:rPr>
      </w:pPr>
    </w:p>
    <w:p>
      <w:pPr>
        <w:jc w:val="both"/>
        <w:ind w:left="800" w:right="800" w:hanging="225"/>
        <w:spacing w:after="0" w:line="305" w:lineRule="auto"/>
        <w:tabs>
          <w:tab w:leader="none" w:pos="80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Gain insight to inform future therapeutic development</w:t>
      </w:r>
      <w:r>
        <w:rPr>
          <w:rFonts w:ascii="Arial" w:cs="Arial" w:eastAsia="Arial" w:hAnsi="Arial"/>
          <w:sz w:val="17"/>
          <w:szCs w:val="17"/>
          <w:color w:val="auto"/>
        </w:rPr>
        <w:t>. We consider the drug discovery process as a cycle, with past work</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informing future drug design, ultimately optimizing the process as we advance our knowledge and expertise.</w:t>
      </w:r>
    </w:p>
    <w:p>
      <w:pPr>
        <w:spacing w:after="0" w:line="123"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This system has supported the identification of several candidates for development, including ATH-1017. We are using our ATH platform and discovery engine to explore potential development of therapeutic candidates in additional nervous system disorders including ALS, MS, and neuropsychiatric indications, as well as in peripheral indications such as peripheral neuropathy. We are also actively exploring the potential of expanding the focus of our discovery engine to multiple molecular targets relevant to nervous system disorders.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Additional Development Opportunities</w:t>
      </w:r>
    </w:p>
    <w:p>
      <w:pPr>
        <w:spacing w:after="0" w:line="8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Our Neuropsychiatric Program (ATH-1019 / ATH</w:t>
      </w:r>
      <w:r>
        <w:rPr>
          <w:rFonts w:ascii="MS PGothic" w:cs="MS PGothic" w:eastAsia="MS PGothic" w:hAnsi="MS PGothic"/>
          <w:sz w:val="18"/>
          <w:szCs w:val="18"/>
          <w:i w:val="1"/>
          <w:iCs w:val="1"/>
          <w:color w:val="auto"/>
        </w:rPr>
        <w:t>‑</w:t>
      </w:r>
      <w:r>
        <w:rPr>
          <w:rFonts w:ascii="Arial" w:cs="Arial" w:eastAsia="Arial" w:hAnsi="Arial"/>
          <w:sz w:val="18"/>
          <w:szCs w:val="18"/>
          <w:b w:val="1"/>
          <w:bCs w:val="1"/>
          <w:i w:val="1"/>
          <w:iCs w:val="1"/>
          <w:color w:val="auto"/>
        </w:rPr>
        <w:t>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-38735</wp:posOffset>
            </wp:positionV>
            <wp:extent cx="38735" cy="13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08"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are currently developing ATH compounds for neuropsychiatric conditions. The HGF/MET system is relevant for multiple neuropsychiatric indications including depression, anxiety and schizophrenia, as well as cognitive impairment often associated with these conditions. The lifetime prevalence of common mental disorders is reported to be almost 30% and, despite the sizable number of available treatments, a large portion of subjects show an unsatisfactory or a lack of response to treatment. This context, combined with slow responses to common treatments, results in a major burden for patients, public healthcare, and disability systems. ATH compounds represent a novel mechanism for the treatment of neuropsychiatric conditions.</w:t>
      </w:r>
    </w:p>
    <w:p>
      <w:pPr>
        <w:spacing w:after="0" w:line="41" w:lineRule="exact"/>
        <w:rPr>
          <w:sz w:val="20"/>
          <w:szCs w:val="20"/>
          <w:color w:val="auto"/>
        </w:rPr>
      </w:pPr>
    </w:p>
    <w:p>
      <w:pPr>
        <w:ind w:right="60" w:firstLine="576"/>
        <w:spacing w:after="0" w:line="212" w:lineRule="exact"/>
        <w:rPr>
          <w:sz w:val="20"/>
          <w:szCs w:val="20"/>
          <w:color w:val="auto"/>
        </w:rPr>
      </w:pPr>
      <w:r>
        <w:rPr>
          <w:rFonts w:ascii="Arial" w:cs="Arial" w:eastAsia="Arial" w:hAnsi="Arial"/>
          <w:sz w:val="18"/>
          <w:szCs w:val="18"/>
          <w:color w:val="auto"/>
        </w:rPr>
        <w:t>Our lead product candidates for the neuropsychiatric program are ATH-1019 and ATH</w:t>
      </w:r>
      <w:r>
        <w:rPr>
          <w:rFonts w:ascii="MS PGothic" w:cs="MS PGothic" w:eastAsia="MS PGothic" w:hAnsi="MS PGothic"/>
          <w:sz w:val="18"/>
          <w:szCs w:val="18"/>
          <w:color w:val="auto"/>
        </w:rPr>
        <w:t>‑</w:t>
      </w:r>
      <w:r>
        <w:rPr>
          <w:rFonts w:ascii="Arial" w:cs="Arial" w:eastAsia="Arial" w:hAnsi="Arial"/>
          <w:sz w:val="18"/>
          <w:szCs w:val="18"/>
          <w:color w:val="auto"/>
        </w:rPr>
        <w:t>1020. ATH-1020 is a new compound that recently was moved from the discovery stage to the development stage. ATH-1019 and ATH-1020 are novel, small molecule compounds designed to be an orally available once-daily treatment, to activate the HGF/MET system, and to distribute to the CNS. In vivo testing has demonstrated that following oral delivery, ATH</w:t>
      </w:r>
      <w:r>
        <w:rPr>
          <w:rFonts w:ascii="MS PGothic" w:cs="MS PGothic" w:eastAsia="MS PGothic" w:hAnsi="MS PGothic"/>
          <w:sz w:val="18"/>
          <w:szCs w:val="18"/>
          <w:color w:val="auto"/>
        </w:rPr>
        <w:t>‑</w:t>
      </w:r>
      <w:r>
        <w:rPr>
          <w:rFonts w:ascii="Arial" w:cs="Arial" w:eastAsia="Arial" w:hAnsi="Arial"/>
          <w:sz w:val="18"/>
          <w:szCs w:val="18"/>
          <w:color w:val="auto"/>
        </w:rPr>
        <w:t>1019 and ATH</w:t>
      </w:r>
      <w:r>
        <w:rPr>
          <w:rFonts w:ascii="MS PGothic" w:cs="MS PGothic" w:eastAsia="MS PGothic" w:hAnsi="MS PGothic"/>
          <w:sz w:val="18"/>
          <w:szCs w:val="18"/>
          <w:color w:val="auto"/>
        </w:rPr>
        <w:t>‑</w:t>
      </w:r>
      <w:r>
        <w:rPr>
          <w:rFonts w:ascii="Arial" w:cs="Arial" w:eastAsia="Arial" w:hAnsi="Arial"/>
          <w:sz w:val="18"/>
          <w:szCs w:val="18"/>
          <w:color w:val="auto"/>
        </w:rPr>
        <w:t>1020 distribute to the brain and are neuroactive in animals, and have demonstrated anti -depressant effects in the forced swim model of depression, as shown in Figure 22. ATH-1019 has also been shown to improve cognitive function in the rat scopolamine amnesia model of dementia, and testing of ATH-1020 is ongoing. ATH-1019 and ATH-1020 are currently in IND-enabling studies with IND submission targeted by the end of 2021.</w:t>
      </w:r>
    </w:p>
    <w:p>
      <w:pPr>
        <w:spacing w:after="0" w:line="287"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i w:val="1"/>
          <w:iCs w:val="1"/>
          <w:color w:val="auto"/>
        </w:rPr>
        <w:t xml:space="preserve">Figure 22. ATH-1019 and ATH-1020 Improve Depressive-like Behaviors in Rats in the Forced Swim Model of Depression. </w:t>
      </w:r>
      <w:r>
        <w:rPr>
          <w:rFonts w:ascii="Arial" w:cs="Arial" w:eastAsia="Arial" w:hAnsi="Arial"/>
          <w:sz w:val="18"/>
          <w:szCs w:val="18"/>
          <w:color w:val="auto"/>
        </w:rPr>
        <w:t>Data show</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frequency of behaviors normalized to vehicle for ten rats per group. ATH-1019 and ATH-1020 significantly improved performance in the forced swim test, by reducing immobility, a depressive-like behavior, and increasing swimming, commonly interpreted as an antidepressant effect, compared to vehicle (*p&lt;0.05).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53975</wp:posOffset>
            </wp:positionV>
            <wp:extent cx="5349240" cy="19627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4924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60" w:firstLine="569"/>
        <w:spacing w:after="0" w:line="276" w:lineRule="auto"/>
        <w:rPr>
          <w:sz w:val="20"/>
          <w:szCs w:val="20"/>
          <w:color w:val="auto"/>
        </w:rPr>
      </w:pPr>
      <w:r>
        <w:rPr>
          <w:rFonts w:ascii="Arial" w:cs="Arial" w:eastAsia="Arial" w:hAnsi="Arial"/>
          <w:sz w:val="18"/>
          <w:szCs w:val="18"/>
          <w:color w:val="auto"/>
        </w:rPr>
        <w:t>We believe the stimulating activity of ATH compounds on the HGF/MET system is well-suited to address neuropsychiatric conditions because:</w:t>
      </w:r>
    </w:p>
    <w:p>
      <w:pPr>
        <w:spacing w:after="0" w:line="37" w:lineRule="exact"/>
        <w:rPr>
          <w:sz w:val="20"/>
          <w:szCs w:val="20"/>
          <w:color w:val="auto"/>
        </w:rPr>
      </w:pPr>
    </w:p>
    <w:p>
      <w:pPr>
        <w:ind w:left="1300" w:hanging="442"/>
        <w:spacing w:after="0"/>
        <w:tabs>
          <w:tab w:leader="none" w:pos="130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HGF/MET signaling is deficient in neuropsychiatric patients and negatively correlated to disease severity;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reductions in HGF/MET signaling is a causative agent of depression and anxiety behaviors in rodents;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enhancement of HGF concentrations in the brain has anti-depressive and anxiolytic effects in rodent models.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34" w:name="page135"/>
    <w:bookmarkEnd w:id="134"/>
    <w:p>
      <w:pPr>
        <w:ind w:right="1320" w:firstLine="576"/>
        <w:spacing w:after="0" w:line="235" w:lineRule="exact"/>
        <w:rPr>
          <w:sz w:val="20"/>
          <w:szCs w:val="20"/>
          <w:color w:val="auto"/>
        </w:rPr>
      </w:pPr>
      <w:r>
        <w:rPr>
          <w:rFonts w:ascii="Arial" w:cs="Arial" w:eastAsia="Arial" w:hAnsi="Arial"/>
          <w:sz w:val="18"/>
          <w:szCs w:val="18"/>
          <w:i w:val="1"/>
          <w:iCs w:val="1"/>
          <w:color w:val="auto"/>
        </w:rPr>
        <w:t>Figure 23. ATH-1019 / ATH</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1020 Have the Potential to Rescue HGF/MET Signaling and Promote Activity to Address Neuropsychiatric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126365</wp:posOffset>
            </wp:positionV>
            <wp:extent cx="5006340" cy="3608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06340"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576"/>
        <w:spacing w:after="0" w:line="206" w:lineRule="exact"/>
        <w:rPr>
          <w:sz w:val="20"/>
          <w:szCs w:val="20"/>
          <w:color w:val="auto"/>
        </w:rPr>
      </w:pPr>
      <w:r>
        <w:rPr>
          <w:rFonts w:ascii="Arial" w:cs="Arial" w:eastAsia="Arial" w:hAnsi="Arial"/>
          <w:sz w:val="18"/>
          <w:szCs w:val="18"/>
          <w:color w:val="auto"/>
        </w:rPr>
        <w:t>Further, patients suffering from major depression display reduced function and connectivity of neural pathways, resulting in prolonged P300 latency compared to healthy controls. This effect is particularly apparent in those experiencing cognitive dysfunction. The extent of P300 latency slowing is strongly correlated with the severity of depression, and a normalization of P300 latency is associated with response to treatment. A similar correlation is observed in patients suffering from other neuropsychiatric disorders. Our HGF activator for the treatment of AD, ATH-1017, reduced the P300 latency of AD subjects in a Phase 1b clinical trial within 8 days of treatment. While the patient populations in neuropsychiatric conditions and AD are substantially different, the root cause of the diseases may not be, and properties of P300 latency have been shown to be conserved across many diseases. These results highlight the ability of HGF/MET activators to impact P300 latency, which when combined with the preexisting research on the effects of activating the HGF/MET system in neuropsychiatric disorders indicates that treatment with HGF/MET activating compounds may be capable of improving patient outcomes in neuropsychiatric indications. We are advancing ATH-1019 and ATH</w:t>
      </w:r>
      <w:r>
        <w:rPr>
          <w:rFonts w:ascii="MS PGothic" w:cs="MS PGothic" w:eastAsia="MS PGothic" w:hAnsi="MS PGothic"/>
          <w:sz w:val="18"/>
          <w:szCs w:val="18"/>
          <w:color w:val="auto"/>
        </w:rPr>
        <w:t>‑</w:t>
      </w:r>
      <w:r>
        <w:rPr>
          <w:rFonts w:ascii="Arial" w:cs="Arial" w:eastAsia="Arial" w:hAnsi="Arial"/>
          <w:sz w:val="18"/>
          <w:szCs w:val="18"/>
          <w:color w:val="auto"/>
        </w:rPr>
        <w:t>1020 to further development for neuropsychiatric indications and are targeting an IND submission to the FDA by the end of 2021. Late-stage non-clinical development work and potentially early clinical studies will support decisions on selection of the lead product candidate and indication moving forward.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Peripheral Indication Program (ATH-1018)</w:t>
      </w:r>
    </w:p>
    <w:p>
      <w:pPr>
        <w:spacing w:after="0" w:line="104" w:lineRule="exact"/>
        <w:rPr>
          <w:sz w:val="20"/>
          <w:szCs w:val="20"/>
          <w:color w:val="auto"/>
        </w:rPr>
      </w:pPr>
    </w:p>
    <w:p>
      <w:pPr>
        <w:ind w:right="180" w:firstLine="576"/>
        <w:spacing w:after="0" w:line="243" w:lineRule="auto"/>
        <w:rPr>
          <w:sz w:val="20"/>
          <w:szCs w:val="20"/>
          <w:color w:val="auto"/>
        </w:rPr>
      </w:pPr>
      <w:r>
        <w:rPr>
          <w:rFonts w:ascii="Arial" w:cs="Arial" w:eastAsia="Arial" w:hAnsi="Arial"/>
          <w:sz w:val="18"/>
          <w:szCs w:val="18"/>
          <w:color w:val="auto"/>
        </w:rPr>
        <w:t>We have initiated a discovery program to evaluate ATH compounds for peripheral nervous system disorders, such as neuropathy. ATH-1018 is a novel, orally active candidate that has demonstrated ability to significantly promote the activity of the HGF/MET system. We are planning to administer ATH-1018 at doses that are expected to largely relegate its activity to the periphery. ATH-1018 potentially represents a new strategy to address peripheral nervous system disorders by promoting the regenerative power of the HGF/MET system with a small molecule therapy. Consideration of HGF/MET activators as a therapeutic approach for peripheral nervous system disorders including neuropathy was initiated following review of</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59" w:right="39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studies demonstrating that HGF/MET activating treatment repaired peripheral nerve injury and reduced neuropathy.</w:t>
      </w:r>
    </w:p>
    <w:p>
      <w:pPr>
        <w:spacing w:after="0" w:line="212" w:lineRule="exact"/>
        <w:rPr>
          <w:sz w:val="20"/>
          <w:szCs w:val="20"/>
          <w:color w:val="auto"/>
        </w:rPr>
      </w:pPr>
    </w:p>
    <w:p>
      <w:pPr>
        <w:ind w:right="580" w:firstLine="576"/>
        <w:spacing w:after="0" w:line="276" w:lineRule="auto"/>
        <w:rPr>
          <w:sz w:val="20"/>
          <w:szCs w:val="20"/>
          <w:color w:val="auto"/>
        </w:rPr>
      </w:pPr>
      <w:r>
        <w:rPr>
          <w:rFonts w:ascii="Arial" w:cs="Arial" w:eastAsia="Arial" w:hAnsi="Arial"/>
          <w:sz w:val="18"/>
          <w:szCs w:val="18"/>
          <w:color w:val="auto"/>
        </w:rPr>
        <w:t>We believe the activity of ATH compounds, through enhancement of the HGF/MET system, is well-suited to address peripheral nervous system disorders including neuropathy given that HGF/MET signaling has been shown to:</w:t>
      </w:r>
    </w:p>
    <w:p>
      <w:pPr>
        <w:spacing w:after="0" w:line="37" w:lineRule="exact"/>
        <w:rPr>
          <w:sz w:val="20"/>
          <w:szCs w:val="20"/>
          <w:color w:val="auto"/>
        </w:rPr>
      </w:pPr>
    </w:p>
    <w:p>
      <w:pPr>
        <w:ind w:left="1300" w:hanging="442"/>
        <w:spacing w:after="0"/>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protect nerve cells from damage and death;</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promote regeneration of damaged peripheral nerves, mediated through Schwann cell activity;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inhibit inflammation by reduction of the expression of pro-inflammatory cytokines;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down-regulate the expression of pain-related genes in damaged peripheral neurons, including ATF3.</w:t>
      </w:r>
    </w:p>
    <w:p>
      <w:pPr>
        <w:spacing w:after="0" w:line="265"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Furthermore, previous clinical trials have shown that with HGF plasmid therapy, designed to increase circulating HGF, promoting the HGF/MET system significantly reduced pain in patients with diabetic peripheral neuropathy. We believe these clinical trials provide a proof of concept for the therapeutic target. However, our oral small-molecule candidates offer distinct advantages over plasmid therapies, including controlled dose and ease of administration. Targeting HGF/MET signaling for the treatment of peripheral nervous system disorders is supported by both preclinical and clinical research, and we are evaluating the next generation oral ATH compounds for peripheral activity. We are advancing ATH-1018 to further discovery and development for peripheral nervous system indications and are targeting an IND submission to the FDA by the end of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and Dementia</w:t>
      </w:r>
    </w:p>
    <w:p>
      <w:pPr>
        <w:spacing w:after="0" w:line="104"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ATH-1017 is being advanced for mild-to-moderate AD patients initially. The AD dementia market today in 2020 is reported to be 5.8 million Americans and is projected to reach nearly 14 million by 2050 in the U.S. Worldwide, as many as 35 million people are estimated to have AD and the patient population was projected in 2007 to grow to over 100 million by 2050. Our strategy is to ultimately position ATH-1017 as a treatment for dementia broadly. Spanning all dementias globally, an estimated 50 million people are reported to be affected today in 2020 and this number is projected to be 150 million by 2050. Many factors contribute to the growing numbers of the potentially treatable population, including “baby boomers” reaching age 65 and increasing life expectancy beyond 80.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Target Indications</w:t>
      </w:r>
    </w:p>
    <w:p>
      <w:pPr>
        <w:spacing w:after="0" w:line="104" w:lineRule="exact"/>
        <w:rPr>
          <w:sz w:val="20"/>
          <w:szCs w:val="20"/>
          <w:color w:val="auto"/>
        </w:rPr>
      </w:pPr>
    </w:p>
    <w:p>
      <w:pPr>
        <w:ind w:right="240" w:firstLine="576"/>
        <w:spacing w:after="0" w:line="245" w:lineRule="auto"/>
        <w:rPr>
          <w:sz w:val="20"/>
          <w:szCs w:val="20"/>
          <w:color w:val="auto"/>
        </w:rPr>
      </w:pPr>
      <w:r>
        <w:rPr>
          <w:rFonts w:ascii="Arial" w:cs="Arial" w:eastAsia="Arial" w:hAnsi="Arial"/>
          <w:sz w:val="18"/>
          <w:szCs w:val="18"/>
          <w:color w:val="auto"/>
        </w:rPr>
        <w:t>Our immediate next pipeline opportunities include: ATH-1019 for neuropsychiatry and ATH-1018 for neuropathy. Neuropsychiatric indications, specifically depression, are estimated to affect 7% of all U.S. adults 18 and older representing an estimated addressable potential patient population of approximately 17 million adults as of 2017, and was projected in 2008 to reach approximately 37 million by 2050. Beyond depression, and with a reported lifetime prevalence of nearly 30% for all neuropsychiatric indications, the addressable 2020 patient population of adults 18 and older is reported to reach nearly 50 million in the U.S. alone.</w:t>
      </w:r>
    </w:p>
    <w:p>
      <w:pPr>
        <w:spacing w:after="0" w:line="172" w:lineRule="exact"/>
        <w:rPr>
          <w:sz w:val="20"/>
          <w:szCs w:val="20"/>
          <w:color w:val="auto"/>
        </w:rPr>
      </w:pPr>
    </w:p>
    <w:p>
      <w:pPr>
        <w:ind w:right="280" w:firstLine="576"/>
        <w:spacing w:after="0" w:line="248" w:lineRule="auto"/>
        <w:rPr>
          <w:sz w:val="20"/>
          <w:szCs w:val="20"/>
          <w:color w:val="auto"/>
        </w:rPr>
      </w:pPr>
      <w:r>
        <w:rPr>
          <w:rFonts w:ascii="Arial" w:cs="Arial" w:eastAsia="Arial" w:hAnsi="Arial"/>
          <w:sz w:val="18"/>
          <w:szCs w:val="18"/>
          <w:color w:val="auto"/>
        </w:rPr>
        <w:t>The estimated prevalence of neuropathy in the U.S. averages approximately 10% but could be higher due to a larger undiagnosed population. Conservatively, and with nearly 10% of the U.S. population over 30 years old estimated to be diagnosed with some form of neuropathy, the reported addressable patient population today is approximately 30 million patients for peripheral neuropathy, a type of neuropathic pain, alone.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Potential Commercialization Plan</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ATH-1017 is initially being developed as a regenerative medicine for AD. For the initial target patient population of mild-to-moderate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 patients, our commercialization strategy of ATH-1017 will consider the following key elements:</w:t>
      </w:r>
    </w:p>
    <w:p>
      <w:pPr>
        <w:spacing w:after="0" w:line="82" w:lineRule="exact"/>
        <w:rPr>
          <w:sz w:val="20"/>
          <w:szCs w:val="20"/>
          <w:color w:val="auto"/>
        </w:rPr>
      </w:pPr>
    </w:p>
    <w:p>
      <w:pPr>
        <w:ind w:left="1300" w:hanging="442"/>
        <w:spacing w:after="0"/>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an add-on therapy for patients on existing therapies;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a monotherapy for patients who are not suitable for acetylcholinesterase inhibitors, or AChEIs;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a monotherapy for patients who have stopped AChEIs due to loss of effect or side effects;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a treatment to other dementias such as PDD, Lewy body dementia and Frontal temporal dementia over time.</w:t>
      </w:r>
    </w:p>
    <w:p>
      <w:pPr>
        <w:spacing w:after="0" w:line="22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We aim to demonstrate the unique short- and long-term value provided by ATH-1017 by linking the core symptoms of dementia (cognition and behavioral and psychological symptoms of dementia) to both improved outcomes and reduced costs and the benefits of ATH-1017 through increased compliance rates in our initial indications.</w:t>
      </w:r>
    </w:p>
    <w:p>
      <w:pPr>
        <w:spacing w:after="0" w:line="16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We anticipate exploring two distribution strategies for ATH-1017, traditional wholesaler and specialty pharmacy. While the traditional wholesaler could be a suitable option, we believe that the additional patient services that could be provided through specialty pharmacy may offer more value to patients, caregivers, and their providers. Such services could include training on subcutaneous administration, patient counseling and assistance with reimbursement or insurance issues. This could also allow us to reduce the need for costly in house or field-based resources such as patient training or reimbursement support specialists.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6"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development and manufacturing organizations, or CDMOs, to manufacture and supply our preclinical and clinical materials during the development of our product candidates. We and various regulatory bodies have audited the CDMOs we contract with, and they have a proven track record of FDA-compliant manufacturing with an infrastructure to support large and commercial scale manufacturing.</w:t>
      </w:r>
    </w:p>
    <w:p>
      <w:pPr>
        <w:spacing w:after="0" w:line="149" w:lineRule="exact"/>
        <w:rPr>
          <w:sz w:val="20"/>
          <w:szCs w:val="20"/>
          <w:color w:val="auto"/>
        </w:rPr>
      </w:pPr>
    </w:p>
    <w:p>
      <w:pPr>
        <w:ind w:firstLine="576"/>
        <w:spacing w:after="0" w:line="215" w:lineRule="exact"/>
        <w:rPr>
          <w:sz w:val="20"/>
          <w:szCs w:val="20"/>
          <w:color w:val="auto"/>
        </w:rPr>
      </w:pPr>
      <w:r>
        <w:rPr>
          <w:rFonts w:ascii="Arial" w:cs="Arial" w:eastAsia="Arial" w:hAnsi="Arial"/>
          <w:sz w:val="18"/>
          <w:szCs w:val="18"/>
          <w:color w:val="auto"/>
        </w:rPr>
        <w:t>We have enough ATH-1017 supply to begin our LIFT-AD and our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trials in AD. We believe the synthesis of ATH-1017 is reliable and reproducible and the synthetic routes can be further optimized to enable large-scale production that continues to avoid use of toxic materials or specialized equipment or handling during the manufacturing process. We continue to optimize the manufacturing process to support future large-scale and commercial supply. ATH-1017 is purified as a stable solid and then released to additional CDMOs for formulation and packaging into final drug product for use in clinical testing.</w:t>
      </w:r>
    </w:p>
    <w:p>
      <w:pPr>
        <w:spacing w:after="0" w:line="179"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The final drug product profile is a ready-to-use pre-filled syringe with a clear, non-viscous aqueous solution of ATH-1017. The syringes utilize materials and components that are readily available commercially. The ATH-1017 drug product has shown extended stability (at least 2 years) under storage conditions when stored in vials that were composed of identical materials to the syringes. Confirmatory stability studies in syringes are ongoing and data collected thus far support the translation of the extended stability from vials to syringes under refrigerated conditions as well as short-term dispensation and at-home storage in ambient conditions. Room temperature storage allows patients to avoid cumbersome storage requirements and reduces overall burden.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37" w:name="page138"/>
    <w:bookmarkEnd w:id="137"/>
    <w:p>
      <w:pPr>
        <w:ind w:right="440" w:firstLine="576"/>
        <w:spacing w:after="0" w:line="276" w:lineRule="auto"/>
        <w:rPr>
          <w:sz w:val="20"/>
          <w:szCs w:val="20"/>
          <w:color w:val="auto"/>
        </w:rPr>
      </w:pPr>
      <w:r>
        <w:rPr>
          <w:rFonts w:ascii="Arial" w:cs="Arial" w:eastAsia="Arial" w:hAnsi="Arial"/>
          <w:sz w:val="18"/>
          <w:szCs w:val="18"/>
          <w:color w:val="auto"/>
        </w:rPr>
        <w:t>We plan to maintain our focus to identify and develop small molecule product candidates that are expected to have cost-effective manufacturing using third party CDMOs.</w:t>
      </w:r>
    </w:p>
    <w:p>
      <w:pPr>
        <w:spacing w:after="0" w:line="145"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We expect to use similar contract resources for commercialization of our products, at least until our resources and operations are at a scale that justifies investment in internal manufacturing capabilities.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The biotechnology and biopharmaceuticals industries are characterized by rapid technological advancement, significant competition, and an emphasis on intellectual property. As a clinical-stage biopharmaceutical company developing small molecules to restore neuronal health and stop neurodegeneration, with our most advanced product candidates focused on the treatment of AD and dementia, we face, and in the future may face increased, competitive pressures from both large and small pharmaceutical companies and from established and emerging biotechnology companies, as well as academic, government, and public and private research institutions. Any product candidates that we successfully develop and commercialize will compete with current treatments and new treatments that may become available in the future. With the advancement of ATH-1017 as a novel small molecule therapeutic activating a neurotrophic factor pathway, the HGF/MET system, and its liquid formulation as a subcutaneous deliverable, we also consider as competitors companies developing small molecule AD therapies targeting neurotrophic factors with or without a subcutaneous route of administration. Despite the immediate commercialization plan to launch ATH-1017, if approved, in pre-filled syringes with future plans for device innovation, including potentially smart multi-dose pen injectors, we do not view the medical device industry as competition but rather potential partners enabling the manufacture and commercialization of ATH-1017.</w:t>
      </w:r>
    </w:p>
    <w:p>
      <w:pPr>
        <w:spacing w:after="0" w:line="183"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Because of the range of potential competitors, many of our competitors, alone or with strategic partners, have greater access to financial resources, market presence, and resources and expertise in development, preclinical and clinical testing, manufacturing, commercialization, the regulatory approval process, and/or marketing and sales than we do. In addition, these same competitors, who may be in a clinical development stage, could also be competing with us for patient recruitment, clinical research organization, and operational resources. These entities also compete with us in the recruitment and retaining of qualified scientific and management personnel, as well as the acquisition of enabling or complementary technologies for advancing ATH-1017 across all competitors.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payors seeking to encourage the use of other treatments.</w:t>
      </w:r>
    </w:p>
    <w:p>
      <w:pPr>
        <w:spacing w:after="0" w:line="180"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Key competitive forces that could potentially affect the success of our products, if approved, are safety, efficacy, price, adoption, convenience, time-to-market, level of promotional activity, intellectual property protection, and reimbursement likelihood from government and private payors. Despite these forces, we view our competitive advantage in not only our lead product candidate, ATH-1017, but also our novel pipeline of therapeutics with a focus on overall neuronal health. In particular, the following summarizes certain categories of our potential competition.</w:t>
      </w:r>
    </w:p>
    <w:p>
      <w:pPr>
        <w:spacing w:after="0" w:line="172"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As a small molecule therapeutic targeting the HGF/MET system, we are aware of a number of potential competitors in this space, including ANG-3777, an HGF mimetic, developed by Angion for the treatment of kidney injury and Collategene developed by Mitsubishi Tanabe and AnGes as a gene therapy for the treatment of critical limb ischemia. ANG-3777 is currently in Phase 3 clinical trials while Collategene was launched in Japan in the third quarter of 2019. In addition, we are aware of p75 ligands being developed by PharmatrophiX for the treatment of neurodegenerative and other disorders, including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8" w:name="page139"/>
    <w:bookmarkEnd w:id="138"/>
    <w:p>
      <w:pPr>
        <w:ind w:right="180"/>
        <w:spacing w:after="0" w:line="276" w:lineRule="auto"/>
        <w:rPr>
          <w:sz w:val="20"/>
          <w:szCs w:val="20"/>
          <w:color w:val="auto"/>
        </w:rPr>
      </w:pPr>
      <w:r>
        <w:rPr>
          <w:rFonts w:ascii="Arial" w:cs="Arial" w:eastAsia="Arial" w:hAnsi="Arial"/>
          <w:sz w:val="18"/>
          <w:szCs w:val="18"/>
          <w:color w:val="auto"/>
        </w:rPr>
        <w:t>AD, as well as VM-202, a regenerative plasmid DNA therapy candidate in development by Helixmith for the treatment of diabetic peripheral neuropathy. We are not aware of any direct competitors currently targeting the HGF/MET system for neurological conditions.</w:t>
      </w:r>
    </w:p>
    <w:p>
      <w:pPr>
        <w:spacing w:after="0" w:line="145" w:lineRule="exact"/>
        <w:rPr>
          <w:sz w:val="20"/>
          <w:szCs w:val="20"/>
          <w:color w:val="auto"/>
        </w:rPr>
      </w:pPr>
    </w:p>
    <w:p>
      <w:pPr>
        <w:ind w:right="120" w:firstLine="576"/>
        <w:spacing w:after="0" w:line="245" w:lineRule="auto"/>
        <w:rPr>
          <w:sz w:val="20"/>
          <w:szCs w:val="20"/>
          <w:color w:val="auto"/>
        </w:rPr>
      </w:pPr>
      <w:r>
        <w:rPr>
          <w:rFonts w:ascii="Arial" w:cs="Arial" w:eastAsia="Arial" w:hAnsi="Arial"/>
          <w:sz w:val="18"/>
          <w:szCs w:val="18"/>
          <w:color w:val="auto"/>
        </w:rPr>
        <w:t>ATH-1017 is being advanced as either a monotherapy or an add-on therapy for patients on AChEIs. In addition to being a potential add-on therapy to currently approved therapies, we do not anticipate ATH-1017 to be a direct competitor to, but rather complementary to, other therapeutic developments focused on Aβ, pTau, AChE, BACE inhibitors, inflammation and others. Similarly, because ATH-1017 presents a novel mechanism of action, we do not view monoclonal antibody therapies currently under development by large pharmaceutical companies of which we are aware, including Biogen, Eli Lilly and Roche, as competitors, but potentially as complementary to our approach.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6"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We own or have in-licensed numerous patents and patent applications and possess substantial know-how and trade secrets relating to the development and commercialization of our product candidates, including related manufacturing processes and technologies.</w:t>
      </w:r>
    </w:p>
    <w:p>
      <w:pPr>
        <w:spacing w:after="0" w:line="145"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As of December 31, 2020, our patent portfolio consisted of eight owned or in-licensed U.S. issued patents, two owned or in-licensed U.S. pending patent applications, 13 owned or in-licensed patents issued in jurisdictions outside of the United States, and eight owned or in-licensed pending patent applications in jurisdictions outside of the United States. The patents and patent applications issued and pending outside the United States are generally counterparts to the foregoing U.S. patents and patent applications and are held primarily in Europe, Canada, Japan, Australia, Hong Kong, India, and China. Our solely-owned and in-licensed patents and patent applications include, among others, claims directed to:</w:t>
      </w:r>
    </w:p>
    <w:p>
      <w:pPr>
        <w:spacing w:after="0" w:line="66" w:lineRule="exact"/>
        <w:rPr>
          <w:sz w:val="20"/>
          <w:szCs w:val="20"/>
          <w:color w:val="auto"/>
        </w:rPr>
      </w:pPr>
    </w:p>
    <w:p>
      <w:pPr>
        <w:ind w:left="1300" w:hanging="442"/>
        <w:spacing w:after="0"/>
        <w:tabs>
          <w:tab w:leader="none" w:pos="130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ATH-1017 and related compounds, including but not limited to ATH-1019 and ATH-1020;</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methods of using ATH-1017;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color w:val="auto"/>
        </w:rPr>
        <w:t>methods of using related compounds, including but not limited to ATH-1019 and ATH-1020.</w:t>
      </w:r>
    </w:p>
    <w:p>
      <w:pPr>
        <w:spacing w:after="0" w:line="22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We intend to pursue, when possible, further composition, method of use, dosing, formulation, and device patent protection directed to the neuroregenerative products and processes we develop. We may also pursue patent protection with respect to manufacturing and drug development processes and technology.</w:t>
      </w:r>
    </w:p>
    <w:p>
      <w:pPr>
        <w:spacing w:after="0" w:line="164"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nonprovisional filing date. In addition, in certain instances, a patent term can be adjusted or extended to recapture a portion of the term effectively lost as a result of the USPTO delay and the FDA regulatory review period.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Our in-licensed issued patents will expire on dates ranging from 2023 to 2035, exclusive of any patent term adjustment or patent term extension. If patents are issued on our pending patent applications, the resulting patents are projected to expire on dates ranging from 2032 to 2037, exclusive of any patent term adjustment or patent term extension.</w:t>
      </w:r>
    </w:p>
    <w:p>
      <w:pPr>
        <w:spacing w:after="0" w:line="180"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We further seek to protect our technology and product candidates, in part, as trade secrets,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39" w:name="page140"/>
    <w:bookmarkEnd w:id="139"/>
    <w:p>
      <w:pPr>
        <w:ind w:right="680" w:firstLine="576"/>
        <w:spacing w:after="0" w:line="276" w:lineRule="auto"/>
        <w:rPr>
          <w:sz w:val="20"/>
          <w:szCs w:val="20"/>
          <w:color w:val="auto"/>
        </w:rPr>
      </w:pPr>
      <w:r>
        <w:rPr>
          <w:rFonts w:ascii="Arial" w:cs="Arial" w:eastAsia="Arial" w:hAnsi="Arial"/>
          <w:sz w:val="18"/>
          <w:szCs w:val="18"/>
          <w:color w:val="auto"/>
        </w:rPr>
        <w:t>Our trademark portfolio currently consists of two pending trademark applications in the United States, two pending trademark applications in Australia, and two issued trademark registrations in the European Union.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6" w:lineRule="exact"/>
        <w:rPr>
          <w:sz w:val="20"/>
          <w:szCs w:val="20"/>
          <w:color w:val="auto"/>
        </w:rPr>
      </w:pPr>
    </w:p>
    <w:p>
      <w:pPr>
        <w:ind w:right="280"/>
        <w:spacing w:after="0" w:line="274"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38"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We do not expect WSU’s joint ownership of the patent with Pacific Northwest Biotechnology, Inc. will materially affect our license of such patent or the development of any of our product candidates to which the patent relates.</w:t>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initiation of our first Phase 2 clinical trial in September 2020 triggered a $50,000 liability to WSU.</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may also be obligated to pay to WSU the following if the related milestones are reached:</w:t>
      </w:r>
    </w:p>
    <w:p>
      <w:pPr>
        <w:spacing w:after="0" w:line="104" w:lineRule="exact"/>
        <w:rPr>
          <w:sz w:val="20"/>
          <w:szCs w:val="20"/>
          <w:color w:val="auto"/>
        </w:rPr>
      </w:pPr>
    </w:p>
    <w:p>
      <w:pPr>
        <w:ind w:left="1300" w:right="200" w:hanging="442"/>
        <w:spacing w:after="0" w:line="275" w:lineRule="auto"/>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16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term of the agreement will continue until the earlier of the date that no valid claim in a licensed patent remains enforceable or payment of earned royalties, once such payments begin, ceases for more than four consecutive calendar quarters. We have not yet commenced payment of royalties to WSU pursuant to the terms of the agreement, since, as of the date of this prospectus, we do not have any approved products with respect to which we may generate revenue. If any of our product candidates to which the patents relate are approved for commercial sale, our obligations to pay royalties would commence upon net sales of such approved product candidates and cease no later than the date that no valid claim in a licensed patent remains enforceable. Such licensed patents in major markets with respect to indications we are currently pursuing will expire on dates ranging from 2023 to 2032, exclusive of any patent term adjustment or patent term extension. We may terminate this agreement with 90 days’ prior written notice to WSU. WSU may terminate this agreement with 90 days’ prior written notice if we fail to achieve certain performance milestones by the agreed upon dates. WSU may also terminate this agreement with 90 days’ prior written notice (or thirty days’ prior written notice in the case of our failure to make a timely payment owed to WSU) following our failure to conduct certain development activities for two consecutive calendar quarters or upon our material breach of the agreement and our failure to cure any such breach within 90 days of our receipt of notice of such breach from WSU (or within 30 days in the case of our failure to make a timely payment owed to WSU).</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i w:val="1"/>
          <w:iCs w:val="1"/>
          <w:color w:val="auto"/>
        </w:rPr>
        <w:t>Grant Liability</w:t>
      </w:r>
    </w:p>
    <w:p>
      <w:pPr>
        <w:spacing w:after="0" w:line="10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The consummation of the Company’s initial public offering in September 2020 was a triggering event under the terms of the grant and the liability was remeasured to the pay-off amount of $1.5 million as of September 30,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Institutes of Health Grant</w:t>
      </w:r>
    </w:p>
    <w:p>
      <w:pPr>
        <w:spacing w:after="0" w:line="102"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In December 2020, we determined that we would accept a grant from the National Institutes of Health, or NIH, for Alzheimer’s research in the amount of approximately $7.8 million with the potential for an additional $7.4 million up to an aggregate of $15.2 million, subject to the availability of funds and satisfactory progress of the research. As this grant involves federally funded research, per the Bayh-Dole Act, we will be obligated to (1) report each new invention to the government, (2) decide whether to retain ownership, (3) file for patent protection to retain title, and (4) provide a license to the government to practice the invention. The “march-in” rights provided by the Bayh-Dole Act would apply to new subject matter arising from the use of the NIH funds, but would exclude pre-existing subject matter such as our product candidates existing prior to the receipt of such grant. We also are expected to commercialize any inventions we file patent protection on for the benefit of public health. For more information see the section of this prospectus titled “Risk Factors—Risks Relating to Our Intellectual Property—Intellectual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6"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04" w:lineRule="exact"/>
        <w:rPr>
          <w:sz w:val="20"/>
          <w:szCs w:val="20"/>
          <w:color w:val="auto"/>
        </w:rPr>
      </w:pPr>
    </w:p>
    <w:p>
      <w:pPr>
        <w:ind w:left="1300" w:right="120" w:hanging="442"/>
        <w:spacing w:after="0" w:line="275" w:lineRule="auto"/>
        <w:tabs>
          <w:tab w:leader="none" w:pos="130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nonclinical laboratory tests, animal studies, and formulation studies in accordance with FDA’s good laboratory practice requirements and other applicable regulations;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141" w:name="page142"/>
    <w:bookmarkEnd w:id="141"/>
    <w:p>
      <w:pPr>
        <w:ind w:left="1300" w:hanging="442"/>
        <w:spacing w:after="0"/>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6"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IRB ethics committee, either centralized or with respect to each clinical site, before each clinical trial may be initiated;</w:t>
      </w:r>
    </w:p>
    <w:p>
      <w:pPr>
        <w:spacing w:after="0" w:line="37" w:lineRule="exact"/>
        <w:rPr>
          <w:rFonts w:ascii="Times New Roman" w:cs="Times New Roman" w:eastAsia="Times New Roman" w:hAnsi="Times New Roman"/>
          <w:sz w:val="18"/>
          <w:szCs w:val="18"/>
          <w:color w:val="auto"/>
        </w:rPr>
      </w:pPr>
    </w:p>
    <w:p>
      <w:pPr>
        <w:ind w:left="1300" w:right="380" w:hanging="442"/>
        <w:spacing w:after="0" w:line="275" w:lineRule="auto"/>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for its intended use;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NDA after completion of all pivotal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w:t>
      </w:r>
    </w:p>
    <w:p>
      <w:pPr>
        <w:spacing w:after="0" w:line="116"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cGMP requirements to ensure that the facilities, methods and controls are adequate to preserve the drug’s identity, strength, quality, and purity, and of selected clinical investigation sites to assess compliance with GCPs; and</w:t>
      </w:r>
    </w:p>
    <w:p>
      <w:pPr>
        <w:spacing w:after="0" w:line="54"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4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42" w:name="page143"/>
    <w:bookmarkEnd w:id="142"/>
    <w:p>
      <w:pPr>
        <w:ind w:left="58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04" w:lineRule="exact"/>
        <w:rPr>
          <w:sz w:val="20"/>
          <w:szCs w:val="20"/>
          <w:color w:val="auto"/>
        </w:rPr>
      </w:pPr>
    </w:p>
    <w:p>
      <w:pPr>
        <w:ind w:left="1300" w:right="100" w:hanging="442"/>
        <w:spacing w:after="0" w:line="262" w:lineRule="auto"/>
        <w:tabs>
          <w:tab w:leader="none" w:pos="1300" w:val="left"/>
        </w:tabs>
        <w:numPr>
          <w:ilvl w:val="0"/>
          <w:numId w:val="8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Phase 1</w:t>
      </w:r>
      <w:r>
        <w:rPr>
          <w:rFonts w:ascii="Arial" w:cs="Arial" w:eastAsia="Arial" w:hAnsi="Arial"/>
          <w:sz w:val="17"/>
          <w:szCs w:val="17"/>
          <w:color w:val="auto"/>
        </w:rPr>
        <w:t>: The product candidate is initially introduced into healthy human subjects or patients with the target disease or</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52" w:lineRule="exact"/>
        <w:rPr>
          <w:rFonts w:ascii="Times New Roman" w:cs="Times New Roman" w:eastAsia="Times New Roman" w:hAnsi="Times New Roman"/>
          <w:sz w:val="17"/>
          <w:szCs w:val="17"/>
          <w:color w:val="auto"/>
        </w:rPr>
      </w:pPr>
    </w:p>
    <w:p>
      <w:pPr>
        <w:ind w:left="1300" w:right="320" w:hanging="442"/>
        <w:spacing w:after="0" w:line="248" w:lineRule="auto"/>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product candidate is administered to a limited patient population with a specified disease or condition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1" w:lineRule="exact"/>
        <w:rPr>
          <w:rFonts w:ascii="Times New Roman" w:cs="Times New Roman" w:eastAsia="Times New Roman" w:hAnsi="Times New Roman"/>
          <w:sz w:val="18"/>
          <w:szCs w:val="18"/>
          <w:color w:val="auto"/>
        </w:rPr>
      </w:pPr>
    </w:p>
    <w:p>
      <w:pPr>
        <w:ind w:left="1300" w:hanging="442"/>
        <w:spacing w:after="0" w:line="248" w:lineRule="auto"/>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product candidate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0"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16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17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74"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43" w:name="page144"/>
    <w:bookmarkEnd w:id="143"/>
    <w:p>
      <w:pPr>
        <w:jc w:val="both"/>
        <w:ind w:right="320"/>
        <w:spacing w:after="0" w:line="255" w:lineRule="auto"/>
        <w:rPr>
          <w:sz w:val="20"/>
          <w:szCs w:val="20"/>
          <w:color w:val="auto"/>
        </w:rPr>
      </w:pPr>
      <w:r>
        <w:rPr>
          <w:rFonts w:ascii="Arial" w:cs="Arial" w:eastAsia="Arial" w:hAnsi="Arial"/>
          <w:sz w:val="18"/>
          <w:szCs w:val="18"/>
          <w:color w:val="auto"/>
        </w:rPr>
        <w:t xml:space="preserve">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04" w:lineRule="exact"/>
        <w:rPr>
          <w:sz w:val="20"/>
          <w:szCs w:val="20"/>
          <w:color w:val="auto"/>
        </w:rPr>
      </w:pPr>
    </w:p>
    <w:p>
      <w:pPr>
        <w:ind w:right="220" w:firstLine="576"/>
        <w:spacing w:after="0" w:line="243"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7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176"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9"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4" w:name="page145"/>
    <w:bookmarkEnd w:id="144"/>
    <w:p>
      <w:pPr>
        <w:ind w:right="40" w:firstLine="576"/>
        <w:spacing w:after="0" w:line="238"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4" w:lineRule="exact"/>
        <w:rPr>
          <w:sz w:val="20"/>
          <w:szCs w:val="20"/>
          <w:color w:val="auto"/>
        </w:rPr>
      </w:pPr>
    </w:p>
    <w:p>
      <w:pPr>
        <w:ind w:right="200" w:firstLine="576"/>
        <w:spacing w:after="0" w:line="241"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79"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0"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5" w:name="page146"/>
    <w:bookmarkEnd w:id="145"/>
    <w:p>
      <w:pPr>
        <w:ind w:right="20"/>
        <w:spacing w:after="0" w:line="255" w:lineRule="auto"/>
        <w:rPr>
          <w:sz w:val="20"/>
          <w:szCs w:val="20"/>
          <w:color w:val="auto"/>
        </w:rPr>
      </w:pPr>
      <w:r>
        <w:rPr>
          <w:rFonts w:ascii="Arial" w:cs="Arial" w:eastAsia="Arial" w:hAnsi="Arial"/>
          <w:sz w:val="18"/>
          <w:szCs w:val="18"/>
          <w:color w:val="auto"/>
        </w:rPr>
        <w:t>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64"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76" w:lineRule="exact"/>
        <w:rPr>
          <w:sz w:val="20"/>
          <w:szCs w:val="20"/>
          <w:color w:val="auto"/>
        </w:rPr>
      </w:pPr>
    </w:p>
    <w:p>
      <w:pPr>
        <w:ind w:right="240" w:firstLine="576"/>
        <w:spacing w:after="0" w:line="243"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6" w:lineRule="exact"/>
        <w:rPr>
          <w:sz w:val="20"/>
          <w:szCs w:val="20"/>
          <w:color w:val="auto"/>
        </w:rPr>
      </w:pPr>
    </w:p>
    <w:p>
      <w:pPr>
        <w:ind w:left="1300" w:right="40" w:hanging="442"/>
        <w:spacing w:after="0" w:line="275" w:lineRule="auto"/>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untitled letters;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clinical holds on post-approval or Phase IV clinical studies, if applicable;</w:t>
      </w:r>
    </w:p>
    <w:p>
      <w:pPr>
        <w:spacing w:after="0" w:line="116"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6" w:lineRule="exact"/>
        <w:rPr>
          <w:rFonts w:ascii="Times New Roman" w:cs="Times New Roman" w:eastAsia="Times New Roman" w:hAnsi="Times New Roman"/>
          <w:sz w:val="18"/>
          <w:szCs w:val="18"/>
          <w:color w:val="auto"/>
        </w:rPr>
      </w:pPr>
    </w:p>
    <w:p>
      <w:pPr>
        <w:ind w:left="1300" w:right="660" w:hanging="442"/>
        <w:spacing w:after="0" w:line="275" w:lineRule="auto"/>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46" w:name="page147"/>
    <w:bookmarkEnd w:id="146"/>
    <w:p>
      <w:pPr>
        <w:ind w:firstLine="576"/>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7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180" w:lineRule="exact"/>
        <w:rPr>
          <w:sz w:val="20"/>
          <w:szCs w:val="20"/>
          <w:color w:val="auto"/>
        </w:rPr>
      </w:pPr>
    </w:p>
    <w:p>
      <w:pPr>
        <w:jc w:val="both"/>
        <w:ind w:right="440" w:firstLine="576"/>
        <w:spacing w:after="0" w:line="245"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180"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148" w:name="page149"/>
    <w:bookmarkEnd w:id="148"/>
    <w:p>
      <w:pPr>
        <w:ind w:right="100"/>
        <w:spacing w:after="0" w:line="248" w:lineRule="auto"/>
        <w:rPr>
          <w:sz w:val="20"/>
          <w:szCs w:val="20"/>
          <w:color w:val="auto"/>
        </w:rPr>
      </w:pPr>
      <w:r>
        <w:rPr>
          <w:rFonts w:ascii="Arial" w:cs="Arial" w:eastAsia="Arial" w:hAnsi="Arial"/>
          <w:sz w:val="18"/>
          <w:szCs w:val="18"/>
          <w:color w:val="auto"/>
        </w:rPr>
        <w:t>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70"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183" w:lineRule="exact"/>
        <w:rPr>
          <w:sz w:val="20"/>
          <w:szCs w:val="20"/>
          <w:color w:val="auto"/>
        </w:rPr>
      </w:pPr>
    </w:p>
    <w:p>
      <w:pPr>
        <w:ind w:right="60" w:firstLine="576"/>
        <w:spacing w:after="0" w:line="253" w:lineRule="auto"/>
        <w:rPr>
          <w:sz w:val="20"/>
          <w:szCs w:val="20"/>
          <w:color w:val="auto"/>
        </w:rPr>
      </w:pPr>
      <w:r>
        <w:rPr>
          <w:rFonts w:ascii="Arial" w:cs="Arial" w:eastAsia="Arial" w:hAnsi="Arial"/>
          <w:sz w:val="17"/>
          <w:szCs w:val="17"/>
          <w:color w:val="auto"/>
        </w:rPr>
        <w:t>Since its enactment, there have been executive, judicial and Congressional challenges to certain aspects of the ACA, and we expect there will be additional challenges and amendments to the ACA in the future. Since January 2017, President Trump has signed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For example, in 2017, Congress enacted the Tax Act, which eliminated the tax-based shared responsibility payment imposed by the ACA on certain individuals who fail to maintain qualifying health coverage for all or part of a year, a process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 and inseverable feature of the ACA, and therefore, because it was repealed as part of the Tax Act, the remaining provisions of the ACA are invalid as well. On December 18, 2019, the U.S. Court of Appeals for the 5th Circuit ruled that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49" w:name="page150"/>
    <w:bookmarkEnd w:id="149"/>
    <w:p>
      <w:pPr>
        <w:ind w:right="60"/>
        <w:spacing w:after="0" w:line="245" w:lineRule="auto"/>
        <w:rPr>
          <w:sz w:val="20"/>
          <w:szCs w:val="20"/>
          <w:color w:val="auto"/>
        </w:rPr>
      </w:pPr>
      <w:r>
        <w:rPr>
          <w:rFonts w:ascii="Arial" w:cs="Arial" w:eastAsia="Arial" w:hAnsi="Arial"/>
          <w:sz w:val="18"/>
          <w:szCs w:val="18"/>
          <w:color w:val="auto"/>
        </w:rPr>
        <w:t>the individual mandate was unconstitutional and remanded the case back to the District Court to determine whether the remaining provisions of the ACA are invalid as well. On March 2, 2020, the U.S. Supreme Court granted the petitions for writs of certiorari to review the case and held oral arguments in November 2020,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17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2030 with the exception of a temporary suspension implemented under various COVID-19 relief legislation from May 1, 2020 through March 31, 2021, unless additional congressional action is taken.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at the federal level, the Trump administration released a “Blueprint”, designed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2021 includes a $135 billion allowance to support legislative proposals seeking to reduce drug prices, increase competition, lower out-of-pocket drug costs for patients, and increase patient access to lower-cost generic drugs. Although a number of these and other measures may require additional authorization to become effective, Congress and the Trump administration have each indicated that they will continue to seek new legislative and/or administrative measures to control drug costs.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It is possible that additional governmental action may be taken to address the COVID-19 pandemic. Furthermore, there has been increased interest by third party payors and governmental authorities in reference to pricing systems and publication of discounts and list prices.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06"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As of September 30, 2020, we had 22 employees, 20 of whom were full-time and nine of whom were engaged in research and development activities. Nine of our employees hold Ph.D. or M.D. degrees. Substantially all our employees are located in or around Seattle, Washington. None of our employees are represented by a labor union or covered under a collective bargaining agreement. We consider our relationship with our employees to be good.</w:t>
      </w:r>
    </w:p>
    <w:p>
      <w:pPr>
        <w:spacing w:after="0" w:line="170"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Facilities</w:t>
      </w:r>
    </w:p>
    <w:p>
      <w:pPr>
        <w:spacing w:after="0" w:line="10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Our corporate headquarters is located in Bothell, Washington, where we currently lease approximately 11,163 square feet of laboratory and office space. This lease expires in August 2027. In July 2020, we entered into an operating lease to rent two additional suites in Bothell, Washington with 6,169 and 1,994 square feet. The lease terms for these suites commence on the date that the landlord delivers the premises to us for construction of certain tenant improvements. Rent obligations for these suites begin four months thereafter, and the leases expire in August 2027. We also lease approximately 1,270 square feet of laboratory and office space in Seattle, Washington, pursuant to a lease expiring in June 2021. We believe these facilities will be adequate for the foreseeable future and that suitable additional or substitute space will be available as and when needed.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06" w:lineRule="exact"/>
        <w:rPr>
          <w:sz w:val="20"/>
          <w:szCs w:val="20"/>
          <w:color w:val="auto"/>
        </w:rPr>
      </w:pPr>
    </w:p>
    <w:p>
      <w:pPr>
        <w:ind w:right="360" w:firstLine="576"/>
        <w:spacing w:after="0" w:line="248" w:lineRule="auto"/>
        <w:rPr>
          <w:sz w:val="20"/>
          <w:szCs w:val="20"/>
          <w:color w:val="auto"/>
        </w:rPr>
      </w:pPr>
      <w:r>
        <w:rPr>
          <w:rFonts w:ascii="Arial" w:cs="Arial" w:eastAsia="Arial" w:hAnsi="Arial"/>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December 31,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Age</w:t>
            </w:r>
          </w:p>
        </w:tc>
        <w:tc>
          <w:tcPr>
            <w:tcW w:w="4880" w:type="dxa"/>
            <w:vAlign w:val="bottom"/>
          </w:tcPr>
          <w:p>
            <w:pPr>
              <w:ind w:left="21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Executive Officers</w:t>
            </w:r>
          </w:p>
        </w:tc>
        <w:tc>
          <w:tcPr>
            <w:tcW w:w="18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880" w:type="dxa"/>
            <w:vAlign w:val="bottom"/>
            <w:tcBorders>
              <w:top w:val="single" w:sz="8" w:color="auto"/>
            </w:tcBorders>
            <w:shd w:val="clear" w:color="auto" w:fill="CFF0FC"/>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Leen Kawas,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Glenna Mileson</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62</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Mark Litton,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 Ph.D.</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Kevin Church,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Vice President of Discovery</w:t>
            </w:r>
          </w:p>
        </w:tc>
      </w:tr>
      <w:tr>
        <w:trPr>
          <w:trHeight w:val="216"/>
        </w:trPr>
        <w:tc>
          <w:tcPr>
            <w:tcW w:w="4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(2)(3)</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75</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(2)(3)</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(1)(3)</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78</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(1)(2)</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(1)</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58</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6" w:lineRule="exact"/>
        <w:rPr>
          <w:sz w:val="20"/>
          <w:szCs w:val="20"/>
          <w:color w:val="auto"/>
        </w:rPr>
      </w:pPr>
    </w:p>
    <w:p>
      <w:pPr>
        <w:ind w:left="480" w:hanging="472"/>
        <w:spacing w:after="0"/>
        <w:tabs>
          <w:tab w:leader="none" w:pos="4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i w:val="1"/>
          <w:iCs w:val="1"/>
          <w:color w:val="auto"/>
        </w:rPr>
        <w:t>Leen Kawas, Ph.D.</w:t>
      </w:r>
      <w:r>
        <w:rPr>
          <w:rFonts w:ascii="Arial" w:cs="Arial" w:eastAsia="Arial" w:hAnsi="Arial"/>
          <w:sz w:val="18"/>
          <w:szCs w:val="18"/>
          <w:color w:val="auto"/>
        </w:rPr>
        <w:t>, has served as our chief executive officer and as a member of our board of directors since January 2014.</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Dr. Kawas served as our vice president. Dr. Kawas serves on multiple boards, including the Washington Governor’s Life Science Advisory Board, Scientific Review Board for the Alzheimer’s Drug Discovery Foundation, and Alzheimer’s Association – Washington Chapter Board. She also served as the co-chair of the International Alzheimer's Association Business Consortium. Dr. Kawas earned a Ph.D. in molecular pharmacology from Washington State University in 2011 and a pharmacy degree from the University of Jordan in 2008. We believe Dr. Kawas’s scientific and professional training, her instrumental role in building Athira Pharma, Inc., and her extensive understanding of our business, operations and strategy qualify her to serve on our board of directors.</w:t>
      </w:r>
    </w:p>
    <w:p>
      <w:pPr>
        <w:spacing w:after="0" w:line="179" w:lineRule="exact"/>
        <w:rPr>
          <w:sz w:val="20"/>
          <w:szCs w:val="20"/>
          <w:color w:val="auto"/>
        </w:rPr>
      </w:pPr>
    </w:p>
    <w:p>
      <w:pPr>
        <w:ind w:right="60" w:firstLine="576"/>
        <w:spacing w:after="0"/>
        <w:rPr>
          <w:sz w:val="20"/>
          <w:szCs w:val="20"/>
          <w:color w:val="auto"/>
        </w:rPr>
      </w:pPr>
      <w:r>
        <w:rPr>
          <w:rFonts w:ascii="Arial" w:cs="Arial" w:eastAsia="Arial" w:hAnsi="Arial"/>
          <w:sz w:val="18"/>
          <w:szCs w:val="18"/>
          <w:i w:val="1"/>
          <w:iCs w:val="1"/>
          <w:color w:val="auto"/>
        </w:rPr>
        <w:t xml:space="preserve">Glenna Mileson </w:t>
      </w:r>
      <w:r>
        <w:rPr>
          <w:rFonts w:ascii="Arial" w:cs="Arial" w:eastAsia="Arial" w:hAnsi="Arial"/>
          <w:sz w:val="18"/>
          <w:szCs w:val="18"/>
          <w:color w:val="auto"/>
        </w:rPr>
        <w:t>has served as our chief financial officer since October 2015. Before she served as our chief financial officer, Ms.</w:t>
      </w:r>
      <w:r>
        <w:rPr>
          <w:rFonts w:ascii="Arial" w:cs="Arial" w:eastAsia="Arial" w:hAnsi="Arial"/>
          <w:sz w:val="18"/>
          <w:szCs w:val="18"/>
          <w:i w:val="1"/>
          <w:iCs w:val="1"/>
          <w:color w:val="auto"/>
        </w:rPr>
        <w:t xml:space="preserve"> </w:t>
      </w:r>
      <w:r>
        <w:rPr>
          <w:rFonts w:ascii="Arial" w:cs="Arial" w:eastAsia="Arial" w:hAnsi="Arial"/>
          <w:sz w:val="18"/>
          <w:szCs w:val="18"/>
          <w:color w:val="auto"/>
        </w:rPr>
        <w:t>Mileson provided outsourced financial management services to us as a partner at B2B CFO Partners LLC. While at B2B CFO Partners LLC from May 2008 until July 2020, Ms. Mileson also provided financial management services to a variety of mid-size companies, including to Precision Genome Engineering, Inc. (Pregenen), a biotech company developing gene editing and cell signaling technologies, from 2012 to 2014. Before that, Ms. Mileson held a variety of accounting and finance leadership positions including vice president of finance at POP, a marketing and advertising company, from 2006 to 2008 and chief financial officer/director of finance at DDB Seattle, an advertising firm owned by Omnicom Group Inc., from 1997 to 2006. Ms. Mileson began her career as an auditor and information systems consultant with Laventhol &amp; Horwath, a national public accounting firm, where she earned certification as a certified public accountant. Ms. Mileson earned a B.A. in business administration from the University of Washington in 1980.</w:t>
      </w:r>
    </w:p>
    <w:p>
      <w:pPr>
        <w:spacing w:after="0" w:line="176"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i w:val="1"/>
          <w:iCs w:val="1"/>
          <w:color w:val="auto"/>
        </w:rPr>
        <w:t>Mark Litton, M.B.A., Ph.D.</w:t>
      </w:r>
      <w:r>
        <w:rPr>
          <w:rFonts w:ascii="Arial" w:cs="Arial" w:eastAsia="Arial" w:hAnsi="Arial"/>
          <w:sz w:val="18"/>
          <w:szCs w:val="18"/>
          <w:color w:val="auto"/>
        </w:rPr>
        <w:t>, has served as our chief operating officer since July 2019. Prior to joining Athira Pharma, Inc., Dr. Litton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president and chief operating officer of Alpine Immune Sciences, Inc., a publicly traded biotechnology company, from August 2018 to April 2019. Dr. Litton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2" w:name="page153"/>
    <w:bookmarkEnd w:id="152"/>
    <w:p>
      <w:pPr>
        <w:spacing w:after="0" w:line="239" w:lineRule="auto"/>
        <w:rPr>
          <w:sz w:val="20"/>
          <w:szCs w:val="20"/>
          <w:color w:val="auto"/>
        </w:rPr>
      </w:pPr>
      <w:r>
        <w:rPr>
          <w:rFonts w:ascii="Arial" w:cs="Arial" w:eastAsia="Arial" w:hAnsi="Arial"/>
          <w:sz w:val="18"/>
          <w:szCs w:val="18"/>
          <w:color w:val="auto"/>
        </w:rPr>
        <w:t>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B.S. in biochemistry from the University of California Santa Cruz in 1990.</w:t>
      </w:r>
    </w:p>
    <w:p>
      <w:pPr>
        <w:spacing w:after="0" w:line="17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i w:val="1"/>
          <w:iCs w:val="1"/>
          <w:color w:val="auto"/>
        </w:rPr>
        <w:t xml:space="preserve">Hans Moebius, M.D., Ph.D., </w:t>
      </w:r>
      <w:r>
        <w:rPr>
          <w:rFonts w:ascii="Arial" w:cs="Arial" w:eastAsia="Arial" w:hAnsi="Arial"/>
          <w:sz w:val="18"/>
          <w:szCs w:val="18"/>
          <w:color w:val="auto"/>
        </w:rPr>
        <w:t>has served as our chief medical officer since April 2019. Prior to joining Athira Pharma, Inc., Dr. Moebius</w:t>
      </w:r>
      <w:r>
        <w:rPr>
          <w:rFonts w:ascii="Arial" w:cs="Arial" w:eastAsia="Arial" w:hAnsi="Arial"/>
          <w:sz w:val="18"/>
          <w:szCs w:val="18"/>
          <w:i w:val="1"/>
          <w:iCs w:val="1"/>
          <w:color w:val="auto"/>
        </w:rPr>
        <w:t xml:space="preserve"> </w:t>
      </w:r>
      <w:r>
        <w:rPr>
          <w:rFonts w:ascii="Arial" w:cs="Arial" w:eastAsia="Arial" w:hAnsi="Arial"/>
          <w:sz w:val="18"/>
          <w:szCs w:val="18"/>
          <w:color w:val="auto"/>
        </w:rPr>
        <w:t>co-founded Exciva GmbH, a company focusing on targeted drug rescue, and served as its chief executive officer and chief medical officer from 2016 to 2019, and again as acting chief medical officer from April 2020 to September 2020. Dr. Moebius also served as scientific advisory board member at Rodin Therapeutics from October 2016 until the company was sold to Alkermes in December 2019. At Rodin Therapeutics, he also served as acting chief medical officer from December 2016 to April 2018. Prior to that, Dr. Moebius served as executive vice president of clinical research at CHASE Pharmaceuticals, until the company was acquired by Allergan in 2016. Dr. Moebius earned his Ph.D. in experimental pharmacology from the University of Heidelberg in 1983 and a B.S. in chemistry from the University of Kaiserslautern, Germany, in 1976. Dr. Moebius completed his medical studies at the Karls University of Heidelberg in 1982 and was board certified in neurology and psychiatry after completion of residencies at the Goethe University Frankfurt/Main from 1986-1991. During his research tenure at the Max-Planck-Institute for Brain Research from 1984-1986, he lectured in neuropathology and neuroscience. Dr. Moebius also holds the European Certificate in Pharmaceutical Medicine (ECPM) from the EUCOR Universities Basel/Switzerland, Freiburg/Germany and Strasbourg/France.</w:t>
      </w:r>
    </w:p>
    <w:p>
      <w:pPr>
        <w:spacing w:after="0" w:line="183"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i w:val="1"/>
          <w:iCs w:val="1"/>
          <w:color w:val="auto"/>
        </w:rPr>
        <w:t>Kevin Church, Ph.D.</w:t>
      </w:r>
      <w:r>
        <w:rPr>
          <w:rFonts w:ascii="Arial" w:cs="Arial" w:eastAsia="Arial" w:hAnsi="Arial"/>
          <w:sz w:val="18"/>
          <w:szCs w:val="18"/>
          <w:color w:val="auto"/>
        </w:rPr>
        <w:t>, has served in various roles at Athira since 2016, including research scientist, director of discovery, now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discovery.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Board of Directors</w:t>
      </w:r>
    </w:p>
    <w:p>
      <w:pPr>
        <w:spacing w:after="0" w:line="106" w:lineRule="exact"/>
        <w:rPr>
          <w:sz w:val="20"/>
          <w:szCs w:val="20"/>
          <w:color w:val="auto"/>
        </w:rPr>
      </w:pPr>
    </w:p>
    <w:p>
      <w:pPr>
        <w:ind w:right="20" w:firstLine="576"/>
        <w:spacing w:after="0"/>
        <w:rPr>
          <w:sz w:val="20"/>
          <w:szCs w:val="20"/>
          <w:color w:val="auto"/>
        </w:rPr>
      </w:pPr>
      <w:r>
        <w:rPr>
          <w:rFonts w:ascii="Arial" w:cs="Arial" w:eastAsia="Arial" w:hAnsi="Arial"/>
          <w:sz w:val="18"/>
          <w:szCs w:val="18"/>
          <w:i w:val="1"/>
          <w:iCs w:val="1"/>
          <w:color w:val="auto"/>
        </w:rPr>
        <w:t>Tadataka Yamada, M.D.</w:t>
      </w:r>
      <w:r>
        <w:rPr>
          <w:rFonts w:ascii="Arial" w:cs="Arial" w:eastAsia="Arial" w:hAnsi="Arial"/>
          <w:sz w:val="18"/>
          <w:szCs w:val="18"/>
          <w:color w:val="auto"/>
        </w:rPr>
        <w:t>, has served on our board of directors since June 2019 and as the chair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2020. He is also a venture partner at Frazier Healthcare and co-founder of, and currently serves on the board of directors for, Phathom Pharmaceuticals, Passage Bio, Scout Bio, and Outpost Medicine. Dr. Yamada also serves on the board of directors of Agilent Technologies, Inc., as board of directors chair at the Clinton Health Access Initiative and is a member of the Council of the National Academy of Medicine. He is also a fellow of the Imperial College of Medicine, a master of the American College of Physicians, a fellow of the Royal College of Physicians, a member of the American Academy of Arts and Sciences and a past-president of the American Gastroenterological Association and the Association of American Physicians. Previously, Dr. Yamada held executive leadership roles at Takeda Pharmaceuticals, the Bill and Melinda Gates Foundation, GlaxoSmithKline, and at the University of Michigan in Ann Arbor. Dr. Yamada received his M.D. from New York University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School of Medicine in 1971 and a B.A. in history from Stanford University 1967. In recognition of his contributions to medicine and science he has been elected to membership in the National Academy of Medicine (U.S.), the Academy of Medical Sciences (U.K.) and the National Academy of Medicine (Mexico). He has been awarded the Order of the Rising Sun, Gold and Silver Star by the Government of Japan, received an honorary appointment as Knight Commander of the Most Excellent Order of the British Empire (KBE), and been conferred the degree of D.Sc. h.c. from five universities. He has also been the recipient of numerous awards including the Distinguished Achievement Award in Gastrointestinal Physiology from the American Physiological Society, the Friedenwald Medal from the American Gastroenterological Association, and the Watanabe Prize in Translational Research from Indiana University and Eli Lilly &amp; Co. We believe that Dr. Yamada’s extensive background in medical and biopharmaceutical research, as well as his service as a director or officer of other healthcare companies, qualifies him to serve as chair of our board of directors.</w:t>
      </w:r>
    </w:p>
    <w:p>
      <w:pPr>
        <w:spacing w:after="0" w:line="176"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i w:val="1"/>
          <w:iCs w:val="1"/>
          <w:color w:val="auto"/>
        </w:rPr>
        <w:t xml:space="preserve">Joseph Edelman </w:t>
      </w:r>
      <w:r>
        <w:rPr>
          <w:rFonts w:ascii="Arial" w:cs="Arial" w:eastAsia="Arial" w:hAnsi="Arial"/>
          <w:sz w:val="18"/>
          <w:szCs w:val="18"/>
          <w:color w:val="auto"/>
        </w:rPr>
        <w:t>has served on our board of directors since May 2020. Mr. Edelman is founder, chief executive officer, and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Perceptive Advisors.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in 1986 and a B.A., magna cum laude, in psychology from the University of California San Diego in 1978. We believe Mr. Edelman’s experience as a board member and investor in many successful biotechnology companies qualifies him to serve on our board of directors.</w:t>
      </w:r>
    </w:p>
    <w:p>
      <w:pPr>
        <w:spacing w:after="0" w:line="179"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i w:val="1"/>
          <w:iCs w:val="1"/>
          <w:color w:val="auto"/>
        </w:rPr>
        <w:t xml:space="preserve">John M. Fluke, Jr. </w:t>
      </w:r>
      <w:r>
        <w:rPr>
          <w:rFonts w:ascii="Arial" w:cs="Arial" w:eastAsia="Arial" w:hAnsi="Arial"/>
          <w:sz w:val="18"/>
          <w:szCs w:val="18"/>
          <w:color w:val="auto"/>
        </w:rPr>
        <w:t>has served on our board of directors since December 2014. Mr. Fluke is chairman of Fluke Capital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L.P., which he founded in 1976, and was chairman and chief executive officer of the John Fluke Manufacturing Co. until 1990. Mr. Fluke previously served on the boards of PACCAR Inc., CellCyte Genetics Corporation, Cell Therapeutics, Primus International, and American Seafoods Group. Mr. Fluke is a current trustee of the Greater Seattle Chamber of Commerce (formerly serving as its chairman) and previously served as chairman of the Washington State China Relations Council and a trustee emeritus of the Museum of Flight. He also previously served as chairman of the 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 We believe Mr. Fluke’s extensive leadership experience and background as an investor in many successful companies qualifies him to serve on our board of directors.</w:t>
      </w:r>
    </w:p>
    <w:p>
      <w:pPr>
        <w:spacing w:after="0" w:line="17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i w:val="1"/>
          <w:iCs w:val="1"/>
          <w:color w:val="auto"/>
        </w:rPr>
        <w:t xml:space="preserve">James A. Johnson </w:t>
      </w:r>
      <w:r>
        <w:rPr>
          <w:rFonts w:ascii="Arial" w:cs="Arial" w:eastAsia="Arial" w:hAnsi="Arial"/>
          <w:sz w:val="18"/>
          <w:szCs w:val="18"/>
          <w:color w:val="auto"/>
        </w:rPr>
        <w:t>has served on our board of directors since August 2020. Mr. Johnson previously served as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Nohla Therapeutics, a cell therapy company. Prior to Nohla, Mr. Johnson served for five years as the chief financial officer of NanoString Technologies, a publicly held provider of life science tools for translational research and molecular diagnostics.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(now Armata Pharmaceuticals) and as Vice President of Finance at Immunex Corporation during its evolution from product development to commercial operations. Mr. Johnson received a B.A. in business administration from the University of Washington in 1979. We believe Mr. Johnson’s depth of experience in the biopharmaceuticals industry, including as chief financial officer of a number of publicly traded biopharmaceutical companies, qualifies him to serve on our board of directors.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54" w:name="page155"/>
    <w:bookmarkEnd w:id="154"/>
    <w:p>
      <w:pPr>
        <w:ind w:right="120" w:firstLine="576"/>
        <w:spacing w:after="0" w:line="238" w:lineRule="auto"/>
        <w:rPr>
          <w:sz w:val="20"/>
          <w:szCs w:val="20"/>
          <w:color w:val="auto"/>
        </w:rPr>
      </w:pPr>
      <w:r>
        <w:rPr>
          <w:rFonts w:ascii="Arial" w:cs="Arial" w:eastAsia="Arial" w:hAnsi="Arial"/>
          <w:sz w:val="18"/>
          <w:szCs w:val="18"/>
          <w:i w:val="1"/>
          <w:iCs w:val="1"/>
          <w:color w:val="auto"/>
        </w:rPr>
        <w:t xml:space="preserve">Kelly A. Romano </w:t>
      </w:r>
      <w:r>
        <w:rPr>
          <w:rFonts w:ascii="Arial" w:cs="Arial" w:eastAsia="Arial" w:hAnsi="Arial"/>
          <w:sz w:val="18"/>
          <w:szCs w:val="18"/>
          <w:color w:val="auto"/>
        </w:rPr>
        <w:t>has served on our board of directors since December 2020.</w:t>
      </w:r>
      <w:r>
        <w:rPr>
          <w:rFonts w:ascii="Arial" w:cs="Arial" w:eastAsia="Arial" w:hAnsi="Arial"/>
          <w:sz w:val="18"/>
          <w:szCs w:val="18"/>
          <w:i w:val="1"/>
          <w:iCs w:val="1"/>
          <w:color w:val="auto"/>
        </w:rPr>
        <w:t xml:space="preserve"> </w:t>
      </w:r>
      <w:r>
        <w:rPr>
          <w:rFonts w:ascii="Arial" w:cs="Arial" w:eastAsia="Arial" w:hAnsi="Arial"/>
          <w:sz w:val="18"/>
          <w:szCs w:val="18"/>
          <w:color w:val="0A0A0A"/>
        </w:rPr>
        <w:t>Ms. Romano brings over 30 years of executive</w:t>
      </w:r>
      <w:r>
        <w:rPr>
          <w:rFonts w:ascii="Arial" w:cs="Arial" w:eastAsia="Arial" w:hAnsi="Arial"/>
          <w:sz w:val="18"/>
          <w:szCs w:val="18"/>
          <w:i w:val="1"/>
          <w:iCs w:val="1"/>
          <w:color w:val="auto"/>
        </w:rPr>
        <w:t xml:space="preserve"> </w:t>
      </w:r>
      <w:r>
        <w:rPr>
          <w:rFonts w:ascii="Arial" w:cs="Arial" w:eastAsia="Arial" w:hAnsi="Arial"/>
          <w:sz w:val="18"/>
          <w:szCs w:val="18"/>
          <w:color w:val="0A0A0A"/>
        </w:rPr>
        <w:t>operating experience in technology, with a background in commercial buildings and aerospace. Ms. Romano is the chief executive officer of BlueRipple Capital, LLC, a consultancy firm she founded in May 2018. In addition to her role at BlueRipple Capital, LLC, Ms. Romano is an operating partner at AE Industrial Partners. Ms. Romano has also served as senior advisory partner at Sand Oak Capital Partners, LLC, a private equity firm focused on industrial and manufacturing investments, since May 2016. Previously, she spent 32 years working at United Technologies Corp. (UTC) in various positions of increasing responsibility, most recently as president of intelligent building technologies in UTC Building &amp; Industrial Systems. Ms. Romano is also a member of several boards of directors, including UGI Corporation and Dorman Products, Inc., and is co-chair of the board of directors at Potter Electric Signal. Ms. Romano holds a bachelor's degree in business administration from the State University of New York at Buffalo, an MBA degree from Syracuse University, and is a graduate of the Northwestern University Kellogg School of Management's Corporate Board Governance Executive Program, as well as senior executive programs at Darden School of Management, University of Virginia. We believe Ms. Romano’s executive operating experience and aptitude for understanding growing companies qualifies her to serve on our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Risk Oversight</w:t>
      </w:r>
    </w:p>
    <w:p>
      <w:pPr>
        <w:spacing w:after="0" w:line="106"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Our board of directors is currently composed of six members. Each of our directors other than Dr. Kawas is independent within the meaning of the independent director guidelines of the Nasdaq Global Select Market. All of the directors other than Dr. Kawas and Ms. Romano were elected to our board of directors pursuant to a voting agreement that terminated in connection with our initial public offering. Our certificate of incorporation and bylaws provide that the number of our directors shall be at least one and will be fixed from time to time by resolution of our board of directors.</w:t>
      </w:r>
    </w:p>
    <w:p>
      <w:pPr>
        <w:spacing w:after="0" w:line="172"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Our board of directors is divided into three classes of directors. At each annual meeting of stockholders, a class of directors will be elected for a three-year term to succeed the class whose terms are then expiring. The terms of the directors will expire upon the election and qualification of successor directors at the annual meeting of stockholders to be held during the years 2021 for the Class I directors, 2022 for the Class II directors and 2023 for the Class III director.</w:t>
      </w:r>
    </w:p>
    <w:p>
      <w:pPr>
        <w:spacing w:after="0" w:line="62" w:lineRule="exact"/>
        <w:rPr>
          <w:sz w:val="20"/>
          <w:szCs w:val="20"/>
          <w:color w:val="auto"/>
        </w:rPr>
      </w:pPr>
    </w:p>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I directors are Tadataka Yamada and Leen Kawas.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II directors are Joseph Edelman and John M. Fluke, Jr.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III directors are James A. Johnson and Kelly A. Romano.</w:t>
      </w:r>
    </w:p>
    <w:p>
      <w:pPr>
        <w:spacing w:after="0" w:line="224" w:lineRule="exact"/>
        <w:rPr>
          <w:sz w:val="20"/>
          <w:szCs w:val="20"/>
          <w:color w:val="auto"/>
        </w:rPr>
      </w:pPr>
    </w:p>
    <w:p>
      <w:pPr>
        <w:ind w:right="220" w:firstLine="576"/>
        <w:spacing w:after="0" w:line="248"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in control. See the section of this prospectus titled “Description of Capital Stock—Anti-Takeover Effects of Delaware and Washington Law and Our Certificate of Incorporation and Bylaws” for a discussion of other anti-takeover provisions found in our certificate of incorporation.</w:t>
      </w:r>
    </w:p>
    <w:p>
      <w:pPr>
        <w:spacing w:after="0" w:line="170"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 and operational risks. Our compensation committee is responsible for overseeing the management of risks relating to our executive compensation plans and arrangements. Our audit 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and potential conflicts of interest. While each committee is responsible for evaluating certain risks and overseeing the management of such risks, our entire board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55" w:name="page156"/>
    <w:bookmarkEnd w:id="155"/>
    <w:p>
      <w:pPr>
        <w:ind w:right="800"/>
        <w:spacing w:after="0" w:line="276" w:lineRule="auto"/>
        <w:rPr>
          <w:sz w:val="20"/>
          <w:szCs w:val="20"/>
          <w:color w:val="auto"/>
        </w:rPr>
      </w:pPr>
      <w:r>
        <w:rPr>
          <w:rFonts w:ascii="Arial" w:cs="Arial" w:eastAsia="Arial" w:hAnsi="Arial"/>
          <w:sz w:val="18"/>
          <w:szCs w:val="18"/>
          <w:color w:val="auto"/>
        </w:rPr>
        <w:t>of directors is regularly informed through discussions from committee members about such risks. Our board of directors believes its administration of its risk oversight function has not affected the board of directors’ leadership structure.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Our common stock is listed on the Nasdaq Global Select Market. Under the rules of the Nasdaq Global Select Market, independent directors must comprise a majority of a listed company’s board of directors within a specified period of the completion of this offering. In addition, the rules of the Nasdaq Global Select Market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the Nasdaq Global Select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9"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70"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our directors and considered whether any director has a material relationship with us that could compromise his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Kawas, none of our directors has a relationship that would interfere with the exercise of independent judgment in carrying out the responsibilities of a director and that each of these directors is “independent” as that term is defined under the rules of the Nasdaq Global Select Market. Our board of directors also determined that Messrs. Johnson and Fluke and Ms. Romano, who comprise our audit committee; Dr. Yamada and Messrs. Edelman and Johnson, who comprise our compensation committee; and Dr. Yamada and Messrs. Edelman and Fluke, who comprise our nominating and corporate governance committee, satisfy the independence standards for those committees established by applicable SEC rules and the rules of the Nasdaq Global Select Market.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06"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Dr. Yamada serves as the chairman of the board of directors, and Dr. Kawas serves as our president and chief executive officer. The roles of chief executive officer and chairman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chairman or appoints a chief executive officer, based on the relevant facts and circumstances applicable at such time. In 2014, when Dr. Kawas was first appointed as our president and chief executive officer, the Board determined it was in the best interests of our stockholders to continue to maintain an independent chairman to allow Dr. Kawas to focus on her primary responsibility for the operational leadership and strategic direction of our company.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Board Committees</w:t>
      </w:r>
    </w:p>
    <w:p>
      <w:pPr>
        <w:spacing w:after="0" w:line="106"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The members of our audit committee are Messrs. Johnson and Fluke and Ms. Romano,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the Nasdaq Global Select Market.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the Nasdaq Global Select Market. Our board of directors has determined that each of Messrs. Johnson and Fluke and Ms. Romano is independent for audit committee purposes, as that term is defined in the rules of the SEC and the applicable Nasdaq rules, and have sufficient knowledge in financial and auditing matters to serve on the audit committee.</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audit committee:</w:t>
      </w:r>
    </w:p>
    <w:p>
      <w:pPr>
        <w:spacing w:after="0" w:line="104" w:lineRule="exact"/>
        <w:rPr>
          <w:sz w:val="20"/>
          <w:szCs w:val="20"/>
          <w:color w:val="auto"/>
        </w:rPr>
      </w:pPr>
    </w:p>
    <w:p>
      <w:pPr>
        <w:ind w:left="1300" w:right="320" w:hanging="442"/>
        <w:spacing w:after="0" w:line="275" w:lineRule="auto"/>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selects, retains, compensates, evaluates, oversees and, where appropriate, terminates our independent registered public accounting firm;</w:t>
      </w:r>
    </w:p>
    <w:p>
      <w:pPr>
        <w:spacing w:after="0" w:line="37"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approves the scope and plans for the audits and the audit fees and approves all non-audit and tax services to be performed by the independent audit;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evaluates the independence and qualification of the independent registered public accounting firm;</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reviews internal controls and integrity of financial statements;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reviews financial information presentation, earnings press releases and guidance;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oversees the design, implementation and performance of our internal audit function, if any;</w:t>
      </w:r>
    </w:p>
    <w:p>
      <w:pPr>
        <w:spacing w:after="0" w:line="116"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sets hiring policies with regard to the hiring of employees and former employees of our independent auditor and oversees compliance with such policies;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reviews, approves and monitors related party transactions;</w:t>
      </w:r>
    </w:p>
    <w:p>
      <w:pPr>
        <w:spacing w:after="0" w:line="116" w:lineRule="exact"/>
        <w:rPr>
          <w:rFonts w:ascii="Times New Roman" w:cs="Times New Roman" w:eastAsia="Times New Roman" w:hAnsi="Times New Roman"/>
          <w:sz w:val="18"/>
          <w:szCs w:val="18"/>
          <w:color w:val="auto"/>
        </w:rPr>
      </w:pPr>
    </w:p>
    <w:p>
      <w:pPr>
        <w:ind w:left="1300" w:right="620" w:hanging="442"/>
        <w:spacing w:after="0" w:line="275" w:lineRule="auto"/>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adopts and oversees procedures to address complaints regarding accounting, internal accounting controls or auditing matters;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discusses with our management and the independent auditor our compliance with various laws;</w:t>
      </w:r>
    </w:p>
    <w:p>
      <w:pPr>
        <w:spacing w:after="0" w:line="116"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discusses with management our independent auditor guidelines and policies to identify, monitor, and address enterprise risks;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engages independent legal, accounting and other advisors;</w:t>
      </w:r>
    </w:p>
    <w:p>
      <w:pPr>
        <w:spacing w:after="0" w:line="116"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provides appropriate funding for compensation to independent registered accounting firm, advisors and related expenses;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reviews the adequacy of the audit committee charter and recommend any proposed changes to our board of directors.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The members of our compensation committee are Dr. Yamada and Messrs. Edelman and Johnson. Dr. Yamada is the chairman of our compensation committee. Our compensation committee oversees our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7" w:name="page158"/>
    <w:bookmarkEnd w:id="157"/>
    <w:p>
      <w:pPr>
        <w:ind w:right="140"/>
        <w:spacing w:after="0" w:line="276" w:lineRule="auto"/>
        <w:rPr>
          <w:sz w:val="20"/>
          <w:szCs w:val="20"/>
          <w:color w:val="auto"/>
        </w:rPr>
      </w:pPr>
      <w:r>
        <w:rPr>
          <w:rFonts w:ascii="Arial" w:cs="Arial" w:eastAsia="Arial" w:hAnsi="Arial"/>
          <w:sz w:val="18"/>
          <w:szCs w:val="18"/>
          <w:color w:val="auto"/>
        </w:rPr>
        <w:t>compensation policies, plans and benefits programs. Our compensation committee operates under a written charter that specifies its duties and responsibilities and satisfies the applicable listing standards of the Nasdaq Global Select Market. The compensation committee:</w:t>
      </w:r>
    </w:p>
    <w:p>
      <w:pPr>
        <w:spacing w:after="0" w:line="37" w:lineRule="exact"/>
        <w:rPr>
          <w:sz w:val="20"/>
          <w:szCs w:val="20"/>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approves the corporate goals and objectives applicable to the compensation of our chief executive officer;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approves the compensation and benefits for our executive officers;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reviews, approves, and administers employee compensation plans;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advises on proposals to stockholders on executive compensation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oversees compensation plans and programs;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discusses our compensation policies and practices and the risks related thereto;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monitors compliance with any stock ownership guidelines;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approves the creation or revision of any clawback policy allowing us to recoup compensation paid to employees;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oversees regulatory compliance with respect to compensation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retains or obtains the advice of compensation consultants; and</w:t>
      </w:r>
    </w:p>
    <w:p>
      <w:pPr>
        <w:spacing w:after="0" w:line="116" w:lineRule="exact"/>
        <w:rPr>
          <w:rFonts w:ascii="Times New Roman" w:cs="Times New Roman" w:eastAsia="Times New Roman" w:hAnsi="Times New Roman"/>
          <w:sz w:val="18"/>
          <w:szCs w:val="18"/>
          <w:color w:val="auto"/>
        </w:rPr>
      </w:pPr>
    </w:p>
    <w:p>
      <w:pPr>
        <w:ind w:left="1300" w:right="480" w:hanging="442"/>
        <w:spacing w:after="0" w:line="275" w:lineRule="auto"/>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reviews the adequacy of the compensation committee charter and recommends any proposed changes to our board of directors.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The members of our nominating and corporate governance committee are Dr. Yamada and Messrs. Edelman and Fluke. Dr. Yamada is the chairman of our 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 responsibilities and satisfies the applicable listing standards of the Nasdaq Global Select Market. The nominating and corporate governance committee:</w:t>
      </w:r>
    </w:p>
    <w:p>
      <w:pPr>
        <w:spacing w:after="0" w:line="64" w:lineRule="exact"/>
        <w:rPr>
          <w:sz w:val="20"/>
          <w:szCs w:val="20"/>
          <w:color w:val="auto"/>
        </w:rPr>
      </w:pPr>
    </w:p>
    <w:p>
      <w:pPr>
        <w:ind w:left="800" w:hanging="225"/>
        <w:spacing w:after="0"/>
        <w:tabs>
          <w:tab w:leader="none" w:pos="8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establishes procedures for the submission of candidates for election to our board of directors;</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conducts a periodic review of our succession planning process for the executive management team;</w:t>
      </w:r>
    </w:p>
    <w:p>
      <w:pPr>
        <w:spacing w:after="0" w:line="116" w:lineRule="exact"/>
        <w:rPr>
          <w:rFonts w:ascii="Times New Roman" w:cs="Times New Roman" w:eastAsia="Times New Roman" w:hAnsi="Times New Roman"/>
          <w:sz w:val="18"/>
          <w:szCs w:val="18"/>
          <w:color w:val="auto"/>
        </w:rPr>
      </w:pPr>
    </w:p>
    <w:p>
      <w:pPr>
        <w:ind w:left="800" w:hanging="225"/>
        <w:spacing w:after="0" w:line="275" w:lineRule="auto"/>
        <w:tabs>
          <w:tab w:leader="none" w:pos="8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reviews the structure and composition of each committee of our board of directors and makes recommendations for changes to the committees;</w:t>
      </w:r>
    </w:p>
    <w:p>
      <w:pPr>
        <w:spacing w:after="0" w:line="37" w:lineRule="exact"/>
        <w:rPr>
          <w:rFonts w:ascii="Times New Roman" w:cs="Times New Roman" w:eastAsia="Times New Roman" w:hAnsi="Times New Roman"/>
          <w:sz w:val="18"/>
          <w:szCs w:val="18"/>
          <w:color w:val="auto"/>
        </w:rPr>
      </w:pPr>
    </w:p>
    <w:p>
      <w:pPr>
        <w:ind w:left="800" w:right="780" w:hanging="225"/>
        <w:spacing w:after="0" w:line="275" w:lineRule="auto"/>
        <w:tabs>
          <w:tab w:leader="none" w:pos="8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develops and recommends to the board of directors corporate governance guidelines and annually reviews the corporate governance guidelines and their application;</w:t>
      </w:r>
    </w:p>
    <w:p>
      <w:pPr>
        <w:spacing w:after="0" w:line="37"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oversees governance practices;</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oversees our director orientation and continuing education;</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oversees the evaluation of our board of directors and its committees;</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develops, approves, reviews and monitors compliance with our Code of Business Conduct and Ethics;</w:t>
      </w:r>
    </w:p>
    <w:p>
      <w:pPr>
        <w:spacing w:after="0" w:line="116" w:lineRule="exact"/>
        <w:rPr>
          <w:rFonts w:ascii="Times New Roman" w:cs="Times New Roman" w:eastAsia="Times New Roman" w:hAnsi="Times New Roman"/>
          <w:sz w:val="18"/>
          <w:szCs w:val="18"/>
          <w:color w:val="auto"/>
        </w:rPr>
      </w:pPr>
    </w:p>
    <w:p>
      <w:pPr>
        <w:ind w:left="800" w:right="20" w:hanging="225"/>
        <w:spacing w:after="0" w:line="275" w:lineRule="auto"/>
        <w:tabs>
          <w:tab w:leader="none" w:pos="8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administers policies and procedures for various constituencies that are involved with us to communicate with the non-management members of our board of directors; and</w:t>
      </w:r>
    </w:p>
    <w:p>
      <w:pPr>
        <w:spacing w:after="0" w:line="37" w:lineRule="exact"/>
        <w:rPr>
          <w:rFonts w:ascii="Times New Roman" w:cs="Times New Roman" w:eastAsia="Times New Roman" w:hAnsi="Times New Roman"/>
          <w:sz w:val="18"/>
          <w:szCs w:val="18"/>
          <w:color w:val="auto"/>
        </w:rPr>
      </w:pPr>
    </w:p>
    <w:p>
      <w:pPr>
        <w:ind w:left="800" w:right="80" w:hanging="225"/>
        <w:spacing w:after="0" w:line="275" w:lineRule="auto"/>
        <w:tabs>
          <w:tab w:leader="none" w:pos="8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reviews the adequacy of the nominating and corporate governance committee charter and recommends any proposed changes to our board of directors.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58" w:name="page159"/>
    <w:bookmarkEnd w:id="158"/>
    <w:p>
      <w:pPr>
        <w:ind w:left="58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1" w:lineRule="exact"/>
        <w:rPr>
          <w:sz w:val="20"/>
          <w:szCs w:val="20"/>
          <w:color w:val="auto"/>
        </w:rPr>
      </w:pPr>
    </w:p>
    <w:p>
      <w:pPr>
        <w:ind w:right="60" w:firstLine="576"/>
        <w:spacing w:after="0" w:line="219" w:lineRule="exact"/>
        <w:rPr>
          <w:sz w:val="20"/>
          <w:szCs w:val="20"/>
          <w:color w:val="auto"/>
        </w:rPr>
      </w:pPr>
      <w:r>
        <w:rPr>
          <w:rFonts w:ascii="Arial" w:cs="Arial" w:eastAsia="Arial" w:hAnsi="Arial"/>
          <w:sz w:val="18"/>
          <w:szCs w:val="18"/>
          <w:color w:val="auto"/>
        </w:rPr>
        <w:t>Prior to our initial public offering, we did not have a formal policy with respect to compensation payable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their service as directors. From time to time, we have granted equity awards to attract them to join our board of directors and for their continued service on our board of directors. We also have reimbursed our directors for expenses associated with attending meetings of our board of directors and its committees.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Director Compensation</w:t>
      </w:r>
    </w:p>
    <w:p>
      <w:pPr>
        <w:spacing w:after="0" w:line="106"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The following table provides information regarding compensation of our non-employee directors for service as directors for the year ended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Fees Earned or</w:t>
            </w: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 Awards</w:t>
            </w:r>
          </w:p>
        </w:tc>
        <w:tc>
          <w:tcPr>
            <w:tcW w:w="144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r>
      <w:tr>
        <w:trPr>
          <w:trHeight w:val="177"/>
        </w:trPr>
        <w:tc>
          <w:tcPr>
            <w:tcW w:w="6660" w:type="dxa"/>
            <w:vAlign w:val="bottom"/>
            <w:gridSpan w:val="2"/>
          </w:tcPr>
          <w:p>
            <w:pPr>
              <w:ind w:left="3060"/>
              <w:spacing w:after="0"/>
              <w:rPr>
                <w:sz w:val="20"/>
                <w:szCs w:val="20"/>
                <w:color w:val="auto"/>
              </w:rPr>
            </w:pPr>
            <w:r>
              <w:rPr>
                <w:rFonts w:ascii="Arial" w:cs="Arial" w:eastAsia="Arial" w:hAnsi="Arial"/>
                <w:sz w:val="14"/>
                <w:szCs w:val="14"/>
                <w:b w:val="1"/>
                <w:bCs w:val="1"/>
                <w:color w:val="auto"/>
              </w:rPr>
              <w:t>Name</w:t>
            </w: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 in Cash ($)</w:t>
            </w:r>
          </w:p>
        </w:tc>
        <w:tc>
          <w:tcPr>
            <w:tcW w:w="1340" w:type="dxa"/>
            <w:vAlign w:val="bottom"/>
          </w:tcPr>
          <w:p>
            <w:pPr>
              <w:jc w:val="right"/>
              <w:ind w:right="415"/>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5"/>
                <w:szCs w:val="15"/>
                <w:color w:val="auto"/>
              </w:rPr>
            </w:pPr>
          </w:p>
        </w:tc>
        <w:tc>
          <w:tcPr>
            <w:tcW w:w="1340" w:type="dxa"/>
            <w:vAlign w:val="bottom"/>
          </w:tcPr>
          <w:p>
            <w:pPr>
              <w:jc w:val="right"/>
              <w:ind w:right="49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209"/>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w:t>
            </w:r>
          </w:p>
        </w:tc>
        <w:tc>
          <w:tcPr>
            <w:tcW w:w="1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23,714</w:t>
            </w: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110,777</w:t>
            </w: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134,491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12,571</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82,385</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94,956</w:t>
            </w:r>
          </w:p>
        </w:tc>
        <w:tc>
          <w:tcPr>
            <w:tcW w:w="100" w:type="dxa"/>
            <w:vAlign w:val="bottom"/>
          </w:tcPr>
          <w:p>
            <w:pPr>
              <w:spacing w:after="0"/>
              <w:rPr>
                <w:sz w:val="18"/>
                <w:szCs w:val="18"/>
                <w:color w:val="auto"/>
              </w:rPr>
            </w:pPr>
          </w:p>
        </w:tc>
      </w:tr>
      <w:tr>
        <w:trPr>
          <w:trHeight w:val="216"/>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M. Fluke</w:t>
            </w:r>
            <w:r>
              <w:rPr>
                <w:rFonts w:ascii="Arial" w:cs="Arial" w:eastAsia="Arial" w:hAnsi="Arial"/>
                <w:sz w:val="15"/>
                <w:szCs w:val="15"/>
                <w:color w:val="auto"/>
              </w:rPr>
              <w:t>(4)</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13,285</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85,644</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98,929</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(5)</w:t>
            </w:r>
          </w:p>
        </w:tc>
        <w:tc>
          <w:tcPr>
            <w:tcW w:w="1320" w:type="dxa"/>
            <w:vAlign w:val="bottom"/>
          </w:tcPr>
          <w:p>
            <w:pPr>
              <w:jc w:val="right"/>
              <w:spacing w:after="0"/>
              <w:rPr>
                <w:sz w:val="20"/>
                <w:szCs w:val="20"/>
                <w:color w:val="auto"/>
              </w:rPr>
            </w:pPr>
            <w:r>
              <w:rPr>
                <w:rFonts w:ascii="Arial" w:cs="Arial" w:eastAsia="Arial" w:hAnsi="Arial"/>
                <w:sz w:val="18"/>
                <w:szCs w:val="18"/>
                <w:color w:val="auto"/>
              </w:rPr>
              <w:t>15,714</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82,075</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97,789</w:t>
            </w:r>
          </w:p>
        </w:tc>
        <w:tc>
          <w:tcPr>
            <w:tcW w:w="100" w:type="dxa"/>
            <w:vAlign w:val="bottom"/>
          </w:tcPr>
          <w:p>
            <w:pPr>
              <w:spacing w:after="0"/>
              <w:rPr>
                <w:sz w:val="18"/>
                <w:szCs w:val="18"/>
                <w:color w:val="auto"/>
              </w:rPr>
            </w:pPr>
          </w:p>
        </w:tc>
      </w:tr>
      <w:tr>
        <w:trPr>
          <w:trHeight w:val="216"/>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Joseph Harding</w:t>
            </w:r>
            <w:r>
              <w:rPr>
                <w:rFonts w:ascii="Arial" w:cs="Arial" w:eastAsia="Arial" w:hAnsi="Arial"/>
                <w:sz w:val="15"/>
                <w:szCs w:val="15"/>
                <w:color w:val="auto"/>
              </w:rPr>
              <w:t>(6)</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74,412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74,412</w:t>
            </w:r>
          </w:p>
        </w:tc>
        <w:tc>
          <w:tcPr>
            <w:tcW w:w="100" w:type="dxa"/>
            <w:vAlign w:val="bottom"/>
            <w:shd w:val="clear" w:color="auto" w:fill="CFF0FC"/>
          </w:tcPr>
          <w:p>
            <w:pPr>
              <w:spacing w:after="0"/>
              <w:rPr>
                <w:sz w:val="18"/>
                <w:szCs w:val="18"/>
                <w:color w:val="auto"/>
              </w:rPr>
            </w:pPr>
          </w:p>
        </w:tc>
      </w:tr>
      <w:tr>
        <w:trPr>
          <w:trHeight w:val="243"/>
        </w:trPr>
        <w:tc>
          <w:tcPr>
            <w:tcW w:w="6660" w:type="dxa"/>
            <w:vAlign w:val="bottom"/>
            <w:gridSpan w:val="2"/>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(7)</w:t>
            </w:r>
          </w:p>
        </w:tc>
        <w:tc>
          <w:tcPr>
            <w:tcW w:w="1320" w:type="dxa"/>
            <w:vAlign w:val="bottom"/>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582,382</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583,900</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3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29" w:lineRule="exact"/>
        <w:rPr>
          <w:sz w:val="20"/>
          <w:szCs w:val="20"/>
          <w:color w:val="auto"/>
        </w:rPr>
      </w:pPr>
    </w:p>
    <w:p>
      <w:pPr>
        <w:jc w:val="both"/>
        <w:ind w:left="480" w:right="140" w:hanging="472"/>
        <w:spacing w:after="0" w:line="261" w:lineRule="auto"/>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 accordance with SEC rules, the amount in this column reflects the aggregate grant date fair value of stock options granted during 2020 computed in accordance with Accounting Standards Codification (ASC) Topic 718, rather than the amount paid or realized by the director. We provide information regarding the assumptions used to calculate the value of all stock options granted to our directors in Note 12 to our audited financial statements included elsewhere in this prospectus.</w:t>
      </w:r>
    </w:p>
    <w:p>
      <w:pPr>
        <w:spacing w:after="0" w:line="1" w:lineRule="exact"/>
        <w:rPr>
          <w:rFonts w:ascii="Arial" w:cs="Arial" w:eastAsia="Arial" w:hAnsi="Arial"/>
          <w:sz w:val="14"/>
          <w:szCs w:val="14"/>
          <w:color w:val="auto"/>
        </w:rPr>
      </w:pPr>
    </w:p>
    <w:p>
      <w:pPr>
        <w:ind w:left="480" w:right="380" w:hanging="472"/>
        <w:spacing w:after="0" w:line="271" w:lineRule="auto"/>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Dr. Yamada became a member of our board of directors in June 2019. As of December 31, 2020, Dr. Yamada held stock options to purchase 109,707 shares of our common stock.</w:t>
      </w:r>
    </w:p>
    <w:p>
      <w:pPr>
        <w:ind w:left="480" w:right="380" w:hanging="472"/>
        <w:spacing w:after="0" w:line="271" w:lineRule="auto"/>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Mr. Edelman became a member of our board of directors in May 2020. As of December 31, 2020, Mr. Edelman held stock options to purchase 27,742 shares of our common stock.</w:t>
      </w:r>
    </w:p>
    <w:p>
      <w:pPr>
        <w:ind w:left="480" w:right="420" w:hanging="472"/>
        <w:spacing w:after="0" w:line="271" w:lineRule="auto"/>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Mr. Fluke became a member of our board of directors in December 2014. As of December 31, 2020, Mr. Fluke held stock options to purchase 56,745 shares of our common stock.</w:t>
      </w:r>
    </w:p>
    <w:p>
      <w:pPr>
        <w:ind w:left="480" w:right="260" w:hanging="472"/>
        <w:spacing w:after="0" w:line="271" w:lineRule="auto"/>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Mr. Johnson became a member of our board of directors in August 2020. As of December 31, 2020, Mr. Johnson held stock options to purchase 27,742 shares of our common stock.</w:t>
      </w:r>
    </w:p>
    <w:p>
      <w:pPr>
        <w:ind w:left="480" w:right="260" w:hanging="472"/>
        <w:spacing w:after="0" w:line="271" w:lineRule="auto"/>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Dr. Harding resigned from our board of directors in August 2020. As of December 31, 2020, Dr. Harding held stock options to purchase 25,220 shares of our common stock.</w:t>
      </w:r>
    </w:p>
    <w:p>
      <w:pPr>
        <w:ind w:left="480" w:right="240" w:hanging="472"/>
        <w:spacing w:after="0" w:line="291" w:lineRule="auto"/>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Ms. Romano was appointed to our board of directors in December 2020. As of December 31, 2020, Ms. Romano held stock options to purchase 27,742 shares of our common stock.</w:t>
      </w:r>
    </w:p>
    <w:p>
      <w:pPr>
        <w:spacing w:after="0" w:line="140" w:lineRule="exact"/>
        <w:rPr>
          <w:sz w:val="20"/>
          <w:szCs w:val="20"/>
          <w:color w:val="auto"/>
        </w:rPr>
      </w:pPr>
    </w:p>
    <w:p>
      <w:pPr>
        <w:ind w:right="80" w:firstLine="576"/>
        <w:spacing w:after="0" w:line="214" w:lineRule="exact"/>
        <w:rPr>
          <w:sz w:val="20"/>
          <w:szCs w:val="20"/>
          <w:color w:val="auto"/>
        </w:rPr>
      </w:pPr>
      <w:r>
        <w:rPr>
          <w:rFonts w:ascii="Arial" w:cs="Arial" w:eastAsia="Arial" w:hAnsi="Arial"/>
          <w:sz w:val="18"/>
          <w:szCs w:val="18"/>
          <w:color w:val="auto"/>
        </w:rPr>
        <w:t>In 2020, our compensation committee retained Radford, a third-party compensation consultant, to provide our board of directors and its compensation committee with an analysis of publicly available market data and assistance in determining compensation to be provided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relating to our initial public offering. Based on the discussions with and assistance from Radford, in September 2020 our board of directors adopted, and our stockholders approved, an Outside Director Compensation Policy providing for certain compensation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September 17, 2020.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77" w:lineRule="exact"/>
        <w:rPr>
          <w:sz w:val="20"/>
          <w:szCs w:val="20"/>
          <w:color w:val="auto"/>
        </w:rPr>
      </w:pPr>
    </w:p>
    <w:p>
      <w:pPr>
        <w:ind w:right="380" w:firstLine="576"/>
        <w:spacing w:after="0" w:line="235" w:lineRule="exact"/>
        <w:rPr>
          <w:sz w:val="20"/>
          <w:szCs w:val="20"/>
          <w:color w:val="auto"/>
        </w:rPr>
      </w:pPr>
      <w:r>
        <w:rPr>
          <w:rFonts w:ascii="Arial" w:cs="Arial" w:eastAsia="Arial" w:hAnsi="Arial"/>
          <w:sz w:val="18"/>
          <w:szCs w:val="18"/>
          <w:color w:val="auto"/>
        </w:rPr>
        <w:t>The Outside Director Compensation Policy provides for the following cash compensation program for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starting on September 17, 2020:</w:t>
      </w:r>
    </w:p>
    <w:p>
      <w:pPr>
        <w:spacing w:after="0" w:line="44" w:lineRule="exact"/>
        <w:rPr>
          <w:sz w:val="20"/>
          <w:szCs w:val="20"/>
          <w:color w:val="auto"/>
        </w:rPr>
      </w:pPr>
    </w:p>
    <w:p>
      <w:pPr>
        <w:ind w:left="1300" w:hanging="442"/>
        <w:spacing w:after="0" w:line="208" w:lineRule="exact"/>
        <w:tabs>
          <w:tab w:leader="none" w:pos="1300" w:val="left"/>
        </w:tabs>
        <w:numPr>
          <w:ilvl w:val="0"/>
          <w:numId w:val="97"/>
        </w:numPr>
        <w:rPr>
          <w:rFonts w:ascii="Times New Roman" w:cs="Times New Roman" w:eastAsia="Times New Roman" w:hAnsi="Times New Roman"/>
          <w:sz w:val="18"/>
          <w:szCs w:val="18"/>
          <w:color w:val="auto"/>
        </w:rPr>
      </w:pPr>
      <w:r>
        <w:rPr>
          <w:rFonts w:ascii="Arial" w:cs="Arial" w:eastAsia="Arial" w:hAnsi="Arial"/>
          <w:sz w:val="18"/>
          <w:szCs w:val="18"/>
          <w:color w:val="auto"/>
        </w:rPr>
        <w:t>$35,000 per year for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40"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7"/>
        </w:numPr>
        <w:rPr>
          <w:rFonts w:ascii="Times New Roman" w:cs="Times New Roman" w:eastAsia="Times New Roman" w:hAnsi="Times New Roman"/>
          <w:sz w:val="18"/>
          <w:szCs w:val="18"/>
          <w:color w:val="auto"/>
        </w:rPr>
      </w:pPr>
      <w:r>
        <w:rPr>
          <w:rFonts w:ascii="Arial" w:cs="Arial" w:eastAsia="Arial" w:hAnsi="Arial"/>
          <w:sz w:val="18"/>
          <w:szCs w:val="18"/>
          <w:color w:val="auto"/>
        </w:rPr>
        <w:t>$30,000 per year for service as chair of the board of directors;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7"/>
        </w:numPr>
        <w:rPr>
          <w:rFonts w:ascii="Times New Roman" w:cs="Times New Roman" w:eastAsia="Times New Roman" w:hAnsi="Times New Roman"/>
          <w:sz w:val="18"/>
          <w:szCs w:val="18"/>
          <w:color w:val="auto"/>
        </w:rPr>
      </w:pPr>
      <w:r>
        <w:rPr>
          <w:rFonts w:ascii="Arial" w:cs="Arial" w:eastAsia="Arial" w:hAnsi="Arial"/>
          <w:sz w:val="18"/>
          <w:szCs w:val="18"/>
          <w:color w:val="auto"/>
        </w:rPr>
        <w:t>$15,000 per year for service as chair of the audit committee;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9" w:name="page160"/>
    <w:bookmarkEnd w:id="159"/>
    <w:p>
      <w:pPr>
        <w:ind w:left="1300" w:hanging="442"/>
        <w:spacing w:after="0"/>
        <w:tabs>
          <w:tab w:leader="none" w:pos="130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18"/>
          <w:szCs w:val="18"/>
          <w:color w:val="auto"/>
        </w:rPr>
        <w:t>$7,500 per year for service as a member of the audit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18"/>
          <w:szCs w:val="18"/>
          <w:color w:val="auto"/>
        </w:rPr>
        <w:t>$10,000 per year for service as chair of the compensation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18"/>
          <w:szCs w:val="18"/>
          <w:color w:val="auto"/>
        </w:rPr>
        <w:t>$5,000 per year for service as a member of the compensation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18"/>
          <w:szCs w:val="18"/>
          <w:color w:val="auto"/>
        </w:rPr>
        <w:t>$8,000 per year for service as chair of the nominating and corporate governance committee;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18"/>
          <w:szCs w:val="18"/>
          <w:color w:val="auto"/>
        </w:rPr>
        <w:t>$4,000 per year for service as a member of the nominating and corporate governance committee.</w:t>
      </w:r>
    </w:p>
    <w:p>
      <w:pPr>
        <w:spacing w:after="0" w:line="200" w:lineRule="exact"/>
        <w:rPr>
          <w:sz w:val="20"/>
          <w:szCs w:val="20"/>
          <w:color w:val="auto"/>
        </w:rPr>
      </w:pPr>
    </w:p>
    <w:p>
      <w:pPr>
        <w:ind w:right="280" w:firstLine="576"/>
        <w:spacing w:after="0" w:line="215" w:lineRule="exact"/>
        <w:rPr>
          <w:sz w:val="20"/>
          <w:szCs w:val="20"/>
          <w:color w:val="auto"/>
        </w:rPr>
      </w:pPr>
      <w:r>
        <w:rPr>
          <w:rFonts w:ascii="Arial" w:cs="Arial" w:eastAsia="Arial" w:hAnsi="Arial"/>
          <w:sz w:val="18"/>
          <w:szCs w:val="18"/>
          <w:color w:val="auto"/>
        </w:rPr>
        <w:t>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serves as a committee chair receives only the cash retainer fee as the chair of the committee but not the cash retainer fee as a member of that committee. These fees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are paid quarterly in arrears on a prorated basis. Under our Outside Director Compensation Policy, we also reimburse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reasonable travel expenses to attend meetings of our board of directors and its committees. The above-listed fees for service as chair or members of committees are payable in addition to the non-employee director retainer.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0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i w:val="1"/>
          <w:iCs w:val="1"/>
          <w:color w:val="auto"/>
        </w:rPr>
        <w:t>IPO Award</w:t>
      </w:r>
      <w:r>
        <w:rPr>
          <w:rFonts w:ascii="Arial" w:cs="Arial" w:eastAsia="Arial" w:hAnsi="Arial"/>
          <w:sz w:val="18"/>
          <w:szCs w:val="18"/>
          <w:color w:val="auto"/>
        </w:rPr>
        <w:t>. Pursuant to our Outside Director Compensation Policy, each then-serving non-employee director received, on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17, 2020, an award, or the IPO Award, of stock options to purchase 27,742 shares of our common stock. For each non-employee director other than Mr. Johnson, each IPO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the IPO Award’s grant date, on the same day of the month as the grant date, subject to continued services to us through the applicable vesting dates. Mr. Johnson’s IPO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August 26, 2020, the date Mr. Johnson joined our board of directors, on the same day of the month, subject to his continued service to us through the applicable vesting dates.</w:t>
      </w:r>
    </w:p>
    <w:p>
      <w:pPr>
        <w:spacing w:after="0" w:line="154" w:lineRule="exact"/>
        <w:rPr>
          <w:sz w:val="20"/>
          <w:szCs w:val="20"/>
          <w:color w:val="auto"/>
        </w:rPr>
      </w:pPr>
    </w:p>
    <w:p>
      <w:pPr>
        <w:ind w:right="100" w:firstLine="576"/>
        <w:spacing w:after="0" w:line="212" w:lineRule="exact"/>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after</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17, 2020 will receive, on the first trading day on or after the date that the person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an initial award (or, the Initial Award) of stock options to purchase 27,742 shares of our common stock. The Initial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w:t>
      </w:r>
      <w:r>
        <w:rPr>
          <w:rFonts w:ascii="MS PGothic" w:cs="MS PGothic" w:eastAsia="MS PGothic" w:hAnsi="MS PGothic"/>
          <w:sz w:val="18"/>
          <w:szCs w:val="18"/>
          <w:color w:val="auto"/>
        </w:rPr>
        <w:t>‑</w:t>
      </w:r>
      <w:r>
        <w:rPr>
          <w:rFonts w:ascii="Arial" w:cs="Arial" w:eastAsia="Arial" w:hAnsi="Arial"/>
          <w:sz w:val="18"/>
          <w:szCs w:val="18"/>
          <w:color w:val="auto"/>
        </w:rPr>
        <w:t>employee director due to termination of employment will not entitle the person to an Initial Award.</w:t>
      </w:r>
    </w:p>
    <w:p>
      <w:pPr>
        <w:spacing w:after="0" w:line="154" w:lineRule="exact"/>
        <w:rPr>
          <w:sz w:val="20"/>
          <w:szCs w:val="20"/>
          <w:color w:val="auto"/>
        </w:rPr>
      </w:pPr>
    </w:p>
    <w:p>
      <w:pPr>
        <w:ind w:right="20" w:firstLine="576"/>
        <w:spacing w:after="0" w:line="214" w:lineRule="exact"/>
        <w:rPr>
          <w:sz w:val="20"/>
          <w:szCs w:val="20"/>
          <w:color w:val="auto"/>
        </w:rPr>
      </w:pPr>
      <w:r>
        <w:rPr>
          <w:rFonts w:ascii="Arial" w:cs="Arial" w:eastAsia="Arial" w:hAnsi="Arial"/>
          <w:sz w:val="18"/>
          <w:szCs w:val="18"/>
          <w:i w:val="1"/>
          <w:iCs w:val="1"/>
          <w:color w:val="auto"/>
        </w:rPr>
        <w:t>Annual Award</w:t>
      </w:r>
      <w:r>
        <w:rPr>
          <w:rFonts w:ascii="Arial" w:cs="Arial" w:eastAsia="Arial" w:hAnsi="Arial"/>
          <w:sz w:val="18"/>
          <w:szCs w:val="18"/>
          <w:color w:val="auto"/>
        </w:rPr>
        <w:t>.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has completed at least six months of continuous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receives, on the first trading day immediately after the date of each annual meeting of our stockholders that occurs following September 17, 2020, an annual award (or, the Annual Award) of stock options to purchase 13,871 shares of our common stock. Each Annual Award vests on the earlier of the one-year anniversary of the grant date, or the day immediately before the day of the next annual meeting of our stockholders that occurs after the grant date of the Annual Award, subject to continued services to us through the applicable vesting date.</w:t>
      </w:r>
    </w:p>
    <w:p>
      <w:pPr>
        <w:spacing w:after="0" w:line="153" w:lineRule="exact"/>
        <w:rPr>
          <w:sz w:val="20"/>
          <w:szCs w:val="20"/>
          <w:color w:val="auto"/>
        </w:rPr>
      </w:pPr>
    </w:p>
    <w:p>
      <w:pPr>
        <w:ind w:right="100" w:firstLine="576"/>
        <w:spacing w:after="0" w:line="229" w:lineRule="exact"/>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outstanding equity awards covering shares of our common stock will accelerate vesting in full, provided that he or she remains a non</w:t>
      </w:r>
      <w:r>
        <w:rPr>
          <w:rFonts w:ascii="MS PGothic" w:cs="MS PGothic" w:eastAsia="MS PGothic" w:hAnsi="MS PGothic"/>
          <w:sz w:val="18"/>
          <w:szCs w:val="18"/>
          <w:color w:val="auto"/>
        </w:rPr>
        <w:t>‑</w:t>
      </w:r>
      <w:r>
        <w:rPr>
          <w:rFonts w:ascii="Arial" w:cs="Arial" w:eastAsia="Arial" w:hAnsi="Arial"/>
          <w:sz w:val="18"/>
          <w:szCs w:val="18"/>
          <w:color w:val="auto"/>
        </w:rPr>
        <w:t>employee director through the date of our change in control.</w:t>
      </w:r>
    </w:p>
    <w:p>
      <w:pPr>
        <w:spacing w:after="0" w:line="162" w:lineRule="exact"/>
        <w:rPr>
          <w:sz w:val="20"/>
          <w:szCs w:val="20"/>
          <w:color w:val="auto"/>
        </w:rPr>
      </w:pPr>
    </w:p>
    <w:p>
      <w:pPr>
        <w:jc w:val="both"/>
        <w:ind w:right="180" w:firstLine="576"/>
        <w:spacing w:after="0" w:line="248"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IPO Award, Initial Award and Annual Award will be granted under our 2020 Equity Incentive Plan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plan, as 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0" w:name="page161"/>
    <w:bookmarkEnd w:id="160"/>
    <w:p>
      <w:pPr>
        <w:ind w:left="580"/>
        <w:spacing w:after="0" w:line="207" w:lineRule="exact"/>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provides that in any fiscal year,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may be paid cash compensation and granted equity awards with an aggregate value of no more than $500,000 (with the value of equity</w:t>
      </w:r>
    </w:p>
    <w:p>
      <w:pPr>
        <w:spacing w:after="0" w:line="234" w:lineRule="auto"/>
        <w:rPr>
          <w:sz w:val="20"/>
          <w:szCs w:val="20"/>
          <w:color w:val="auto"/>
        </w:rPr>
      </w:pPr>
      <w:r>
        <w:rPr>
          <w:rFonts w:ascii="Arial" w:cs="Arial" w:eastAsia="Arial" w:hAnsi="Arial"/>
          <w:sz w:val="18"/>
          <w:szCs w:val="18"/>
          <w:color w:val="auto"/>
        </w:rPr>
        <w:t>awards based on their grant date fair value determined in accordance with U.S. Generally Accepted Accounting Principles for purposes of</w:t>
      </w:r>
    </w:p>
    <w:p>
      <w:pPr>
        <w:spacing w:after="0" w:line="203" w:lineRule="exact"/>
        <w:rPr>
          <w:sz w:val="20"/>
          <w:szCs w:val="20"/>
          <w:color w:val="auto"/>
        </w:rPr>
      </w:pPr>
      <w:r>
        <w:rPr>
          <w:rFonts w:ascii="Arial" w:cs="Arial" w:eastAsia="Arial" w:hAnsi="Arial"/>
          <w:sz w:val="18"/>
          <w:szCs w:val="18"/>
          <w:color w:val="auto"/>
        </w:rPr>
        <w:t>this limit), with such limit increased to $750,000 for the fiscal year of his or her initial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 Equity awards</w:t>
      </w:r>
    </w:p>
    <w:p>
      <w:pPr>
        <w:spacing w:after="0" w:line="203" w:lineRule="exact"/>
        <w:rPr>
          <w:sz w:val="20"/>
          <w:szCs w:val="20"/>
          <w:color w:val="auto"/>
        </w:rPr>
      </w:pPr>
      <w:r>
        <w:rPr>
          <w:rFonts w:ascii="Arial" w:cs="Arial" w:eastAsia="Arial" w:hAnsi="Arial"/>
          <w:sz w:val="18"/>
          <w:szCs w:val="18"/>
          <w:color w:val="auto"/>
        </w:rPr>
        <w:t>granted or other compensation provided to a non</w:t>
      </w:r>
      <w:r>
        <w:rPr>
          <w:rFonts w:ascii="MS PGothic" w:cs="MS PGothic" w:eastAsia="MS PGothic" w:hAnsi="MS PGothic"/>
          <w:sz w:val="18"/>
          <w:szCs w:val="18"/>
          <w:color w:val="auto"/>
        </w:rPr>
        <w:t>‑</w:t>
      </w:r>
      <w:r>
        <w:rPr>
          <w:rFonts w:ascii="Arial" w:cs="Arial" w:eastAsia="Arial" w:hAnsi="Arial"/>
          <w:sz w:val="18"/>
          <w:szCs w:val="18"/>
          <w:color w:val="auto"/>
        </w:rPr>
        <w:t>employee director while he or she was an employee or consultant (other than a</w:t>
      </w:r>
    </w:p>
    <w:p>
      <w:pPr>
        <w:spacing w:after="0" w:line="203"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employee director), or granted or provided prior to the effective date of the registration statement relating to our initial public offering, do</w:t>
      </w:r>
    </w:p>
    <w:p>
      <w:pPr>
        <w:spacing w:after="0"/>
        <w:rPr>
          <w:sz w:val="20"/>
          <w:szCs w:val="20"/>
          <w:color w:val="auto"/>
        </w:rPr>
      </w:pPr>
      <w:r>
        <w:rPr>
          <w:rFonts w:ascii="Arial" w:cs="Arial" w:eastAsia="Arial" w:hAnsi="Arial"/>
          <w:sz w:val="18"/>
          <w:szCs w:val="18"/>
          <w:color w:val="auto"/>
        </w:rPr>
        <w:t>not count toward this annual limit.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6"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 section of our website.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6" w:lineRule="exact"/>
        <w:rPr>
          <w:sz w:val="20"/>
          <w:szCs w:val="20"/>
          <w:color w:val="auto"/>
        </w:rPr>
      </w:pPr>
    </w:p>
    <w:p>
      <w:pPr>
        <w:ind w:right="160" w:firstLine="576"/>
        <w:spacing w:after="0" w:line="245" w:lineRule="auto"/>
        <w:rPr>
          <w:sz w:val="20"/>
          <w:szCs w:val="20"/>
          <w:color w:val="auto"/>
        </w:rPr>
      </w:pPr>
      <w:r>
        <w:rPr>
          <w:rFonts w:ascii="Arial" w:cs="Arial" w:eastAsia="Arial" w:hAnsi="Arial"/>
          <w:sz w:val="18"/>
          <w:szCs w:val="18"/>
          <w:color w:val="auto"/>
        </w:rPr>
        <w:t>The members of our compensation committee are Dr. Yamada and Messrs. Edelman and Johnson. None of the members of our compensation committee is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0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certificate of incorporation and bylaws provide for the indemnification of our directors and officers to the fullest extent permitted under the Delaware General Corporation Law. In addition, our certificate of incorporation provides that our directors shall not be personally liable to us or our stockholders for monetary damages for breach of fiduciary duty as a director and that if the Delaware General Corporation Law is amended to authorize corporate action further limiting the personal liability of directors, then the liability of our directors shall be limited to the fullest extent permitted by the Delaware General Corporation Law, as so amended.</w:t>
      </w:r>
    </w:p>
    <w:p>
      <w:pPr>
        <w:spacing w:after="0" w:line="172"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As permitted by the Delaware General Corporation Law, we have entered into separate indemnification agreements with each of our directors and certain of our officers that require us, among other things, to indemnify them against certain liabilities which may arise by reason of their status as directors or officers. We expect to obtain and maintain insurance policies under which our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we would have the power to indemnify such person against such liability under the provisions of the Delaware General Corporation Law.</w:t>
      </w:r>
    </w:p>
    <w:p>
      <w:pPr>
        <w:spacing w:after="0" w:line="179" w:lineRule="exact"/>
        <w:rPr>
          <w:sz w:val="20"/>
          <w:szCs w:val="20"/>
          <w:color w:val="auto"/>
        </w:rPr>
      </w:pPr>
    </w:p>
    <w:p>
      <w:pPr>
        <w:jc w:val="both"/>
        <w:ind w:right="200" w:firstLine="576"/>
        <w:spacing w:after="0" w:line="255" w:lineRule="auto"/>
        <w:rPr>
          <w:sz w:val="20"/>
          <w:szCs w:val="20"/>
          <w:color w:val="auto"/>
        </w:rPr>
      </w:pPr>
      <w:r>
        <w:rPr>
          <w:rFonts w:ascii="Arial" w:cs="Arial" w:eastAsia="Arial" w:hAnsi="Arial"/>
          <w:sz w:val="18"/>
          <w:szCs w:val="18"/>
          <w:color w:val="auto"/>
        </w:rPr>
        <w:t>We believe that these provisions and agreements are necessary to attract and retain qualified persons as our officers and directors. At present, there is no pending litigation or proceeding involving our directors or officers for whom indemnification is required or permitted, and we are not aware of any threatened litigation or proceeding that may result in a claim for indemnification.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1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subsection titled “— 2019 – 2020 Summary Compensation Table” below. For 2020, our “named executive officers” and their positions were as follows:</w:t>
      </w:r>
    </w:p>
    <w:p>
      <w:pPr>
        <w:spacing w:after="0" w:line="56" w:lineRule="exact"/>
        <w:rPr>
          <w:sz w:val="20"/>
          <w:szCs w:val="20"/>
          <w:color w:val="auto"/>
        </w:rPr>
      </w:pPr>
    </w:p>
    <w:p>
      <w:pPr>
        <w:ind w:left="1300" w:hanging="442"/>
        <w:spacing w:after="0"/>
        <w:tabs>
          <w:tab w:leader="none" w:pos="1300" w:val="left"/>
        </w:tabs>
        <w:numPr>
          <w:ilvl w:val="0"/>
          <w:numId w:val="99"/>
        </w:numPr>
        <w:rPr>
          <w:rFonts w:ascii="Times New Roman" w:cs="Times New Roman" w:eastAsia="Times New Roman" w:hAnsi="Times New Roman"/>
          <w:sz w:val="18"/>
          <w:szCs w:val="18"/>
          <w:color w:val="auto"/>
        </w:rPr>
      </w:pPr>
      <w:r>
        <w:rPr>
          <w:rFonts w:ascii="Arial" w:cs="Arial" w:eastAsia="Arial" w:hAnsi="Arial"/>
          <w:sz w:val="18"/>
          <w:szCs w:val="18"/>
          <w:color w:val="auto"/>
        </w:rPr>
        <w:t>Leen Kawas, Ph.D., our president and chief executive officer;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9"/>
        </w:numPr>
        <w:rPr>
          <w:rFonts w:ascii="Times New Roman" w:cs="Times New Roman" w:eastAsia="Times New Roman" w:hAnsi="Times New Roman"/>
          <w:sz w:val="18"/>
          <w:szCs w:val="18"/>
          <w:color w:val="auto"/>
        </w:rPr>
      </w:pPr>
      <w:r>
        <w:rPr>
          <w:rFonts w:ascii="Arial" w:cs="Arial" w:eastAsia="Arial" w:hAnsi="Arial"/>
          <w:sz w:val="18"/>
          <w:szCs w:val="18"/>
          <w:color w:val="auto"/>
        </w:rPr>
        <w:t>Hans Moebius, M.D., Ph.D., our chief medical officer;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9"/>
        </w:numPr>
        <w:rPr>
          <w:rFonts w:ascii="Times New Roman" w:cs="Times New Roman" w:eastAsia="Times New Roman" w:hAnsi="Times New Roman"/>
          <w:sz w:val="18"/>
          <w:szCs w:val="18"/>
          <w:color w:val="auto"/>
        </w:rPr>
      </w:pPr>
      <w:r>
        <w:rPr>
          <w:rFonts w:ascii="Arial" w:cs="Arial" w:eastAsia="Arial" w:hAnsi="Arial"/>
          <w:sz w:val="18"/>
          <w:szCs w:val="18"/>
          <w:color w:val="auto"/>
        </w:rPr>
        <w:t>Glenna Mileson, our chief financial officer.</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 2020 Summary Compensation Table</w:t>
      </w:r>
    </w:p>
    <w:p>
      <w:pPr>
        <w:spacing w:after="0" w:line="106" w:lineRule="exact"/>
        <w:rPr>
          <w:sz w:val="20"/>
          <w:szCs w:val="20"/>
          <w:color w:val="auto"/>
        </w:rPr>
      </w:pPr>
    </w:p>
    <w:p>
      <w:pPr>
        <w:ind w:right="280" w:firstLine="576"/>
        <w:spacing w:after="0" w:line="276" w:lineRule="auto"/>
        <w:rPr>
          <w:sz w:val="20"/>
          <w:szCs w:val="20"/>
          <w:color w:val="auto"/>
        </w:rPr>
      </w:pPr>
      <w:r>
        <w:rPr>
          <w:rFonts w:ascii="Arial" w:cs="Arial" w:eastAsia="Arial" w:hAnsi="Arial"/>
          <w:sz w:val="18"/>
          <w:szCs w:val="18"/>
          <w:color w:val="auto"/>
        </w:rPr>
        <w:t>The following table represents information regarding the total compensation awarded to, earned by or paid to our named executive officers for the years ended December 31, 2020 and December 31, 2019:</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All Other</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Salary</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Awards</w:t>
            </w:r>
          </w:p>
        </w:tc>
        <w:tc>
          <w:tcPr>
            <w:tcW w:w="1300" w:type="dxa"/>
            <w:vAlign w:val="bottom"/>
            <w:gridSpan w:val="2"/>
          </w:tcPr>
          <w:p>
            <w:pPr>
              <w:ind w:left="420"/>
              <w:spacing w:after="0"/>
              <w:rPr>
                <w:sz w:val="20"/>
                <w:szCs w:val="20"/>
                <w:color w:val="auto"/>
              </w:rPr>
            </w:pPr>
            <w:r>
              <w:rPr>
                <w:rFonts w:ascii="Arial" w:cs="Arial" w:eastAsia="Arial" w:hAnsi="Arial"/>
                <w:sz w:val="14"/>
                <w:szCs w:val="14"/>
                <w:b w:val="1"/>
                <w:bCs w:val="1"/>
                <w:color w:val="auto"/>
              </w:rPr>
              <w:t>Bonus</w:t>
            </w: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Compensation</w:t>
            </w:r>
          </w:p>
        </w:tc>
        <w:tc>
          <w:tcPr>
            <w:tcW w:w="1300" w:type="dxa"/>
            <w:vAlign w:val="bottom"/>
            <w:gridSpan w:val="2"/>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10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Leen Kawas, Ph.D., President</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2020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349,372</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642,570</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357,100</w:t>
            </w:r>
            <w:r>
              <w:rPr>
                <w:rFonts w:ascii="Arial" w:cs="Arial" w:eastAsia="Arial" w:hAnsi="Arial"/>
                <w:sz w:val="15"/>
                <w:szCs w:val="15"/>
                <w:color w:val="auto"/>
              </w:rPr>
              <w:t>(3)</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1,349,042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160"/>
              <w:spacing w:after="0"/>
              <w:rPr>
                <w:sz w:val="20"/>
                <w:szCs w:val="20"/>
                <w:color w:val="auto"/>
              </w:rPr>
            </w:pPr>
            <w:r>
              <w:rPr>
                <w:rFonts w:ascii="Arial" w:cs="Arial" w:eastAsia="Arial" w:hAnsi="Arial"/>
                <w:sz w:val="18"/>
                <w:szCs w:val="18"/>
                <w:color w:val="auto"/>
              </w:rPr>
              <w:t>and Chief Executive Officer</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284,999</w:t>
            </w:r>
          </w:p>
        </w:tc>
        <w:tc>
          <w:tcPr>
            <w:tcW w:w="22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2,016</w:t>
            </w:r>
            <w:r>
              <w:rPr>
                <w:rFonts w:ascii="Arial" w:cs="Arial" w:eastAsia="Arial" w:hAnsi="Arial"/>
                <w:sz w:val="15"/>
                <w:szCs w:val="15"/>
                <w:color w:val="auto"/>
              </w:rPr>
              <w:t>(6)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580" w:type="dxa"/>
            <w:vAlign w:val="bottom"/>
            <w:gridSpan w:val="2"/>
            <w:shd w:val="clear" w:color="auto" w:fill="CFF0FC"/>
          </w:tcPr>
          <w:p>
            <w:pPr>
              <w:spacing w:after="0" w:line="193" w:lineRule="exact"/>
              <w:rPr>
                <w:sz w:val="20"/>
                <w:szCs w:val="20"/>
                <w:color w:val="auto"/>
              </w:rPr>
            </w:pPr>
            <w:r>
              <w:rPr>
                <w:rFonts w:ascii="Arial" w:cs="Arial" w:eastAsia="Arial" w:hAnsi="Arial"/>
                <w:sz w:val="18"/>
                <w:szCs w:val="18"/>
                <w:color w:val="auto"/>
              </w:rPr>
              <w:t>Hans Moebius, M.D., Ph.D.,</w:t>
            </w: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218,859</w:t>
            </w:r>
            <w:r>
              <w:rPr>
                <w:rFonts w:ascii="Arial" w:cs="Arial" w:eastAsia="Arial" w:hAnsi="Arial"/>
                <w:sz w:val="15"/>
                <w:szCs w:val="15"/>
                <w:color w:val="auto"/>
              </w:rPr>
              <w:t>(1)</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190,220</w:t>
            </w:r>
            <w:r>
              <w:rPr>
                <w:rFonts w:ascii="Arial" w:cs="Arial" w:eastAsia="Arial" w:hAnsi="Arial"/>
                <w:sz w:val="15"/>
                <w:szCs w:val="15"/>
                <w:color w:val="auto"/>
              </w:rPr>
              <w:t>(4)</w:t>
            </w:r>
          </w:p>
        </w:tc>
        <w:tc>
          <w:tcPr>
            <w:tcW w:w="12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15,979</w:t>
            </w:r>
            <w:r>
              <w:rPr>
                <w:rFonts w:ascii="Arial" w:cs="Arial" w:eastAsia="Arial" w:hAnsi="Arial"/>
                <w:sz w:val="15"/>
                <w:szCs w:val="15"/>
                <w:color w:val="auto"/>
              </w:rPr>
              <w:t>(7)</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Chief Medical Officer</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2020</w:t>
            </w:r>
          </w:p>
        </w:tc>
        <w:tc>
          <w:tcPr>
            <w:tcW w:w="12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593,430</w:t>
            </w:r>
          </w:p>
        </w:tc>
        <w:tc>
          <w:tcPr>
            <w:tcW w:w="10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spacing w:after="0" w:line="193" w:lineRule="exact"/>
              <w:rPr>
                <w:sz w:val="20"/>
                <w:szCs w:val="20"/>
                <w:color w:val="auto"/>
              </w:rPr>
            </w:pPr>
            <w:r>
              <w:rPr>
                <w:rFonts w:ascii="Arial" w:cs="Arial" w:eastAsia="Arial" w:hAnsi="Arial"/>
                <w:sz w:val="18"/>
                <w:szCs w:val="18"/>
                <w:color w:val="auto"/>
              </w:rPr>
              <w:t>Glenna Mileson,</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218,200</w:t>
            </w:r>
            <w:r>
              <w:rPr>
                <w:rFonts w:ascii="Arial" w:cs="Arial" w:eastAsia="Arial" w:hAnsi="Arial"/>
                <w:sz w:val="15"/>
                <w:szCs w:val="15"/>
                <w:color w:val="auto"/>
              </w:rPr>
              <w:t>(5)</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199,445</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291,375</w:t>
            </w:r>
          </w:p>
        </w:tc>
        <w:tc>
          <w:tcPr>
            <w:tcW w:w="1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709,020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3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38" w:lineRule="exact"/>
        <w:rPr>
          <w:sz w:val="20"/>
          <w:szCs w:val="20"/>
          <w:color w:val="auto"/>
        </w:rPr>
      </w:pPr>
    </w:p>
    <w:p>
      <w:pPr>
        <w:ind w:left="480" w:right="260" w:hanging="472"/>
        <w:spacing w:after="0" w:line="271" w:lineRule="auto"/>
        <w:tabs>
          <w:tab w:leader="none" w:pos="4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$121,724 of consulting fees earned and paid prior to Dr. Moebius joining us as chief medical officer in September 2020 and salary of $97,135 earned and paid following his hiring.</w:t>
      </w:r>
    </w:p>
    <w:p>
      <w:pPr>
        <w:ind w:left="480" w:right="40" w:hanging="472"/>
        <w:spacing w:after="0" w:line="256" w:lineRule="auto"/>
        <w:tabs>
          <w:tab w:leader="none" w:pos="4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 accordance with SEC rules, amounts in this column reflect the aggregate grant date fair value of stock options granted during 2019 and 2020 computed in accordance with Accounting Standards Codification (ASC) Topic 718, rather than the amounts paid or realized by the named executive officer. We provide information regarding the assumptions used to calculate the value of all stock options made to our named executive officers in Note 12 to our audited financial statements included elsewhere in this prospectus.</w:t>
      </w:r>
    </w:p>
    <w:p>
      <w:pPr>
        <w:spacing w:after="0" w:line="1" w:lineRule="exact"/>
        <w:rPr>
          <w:rFonts w:ascii="Arial" w:cs="Arial" w:eastAsia="Arial" w:hAnsi="Arial"/>
          <w:sz w:val="14"/>
          <w:szCs w:val="14"/>
          <w:color w:val="auto"/>
        </w:rPr>
      </w:pPr>
    </w:p>
    <w:p>
      <w:pPr>
        <w:ind w:left="480" w:right="240" w:hanging="472"/>
        <w:spacing w:after="0" w:line="261" w:lineRule="auto"/>
        <w:tabs>
          <w:tab w:leader="none" w:pos="4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(i) a discretionary bonus payment of $357,000 in recognition of Company and individual performance in the year ended December 31, 2020, including the advancement of our product candidates, completion of certain financings and other corporate achievements, and (ii) a $100 payment made in consideration of Dr. Kawas’s entry into a non-disclosure and confidentiality agreement with us in 2020.</w:t>
      </w:r>
    </w:p>
    <w:p>
      <w:pPr>
        <w:spacing w:after="0" w:line="1" w:lineRule="exact"/>
        <w:rPr>
          <w:rFonts w:ascii="Arial" w:cs="Arial" w:eastAsia="Arial" w:hAnsi="Arial"/>
          <w:sz w:val="14"/>
          <w:szCs w:val="14"/>
          <w:color w:val="auto"/>
        </w:rPr>
      </w:pPr>
    </w:p>
    <w:p>
      <w:pPr>
        <w:ind w:left="480" w:right="240" w:hanging="472"/>
        <w:spacing w:after="0" w:line="261" w:lineRule="auto"/>
        <w:tabs>
          <w:tab w:leader="none" w:pos="4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(i) a discretionary bonus payment of $190,120 in recognition of Company and individual performance in the year ended December 31, 2020, including the advancement of our product candidates, completion of certain financings and other corporate achievements, and (ii) a $100 payment made in consideration of Dr. Moebius’s entry into a non-disclosure and confidentiality agreement with us in 2020.</w:t>
      </w:r>
    </w:p>
    <w:p>
      <w:pPr>
        <w:spacing w:after="0" w:line="1" w:lineRule="exact"/>
        <w:rPr>
          <w:rFonts w:ascii="Arial" w:cs="Arial" w:eastAsia="Arial" w:hAnsi="Arial"/>
          <w:sz w:val="14"/>
          <w:szCs w:val="14"/>
          <w:color w:val="auto"/>
        </w:rPr>
      </w:pPr>
    </w:p>
    <w:p>
      <w:pPr>
        <w:ind w:left="480" w:right="160" w:hanging="472"/>
        <w:spacing w:after="0" w:line="256" w:lineRule="auto"/>
        <w:tabs>
          <w:tab w:leader="none" w:pos="4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(i) a discretionary bonus payment of $215,600 in recognition of Company and individual performance in the year ended December 31, 2020, including the advancement of our product candidates, completion of certain financings and other corporate achievements, (ii) a bonus payment of $2,500 paid in connection with the closing of our Series B financing in the second quarter of 2020, and (iii) a $100 payment made in consideration of Ms. Mileson’s entry into a non-disclosure and confidentiality agreement with us in 2020.</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reimbursements paid to Dr. Kawas to cover parking fees.</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monthly stipends paid to Dr. Moebius to defray the costs associated with mandatory and elective benefits contributions in Switzerland, where he is located.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grants of stock options to each of our named executive officers outstanding at December 31, 2020.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Vesting</w:t>
            </w:r>
          </w:p>
        </w:tc>
        <w:tc>
          <w:tcPr>
            <w:tcW w:w="146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Number of Securities Underlying Unexercised Options</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3"/>
          </w:tcPr>
          <w:p>
            <w:pPr>
              <w:jc w:val="center"/>
              <w:ind w:right="440"/>
              <w:spacing w:after="0" w:line="154" w:lineRule="exact"/>
              <w:rPr>
                <w:sz w:val="20"/>
                <w:szCs w:val="20"/>
                <w:color w:val="auto"/>
              </w:rPr>
            </w:pPr>
            <w:r>
              <w:rPr>
                <w:rFonts w:ascii="Arial" w:cs="Arial" w:eastAsia="Arial" w:hAnsi="Arial"/>
                <w:sz w:val="14"/>
                <w:szCs w:val="14"/>
                <w:b w:val="1"/>
                <w:bCs w:val="1"/>
                <w:color w:val="auto"/>
              </w:rPr>
              <w:t>Option Exercise</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Commencement</w:t>
            </w:r>
          </w:p>
        </w:tc>
        <w:tc>
          <w:tcPr>
            <w:tcW w:w="1460" w:type="dxa"/>
            <w:vAlign w:val="bottom"/>
          </w:tcPr>
          <w:p>
            <w:pPr>
              <w:jc w:val="right"/>
              <w:ind w:right="253"/>
              <w:spacing w:after="0"/>
              <w:rPr>
                <w:sz w:val="20"/>
                <w:szCs w:val="20"/>
                <w:color w:val="auto"/>
              </w:rPr>
            </w:pPr>
            <w:r>
              <w:rPr>
                <w:rFonts w:ascii="Arial" w:cs="Arial" w:eastAsia="Arial" w:hAnsi="Arial"/>
                <w:sz w:val="14"/>
                <w:szCs w:val="14"/>
                <w:b w:val="1"/>
                <w:bCs w:val="1"/>
                <w:color w:val="auto"/>
              </w:rPr>
              <w:t>Exercisable</w:t>
            </w:r>
          </w:p>
        </w:tc>
        <w:tc>
          <w:tcPr>
            <w:tcW w:w="280" w:type="dxa"/>
            <w:vAlign w:val="bottom"/>
          </w:tcPr>
          <w:p>
            <w:pPr>
              <w:spacing w:after="0"/>
              <w:rPr>
                <w:sz w:val="14"/>
                <w:szCs w:val="14"/>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Unexercisable</w:t>
            </w: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Prices</w:t>
            </w:r>
          </w:p>
        </w:tc>
        <w:tc>
          <w:tcPr>
            <w:tcW w:w="1460" w:type="dxa"/>
            <w:vAlign w:val="bottom"/>
          </w:tcPr>
          <w:p>
            <w:pPr>
              <w:jc w:val="right"/>
              <w:ind w:right="493"/>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77"/>
        </w:trPr>
        <w:tc>
          <w:tcPr>
            <w:tcW w:w="2660" w:type="dxa"/>
            <w:vAlign w:val="bottom"/>
            <w:gridSpan w:val="2"/>
          </w:tcPr>
          <w:p>
            <w:pPr>
              <w:ind w:left="1040"/>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Date</w:t>
            </w:r>
          </w:p>
        </w:tc>
        <w:tc>
          <w:tcPr>
            <w:tcW w:w="1460" w:type="dxa"/>
            <w:vAlign w:val="bottom"/>
          </w:tcPr>
          <w:p>
            <w:pPr>
              <w:jc w:val="right"/>
              <w:ind w:right="553"/>
              <w:spacing w:after="0"/>
              <w:rPr>
                <w:sz w:val="20"/>
                <w:szCs w:val="20"/>
                <w:color w:val="auto"/>
              </w:rPr>
            </w:pPr>
            <w:r>
              <w:rPr>
                <w:rFonts w:ascii="Arial" w:cs="Arial" w:eastAsia="Arial" w:hAnsi="Arial"/>
                <w:sz w:val="14"/>
                <w:szCs w:val="14"/>
                <w:b w:val="1"/>
                <w:bCs w:val="1"/>
                <w:color w:val="auto"/>
              </w:rPr>
              <w:t>(#)</w:t>
            </w:r>
          </w:p>
        </w:tc>
        <w:tc>
          <w:tcPr>
            <w:tcW w:w="1740" w:type="dxa"/>
            <w:vAlign w:val="bottom"/>
            <w:gridSpan w:val="2"/>
          </w:tcPr>
          <w:p>
            <w:pPr>
              <w:jc w:val="right"/>
              <w:ind w:right="55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193"/>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Leen Kawas, Ph.D.</w:t>
            </w:r>
          </w:p>
        </w:tc>
        <w:tc>
          <w:tcPr>
            <w:tcW w:w="16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1/20/2014</w:t>
            </w:r>
          </w:p>
        </w:tc>
        <w:tc>
          <w:tcPr>
            <w:tcW w:w="16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25,220</w:t>
            </w:r>
          </w:p>
        </w:tc>
        <w:tc>
          <w:tcPr>
            <w:tcW w:w="28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08/28/2024</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08/29/2014</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50,440</w:t>
            </w:r>
          </w:p>
        </w:tc>
        <w:tc>
          <w:tcPr>
            <w:tcW w:w="28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08/28/2024</w:t>
            </w: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10/24/2015</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151,320</w:t>
            </w:r>
          </w:p>
        </w:tc>
        <w:tc>
          <w:tcPr>
            <w:tcW w:w="2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10/23/2025</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12/01/2017</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63,050</w:t>
            </w:r>
          </w:p>
        </w:tc>
        <w:tc>
          <w:tcPr>
            <w:tcW w:w="28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01/21/2023</w:t>
            </w:r>
          </w:p>
        </w:tc>
        <w:tc>
          <w:tcPr>
            <w:tcW w:w="0" w:type="dxa"/>
            <w:vAlign w:val="bottom"/>
          </w:tcPr>
          <w:p>
            <w:pPr>
              <w:spacing w:after="0"/>
              <w:rPr>
                <w:sz w:val="1"/>
                <w:szCs w:val="1"/>
                <w:color w:val="auto"/>
              </w:rPr>
            </w:pPr>
          </w:p>
        </w:tc>
      </w:tr>
      <w:tr>
        <w:trPr>
          <w:trHeight w:val="243"/>
        </w:trPr>
        <w:tc>
          <w:tcPr>
            <w:tcW w:w="2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01/01/2019</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10,508</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27,017</w:t>
            </w:r>
            <w:r>
              <w:rPr>
                <w:rFonts w:ascii="Arial" w:cs="Arial" w:eastAsia="Arial" w:hAnsi="Arial"/>
                <w:sz w:val="15"/>
                <w:szCs w:val="15"/>
                <w:color w:val="auto"/>
              </w:rPr>
              <w:t>(3)</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12/17/2023</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08/26/2020</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209,956</w:t>
            </w:r>
            <w:r>
              <w:rPr>
                <w:rFonts w:ascii="Arial" w:cs="Arial" w:eastAsia="Arial" w:hAnsi="Arial"/>
                <w:sz w:val="15"/>
                <w:szCs w:val="15"/>
                <w:color w:val="auto"/>
              </w:rPr>
              <w:t>(1)</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17.00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09/16/2030</w:t>
            </w:r>
          </w:p>
        </w:tc>
        <w:tc>
          <w:tcPr>
            <w:tcW w:w="0" w:type="dxa"/>
            <w:vAlign w:val="bottom"/>
          </w:tcPr>
          <w:p>
            <w:pPr>
              <w:spacing w:after="0"/>
              <w:rPr>
                <w:sz w:val="1"/>
                <w:szCs w:val="1"/>
                <w:color w:val="auto"/>
              </w:rPr>
            </w:pPr>
          </w:p>
        </w:tc>
      </w:tr>
      <w:tr>
        <w:trPr>
          <w:trHeight w:val="193"/>
        </w:trPr>
        <w:tc>
          <w:tcPr>
            <w:tcW w:w="2660" w:type="dxa"/>
            <w:vAlign w:val="bottom"/>
            <w:gridSpan w:val="2"/>
            <w:shd w:val="clear" w:color="auto" w:fill="CFF0FC"/>
          </w:tcPr>
          <w:p>
            <w:pPr>
              <w:spacing w:after="0" w:line="193" w:lineRule="exact"/>
              <w:rPr>
                <w:sz w:val="20"/>
                <w:szCs w:val="20"/>
                <w:color w:val="auto"/>
              </w:rPr>
            </w:pPr>
            <w:r>
              <w:rPr>
                <w:rFonts w:ascii="Arial" w:cs="Arial" w:eastAsia="Arial" w:hAnsi="Arial"/>
                <w:sz w:val="18"/>
                <w:szCs w:val="18"/>
                <w:color w:val="auto"/>
              </w:rPr>
              <w:t>Hans Moebius, M.D.,</w:t>
            </w:r>
          </w:p>
        </w:tc>
        <w:tc>
          <w:tcPr>
            <w:tcW w:w="1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7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6,305</w:t>
            </w:r>
            <w:r>
              <w:rPr>
                <w:rFonts w:ascii="Arial" w:cs="Arial" w:eastAsia="Arial" w:hAnsi="Arial"/>
                <w:sz w:val="15"/>
                <w:szCs w:val="15"/>
                <w:color w:val="auto"/>
              </w:rPr>
              <w:t>(2)</w:t>
            </w:r>
          </w:p>
        </w:tc>
        <w:tc>
          <w:tcPr>
            <w:tcW w:w="2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Ph.D.</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04/01/2019</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6,305</w:t>
            </w:r>
          </w:p>
        </w:tc>
        <w:tc>
          <w:tcPr>
            <w:tcW w:w="174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06/25/2029</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06/01/2019</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7,881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23,644</w:t>
            </w:r>
            <w:r>
              <w:rPr>
                <w:rFonts w:ascii="Arial" w:cs="Arial" w:eastAsia="Arial" w:hAnsi="Arial"/>
                <w:sz w:val="15"/>
                <w:szCs w:val="15"/>
                <w:color w:val="auto"/>
              </w:rPr>
              <w:t>(1)</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08/14/2029</w:t>
            </w:r>
          </w:p>
        </w:tc>
        <w:tc>
          <w:tcPr>
            <w:tcW w:w="0" w:type="dxa"/>
            <w:vAlign w:val="bottom"/>
          </w:tcPr>
          <w:p>
            <w:pPr>
              <w:spacing w:after="0"/>
              <w:rPr>
                <w:sz w:val="1"/>
                <w:szCs w:val="1"/>
                <w:color w:val="auto"/>
              </w:rPr>
            </w:pPr>
          </w:p>
        </w:tc>
      </w:tr>
      <w:tr>
        <w:trPr>
          <w:trHeight w:val="243"/>
        </w:trPr>
        <w:tc>
          <w:tcPr>
            <w:tcW w:w="2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08/26/2020</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145,015</w:t>
            </w:r>
            <w:r>
              <w:rPr>
                <w:rFonts w:ascii="Arial" w:cs="Arial" w:eastAsia="Arial" w:hAnsi="Arial"/>
                <w:sz w:val="15"/>
                <w:szCs w:val="15"/>
                <w:color w:val="auto"/>
              </w:rPr>
              <w:t>(1)</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09/16/2030</w:t>
            </w:r>
          </w:p>
        </w:tc>
        <w:tc>
          <w:tcPr>
            <w:tcW w:w="0" w:type="dxa"/>
            <w:vAlign w:val="bottom"/>
          </w:tcPr>
          <w:p>
            <w:pPr>
              <w:spacing w:after="0"/>
              <w:rPr>
                <w:sz w:val="1"/>
                <w:szCs w:val="1"/>
                <w:color w:val="auto"/>
              </w:rPr>
            </w:pPr>
          </w:p>
        </w:tc>
      </w:tr>
      <w:tr>
        <w:trPr>
          <w:trHeight w:val="243"/>
        </w:trPr>
        <w:tc>
          <w:tcPr>
            <w:tcW w:w="2660" w:type="dxa"/>
            <w:vAlign w:val="bottom"/>
            <w:gridSpan w:val="2"/>
          </w:tcPr>
          <w:p>
            <w:pPr>
              <w:spacing w:after="0"/>
              <w:rPr>
                <w:sz w:val="20"/>
                <w:szCs w:val="20"/>
                <w:color w:val="auto"/>
              </w:rPr>
            </w:pPr>
            <w:r>
              <w:rPr>
                <w:rFonts w:ascii="Arial" w:cs="Arial" w:eastAsia="Arial" w:hAnsi="Arial"/>
                <w:sz w:val="18"/>
                <w:szCs w:val="18"/>
                <w:color w:val="auto"/>
              </w:rPr>
              <w:t>Glenna Mileson</w:t>
            </w:r>
          </w:p>
        </w:tc>
        <w:tc>
          <w:tcPr>
            <w:tcW w:w="1580" w:type="dxa"/>
            <w:vAlign w:val="bottom"/>
          </w:tcPr>
          <w:p>
            <w:pPr>
              <w:jc w:val="right"/>
              <w:spacing w:after="0"/>
              <w:rPr>
                <w:sz w:val="20"/>
                <w:szCs w:val="20"/>
                <w:color w:val="auto"/>
              </w:rPr>
            </w:pPr>
            <w:r>
              <w:rPr>
                <w:rFonts w:ascii="Arial" w:cs="Arial" w:eastAsia="Arial" w:hAnsi="Arial"/>
                <w:sz w:val="18"/>
                <w:szCs w:val="18"/>
                <w:color w:val="auto"/>
              </w:rPr>
              <w:t>01/01/2019</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12,610</w:t>
            </w:r>
            <w:r>
              <w:rPr>
                <w:rFonts w:ascii="Arial" w:cs="Arial" w:eastAsia="Arial" w:hAnsi="Arial"/>
                <w:sz w:val="15"/>
                <w:szCs w:val="15"/>
                <w:color w:val="auto"/>
              </w:rPr>
              <w:t>(3)</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12/17/2028</w:t>
            </w:r>
          </w:p>
        </w:tc>
        <w:tc>
          <w:tcPr>
            <w:tcW w:w="0" w:type="dxa"/>
            <w:vAlign w:val="bottom"/>
          </w:tcPr>
          <w:p>
            <w:pPr>
              <w:spacing w:after="0"/>
              <w:rPr>
                <w:sz w:val="1"/>
                <w:szCs w:val="1"/>
                <w:color w:val="auto"/>
              </w:rPr>
            </w:pPr>
          </w:p>
        </w:tc>
      </w:tr>
      <w:tr>
        <w:trPr>
          <w:trHeight w:val="243"/>
        </w:trPr>
        <w:tc>
          <w:tcPr>
            <w:tcW w:w="2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08/26/2020</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95,205</w:t>
            </w:r>
            <w:r>
              <w:rPr>
                <w:rFonts w:ascii="Arial" w:cs="Arial" w:eastAsia="Arial" w:hAnsi="Arial"/>
                <w:sz w:val="15"/>
                <w:szCs w:val="15"/>
                <w:color w:val="auto"/>
              </w:rPr>
              <w:t>(1)</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09/16/2030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6" w:lineRule="exact"/>
        <w:rPr>
          <w:sz w:val="20"/>
          <w:szCs w:val="20"/>
          <w:color w:val="auto"/>
        </w:rPr>
      </w:pPr>
    </w:p>
    <w:p>
      <w:pPr>
        <w:ind w:left="480" w:right="100" w:hanging="472"/>
        <w:spacing w:after="0" w:line="271" w:lineRule="auto"/>
        <w:tabs>
          <w:tab w:leader="none" w:pos="4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Stock option vests over four years, with 1/4 vesting on each anniversary of the vesting commencement date, subject to continued service with us through the applicable vesting date.</w:t>
      </w:r>
    </w:p>
    <w:p>
      <w:pPr>
        <w:ind w:left="480" w:right="140" w:hanging="472"/>
        <w:spacing w:after="0" w:line="271" w:lineRule="auto"/>
        <w:tabs>
          <w:tab w:leader="none" w:pos="4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Stock option vests over two years, with 1/2 vesting on each anniversary of the vesting commencement date, subject to continued service with us through the applicable vesting date.</w:t>
      </w:r>
    </w:p>
    <w:p>
      <w:pPr>
        <w:ind w:left="480" w:right="20" w:hanging="472"/>
        <w:spacing w:after="0" w:line="266" w:lineRule="auto"/>
        <w:tabs>
          <w:tab w:leader="none" w:pos="4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Stock option vests over three years, with 1/3 vesting on each anniversary of the vesting commencement date, subject to continued service with us through the applicable vesting date. The stock option will accelerate vesting as to 100% of the unvested shares subject thereto upon the earlier of a change in control or a termination without “cause” and other than due to death or “disability” (as such terms are defined in our 2014 Equity Incentive Plan).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06"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Each of our named executive officers has executed our standard form of confidential information, invention assignment and arbitration agreement.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Leen Kawas</w:t>
      </w:r>
    </w:p>
    <w:p>
      <w:pPr>
        <w:spacing w:after="0" w:line="104" w:lineRule="exact"/>
        <w:rPr>
          <w:sz w:val="20"/>
          <w:szCs w:val="20"/>
          <w:color w:val="auto"/>
        </w:rPr>
      </w:pPr>
    </w:p>
    <w:p>
      <w:pPr>
        <w:ind w:right="40" w:firstLine="576"/>
        <w:spacing w:after="0" w:line="268" w:lineRule="auto"/>
        <w:rPr>
          <w:sz w:val="20"/>
          <w:szCs w:val="20"/>
          <w:color w:val="auto"/>
        </w:rPr>
      </w:pPr>
      <w:r>
        <w:rPr>
          <w:rFonts w:ascii="Arial" w:cs="Arial" w:eastAsia="Arial" w:hAnsi="Arial"/>
          <w:sz w:val="17"/>
          <w:szCs w:val="17"/>
          <w:color w:val="auto"/>
        </w:rPr>
        <w:t>In September 2020, we entered into a confirmatory employment letter with Dr. Kawas, our president and chief executive officer. The confirmatory employment letter has no specific term and provides that Dr. Kawas is an at-will employee and supersedes all prior employment agreements between Dr. Kawas and us. The confirmatory employment letter provides for an annual base salary of $510,000 effective upon our initial public offering and, for the 2020 fiscal year, an annual target cash incentive payment equal to 50% of her annual base salary.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Hans Moebius</w:t>
      </w:r>
    </w:p>
    <w:p>
      <w:pPr>
        <w:spacing w:after="0" w:line="10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In September 2020, we entered into an employment letter agreement with Dr. Moebius, our chief medical officer. The employment agreement has no specific term and provides that Dr. Moebius is an at-will employee, as defined under applicable law, and supersedes any prior employment or other service agreements between Dr. Moebius and us. Dr. Moebius’ employment letter agreement provides for an annual base salary of $339,500 effective upon our initial public offering and, for the 2020 fiscal year, an annual target cash incentive payment equal to 40% of his annual base salary. In addition, Dr. Moebius will receive a monthly stipend of $4,625 to defray the costs associated with mandatory and elective benefits contributions in Switzerland, where he is located.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i w:val="1"/>
          <w:iCs w:val="1"/>
          <w:color w:val="auto"/>
        </w:rPr>
        <w:t>Glenna Mileson</w:t>
      </w:r>
    </w:p>
    <w:p>
      <w:pPr>
        <w:spacing w:after="0" w:line="104" w:lineRule="exact"/>
        <w:rPr>
          <w:sz w:val="20"/>
          <w:szCs w:val="20"/>
          <w:color w:val="auto"/>
        </w:rPr>
      </w:pPr>
    </w:p>
    <w:p>
      <w:pPr>
        <w:ind w:right="200" w:firstLine="569"/>
        <w:spacing w:after="0" w:line="248" w:lineRule="auto"/>
        <w:rPr>
          <w:sz w:val="20"/>
          <w:szCs w:val="20"/>
          <w:color w:val="auto"/>
        </w:rPr>
      </w:pPr>
      <w:r>
        <w:rPr>
          <w:rFonts w:ascii="Arial" w:cs="Arial" w:eastAsia="Arial" w:hAnsi="Arial"/>
          <w:sz w:val="18"/>
          <w:szCs w:val="18"/>
          <w:color w:val="auto"/>
        </w:rPr>
        <w:t>In September 2020, we entered into a confirmatory employment letter with Ms. Mileson, our chief financial officer. The confirmatory employment letter has no specific term and provides that Ms. Mileson is an at-will employee and supersedes all prior employment agreements between Ms. Mileson and us. The confirmatory offer letter provides for an annual base salary of $ 385,000 effective upon our initial public offering and, for the 2020 fiscal year, an annual target cash incentive payment equal to 40% of her annual base salary.</w:t>
      </w:r>
    </w:p>
    <w:p>
      <w:pPr>
        <w:spacing w:after="0" w:line="62" w:lineRule="exact"/>
        <w:rPr>
          <w:sz w:val="20"/>
          <w:szCs w:val="20"/>
          <w:color w:val="auto"/>
        </w:rPr>
      </w:pPr>
    </w:p>
    <w:p>
      <w:pPr>
        <w:ind w:right="220" w:firstLine="569"/>
        <w:spacing w:after="0" w:line="248" w:lineRule="auto"/>
        <w:rPr>
          <w:sz w:val="20"/>
          <w:szCs w:val="20"/>
          <w:color w:val="auto"/>
        </w:rPr>
      </w:pPr>
      <w:r>
        <w:rPr>
          <w:rFonts w:ascii="Arial" w:cs="Arial" w:eastAsia="Arial" w:hAnsi="Arial"/>
          <w:sz w:val="18"/>
          <w:szCs w:val="18"/>
          <w:color w:val="auto"/>
        </w:rPr>
        <w:t>The option agreement governing the terms of Ms. Mileson’s option award granted on December 18, 2018, under our 2014 Equity Incentive Plan, with a vesting commencement date of January 1, 2019, provides for 100% vesting of unvested shares subject to the option upon the earlier of a change in control or a termination of Ms. Mileson’s employment without “cause” and other than due to her death or “disability” (as such terms are defined in our 2014 Equity Incentive Plan).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and Severance Agreements</w:t>
      </w:r>
    </w:p>
    <w:p>
      <w:pPr>
        <w:spacing w:after="0" w:line="106" w:lineRule="exact"/>
        <w:rPr>
          <w:sz w:val="20"/>
          <w:szCs w:val="20"/>
          <w:color w:val="auto"/>
        </w:rPr>
      </w:pPr>
    </w:p>
    <w:p>
      <w:pPr>
        <w:ind w:right="360" w:firstLine="576"/>
        <w:spacing w:after="0" w:line="276" w:lineRule="auto"/>
        <w:rPr>
          <w:sz w:val="20"/>
          <w:szCs w:val="20"/>
          <w:color w:val="auto"/>
        </w:rPr>
      </w:pPr>
      <w:r>
        <w:rPr>
          <w:rFonts w:ascii="Arial" w:cs="Arial" w:eastAsia="Arial" w:hAnsi="Arial"/>
          <w:sz w:val="18"/>
          <w:szCs w:val="18"/>
          <w:color w:val="auto"/>
        </w:rPr>
        <w:t>In September 2020, we entered into change in control and severance agreements with Dr. Kawas, Dr. Moebius, and Ms. Mileson, which agreements provide for certain severance and change in control benefits as described below.</w:t>
      </w:r>
    </w:p>
    <w:p>
      <w:pPr>
        <w:spacing w:after="0" w:line="145"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w:t>
      </w:r>
    </w:p>
    <w:p>
      <w:pPr>
        <w:spacing w:after="0" w:line="66" w:lineRule="exact"/>
        <w:rPr>
          <w:sz w:val="20"/>
          <w:szCs w:val="20"/>
          <w:color w:val="auto"/>
        </w:rPr>
      </w:pPr>
    </w:p>
    <w:p>
      <w:pPr>
        <w:ind w:left="1300" w:right="200" w:hanging="442"/>
        <w:spacing w:after="0" w:line="255" w:lineRule="auto"/>
        <w:tabs>
          <w:tab w:leader="none" w:pos="1300" w:val="left"/>
        </w:tabs>
        <w:numPr>
          <w:ilvl w:val="0"/>
          <w:numId w:val="102"/>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9 months (or 12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 and</w:t>
      </w:r>
    </w:p>
    <w:p>
      <w:pPr>
        <w:spacing w:after="0" w:line="54" w:lineRule="exact"/>
        <w:rPr>
          <w:rFonts w:ascii="Times New Roman" w:cs="Times New Roman" w:eastAsia="Times New Roman" w:hAnsi="Times New Roman"/>
          <w:sz w:val="18"/>
          <w:szCs w:val="18"/>
          <w:color w:val="auto"/>
        </w:rPr>
      </w:pPr>
    </w:p>
    <w:p>
      <w:pPr>
        <w:ind w:left="1300" w:right="260" w:hanging="442"/>
        <w:spacing w:after="0" w:line="255" w:lineRule="auto"/>
        <w:tabs>
          <w:tab w:leader="none" w:pos="1300" w:val="left"/>
        </w:tabs>
        <w:numPr>
          <w:ilvl w:val="0"/>
          <w:numId w:val="102"/>
        </w:numPr>
        <w:rPr>
          <w:rFonts w:ascii="Times New Roman" w:cs="Times New Roman" w:eastAsia="Times New Roman" w:hAnsi="Times New Roman"/>
          <w:sz w:val="18"/>
          <w:szCs w:val="18"/>
          <w:color w:val="auto"/>
        </w:rPr>
      </w:pPr>
      <w:r>
        <w:rPr>
          <w:rFonts w:ascii="Arial" w:cs="Arial" w:eastAsia="Arial" w:hAnsi="Arial"/>
          <w:sz w:val="18"/>
          <w:szCs w:val="18"/>
          <w:color w:val="auto"/>
        </w:rPr>
        <w:t>for named executive officers other than Dr. Moebius, payment of premiums for coverage under the Consolidated Omnibus Budget Reconciliation Act of 1985, as amended (COBRA), for the named executive officer and his or her eligible dependents, if any, for up to 9 months for Ms. Mileson or up to 12 months for Dr. Kawas.</w:t>
      </w:r>
    </w:p>
    <w:p>
      <w:pPr>
        <w:spacing w:after="0" w:line="163"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separation agreement and release of claims in our favor:</w:t>
      </w:r>
    </w:p>
    <w:p>
      <w:pPr>
        <w:spacing w:after="0" w:line="62" w:lineRule="exact"/>
        <w:rPr>
          <w:sz w:val="20"/>
          <w:szCs w:val="20"/>
          <w:color w:val="auto"/>
        </w:rPr>
      </w:pPr>
    </w:p>
    <w:p>
      <w:pPr>
        <w:ind w:left="1300" w:right="160" w:hanging="442"/>
        <w:spacing w:after="0" w:line="248" w:lineRule="auto"/>
        <w:tabs>
          <w:tab w:leader="none" w:pos="1300" w:val="left"/>
        </w:tabs>
        <w:numPr>
          <w:ilvl w:val="0"/>
          <w:numId w:val="103"/>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12 months (or 18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61"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103"/>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100% (or 150% in the case of Dr. Kawas) of the named executive officer’s target annual bonus as in effect for the fiscal year in which such termination occurs or if greater, at the level in effect, immediately prior to the change in control;</w:t>
      </w:r>
    </w:p>
    <w:p>
      <w:pPr>
        <w:spacing w:after="0" w:line="54" w:lineRule="exact"/>
        <w:rPr>
          <w:rFonts w:ascii="Times New Roman" w:cs="Times New Roman" w:eastAsia="Times New Roman" w:hAnsi="Times New Roman"/>
          <w:sz w:val="18"/>
          <w:szCs w:val="18"/>
          <w:color w:val="auto"/>
        </w:rPr>
      </w:pPr>
    </w:p>
    <w:p>
      <w:pPr>
        <w:ind w:left="1300" w:right="580" w:hanging="442"/>
        <w:spacing w:after="0" w:line="275" w:lineRule="auto"/>
        <w:tabs>
          <w:tab w:leader="none" w:pos="1300" w:val="left"/>
        </w:tabs>
        <w:numPr>
          <w:ilvl w:val="0"/>
          <w:numId w:val="103"/>
        </w:numPr>
        <w:rPr>
          <w:rFonts w:ascii="Times New Roman" w:cs="Times New Roman" w:eastAsia="Times New Roman" w:hAnsi="Times New Roman"/>
          <w:sz w:val="18"/>
          <w:szCs w:val="18"/>
          <w:color w:val="auto"/>
        </w:rPr>
      </w:pPr>
      <w:r>
        <w:rPr>
          <w:rFonts w:ascii="Arial" w:cs="Arial" w:eastAsia="Arial" w:hAnsi="Arial"/>
          <w:sz w:val="18"/>
          <w:szCs w:val="18"/>
          <w:color w:val="auto"/>
        </w:rPr>
        <w:t>for named executive officers other than Dr. Moebius, payment of premiums for coverage under COBRA for the named executive officer and the named executive officer’s eligible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64" w:name="page165"/>
    <w:bookmarkEnd w:id="164"/>
    <w:p>
      <w:pPr>
        <w:ind w:left="1300"/>
        <w:spacing w:after="0"/>
        <w:rPr>
          <w:sz w:val="20"/>
          <w:szCs w:val="20"/>
          <w:color w:val="auto"/>
        </w:rPr>
      </w:pPr>
      <w:r>
        <w:rPr>
          <w:rFonts w:ascii="Arial" w:cs="Arial" w:eastAsia="Arial" w:hAnsi="Arial"/>
          <w:sz w:val="18"/>
          <w:szCs w:val="18"/>
          <w:color w:val="auto"/>
        </w:rPr>
        <w:t>dependents, if any, for up to 12 months for Ms. Mileson or up to 18 months for Dr. Kawas; and</w:t>
      </w:r>
    </w:p>
    <w:p>
      <w:pPr>
        <w:spacing w:after="0" w:line="117" w:lineRule="exact"/>
        <w:rPr>
          <w:sz w:val="20"/>
          <w:szCs w:val="20"/>
          <w:color w:val="auto"/>
        </w:rPr>
      </w:pPr>
    </w:p>
    <w:p>
      <w:pPr>
        <w:ind w:left="1300" w:right="560" w:hanging="442"/>
        <w:spacing w:after="0" w:line="305" w:lineRule="auto"/>
        <w:tabs>
          <w:tab w:leader="none" w:pos="1300" w:val="left"/>
        </w:tabs>
        <w:numPr>
          <w:ilvl w:val="0"/>
          <w:numId w:val="104"/>
        </w:numPr>
        <w:rPr>
          <w:rFonts w:ascii="Times New Roman" w:cs="Times New Roman" w:eastAsia="Times New Roman" w:hAnsi="Times New Roman"/>
          <w:sz w:val="17"/>
          <w:szCs w:val="17"/>
          <w:color w:val="auto"/>
        </w:rPr>
      </w:pPr>
      <w:r>
        <w:rPr>
          <w:rFonts w:ascii="Arial" w:cs="Arial" w:eastAsia="Arial" w:hAnsi="Arial"/>
          <w:sz w:val="17"/>
          <w:szCs w:val="17"/>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123" w:lineRule="exact"/>
        <w:rPr>
          <w:sz w:val="20"/>
          <w:szCs w:val="20"/>
          <w:color w:val="auto"/>
        </w:rPr>
      </w:pPr>
    </w:p>
    <w:p>
      <w:pPr>
        <w:jc w:val="both"/>
        <w:ind w:right="360" w:firstLine="576"/>
        <w:spacing w:after="0" w:line="255" w:lineRule="auto"/>
        <w:rPr>
          <w:sz w:val="20"/>
          <w:szCs w:val="20"/>
          <w:color w:val="auto"/>
        </w:rPr>
      </w:pPr>
      <w:r>
        <w:rPr>
          <w:rFonts w:ascii="Arial" w:cs="Arial" w:eastAsia="Arial" w:hAnsi="Arial"/>
          <w:sz w:val="18"/>
          <w:szCs w:val="18"/>
          <w:color w:val="auto"/>
        </w:rPr>
        <w:t>In addition, the change in control and severance agreement provides for 100% accelerated vesting and exercisability of Company equity awards granted under our 2014 Equity Incentive Plan and held by such named executive officer to the extent such awards are not assumed or substituted for by the successor corporation in a change in control.</w:t>
      </w:r>
    </w:p>
    <w:p>
      <w:pPr>
        <w:spacing w:after="0" w:line="164"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If any of the amounts provided for under these change in control and severance agreements or otherwise payable to Dr. Kawas, Dr. Moebius or Ms. Mileson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tax benefits to the named executive officer. The change in control and severance agreements do not require us to provide any tax gross-up payments.</w:t>
      </w:r>
    </w:p>
    <w:p>
      <w:pPr>
        <w:spacing w:after="0" w:line="168"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or her obligations to us after there has been delivered to the named executive officer a written demand for performance from the board of directors; continued violation or breach of any material written company policy, agreement with the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179"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or her consent: a material reduction in the named executive officer’s duties or responsibilities that is inconsistent with his or her position, provided that a mere change of title alone will not constitute such a material reduction; the requirement that the named executive officer change his or her principal office to a facility that increases his or her commute by more than 40 miles from his or her commute to the location at which the named executive officer was employed prior to such change; or a material reduction in base salary or, for named executive officers other than Dr. Moebius, a material reduction in his or her employee benefits (other than (1) in connection with a general decrease in salary (or employee benefits, as applicable) of all similarly situated employees, and (2) following our change in control, to the extent necessary to make his or her salary (or employee benefits, as applicable) commensurate with those of our other employees or our successor entity or parent entity who are similarly situated with him or her).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06"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In August 2020, our board of directors adopted our Executive Incentive Compensation Plan. Our Executive Incentive Compensation Plan is administered by our board of directors or a committee appointed by our board of directors. Unless and until our board of directors determines otherwise, our compensation committee will administer our Executive Incentive Compensation Plan. Our Executive Incentive Compensation Plan allows us to grant incentive awards, generally payable in cash, to employees selected by the administrator, including our named executive officers, based upon any performance goals that may be established by the administrator.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65" w:name="page166"/>
    <w:bookmarkEnd w:id="165"/>
    <w:p>
      <w:pPr>
        <w:ind w:firstLine="576"/>
        <w:spacing w:after="0" w:line="237" w:lineRule="auto"/>
        <w:rPr>
          <w:sz w:val="20"/>
          <w:szCs w:val="20"/>
          <w:color w:val="auto"/>
        </w:rPr>
      </w:pPr>
      <w:r>
        <w:rPr>
          <w:rFonts w:ascii="Arial" w:cs="Arial" w:eastAsia="Arial" w:hAnsi="Arial"/>
          <w:sz w:val="18"/>
          <w:szCs w:val="18"/>
          <w:color w:val="auto"/>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86" w:lineRule="exact"/>
        <w:rPr>
          <w:sz w:val="20"/>
          <w:szCs w:val="20"/>
          <w:color w:val="auto"/>
        </w:rPr>
      </w:pPr>
    </w:p>
    <w:p>
      <w:pPr>
        <w:ind w:right="480" w:firstLine="576"/>
        <w:spacing w:after="0" w:line="245"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72"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174" w:lineRule="exact"/>
        <w:rPr>
          <w:sz w:val="20"/>
          <w:szCs w:val="20"/>
          <w:color w:val="auto"/>
        </w:rPr>
      </w:pPr>
    </w:p>
    <w:p>
      <w:pPr>
        <w:ind w:right="260" w:firstLine="576"/>
        <w:spacing w:after="0" w:line="241" w:lineRule="auto"/>
        <w:rPr>
          <w:sz w:val="20"/>
          <w:szCs w:val="20"/>
          <w:color w:val="auto"/>
        </w:rPr>
      </w:pPr>
      <w:r>
        <w:rPr>
          <w:rFonts w:ascii="Arial" w:cs="Arial" w:eastAsia="Arial" w:hAnsi="Arial"/>
          <w:sz w:val="18"/>
          <w:szCs w:val="18"/>
          <w:color w:val="auto"/>
        </w:rPr>
        <w:t>Awards under our Executive Incentive Compensation Plan are subject to any clawback policy of ours, which we may be required to adopt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79"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Employee Benefit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04" w:lineRule="exact"/>
        <w:rPr>
          <w:sz w:val="20"/>
          <w:szCs w:val="20"/>
          <w:color w:val="auto"/>
        </w:rPr>
      </w:pPr>
    </w:p>
    <w:p>
      <w:pPr>
        <w:jc w:val="both"/>
        <w:ind w:right="60" w:firstLine="576"/>
        <w:spacing w:after="0" w:line="248" w:lineRule="auto"/>
        <w:rPr>
          <w:sz w:val="20"/>
          <w:szCs w:val="20"/>
          <w:color w:val="auto"/>
        </w:rPr>
      </w:pPr>
      <w:r>
        <w:rPr>
          <w:rFonts w:ascii="Arial" w:cs="Arial" w:eastAsia="Arial" w:hAnsi="Arial"/>
          <w:sz w:val="18"/>
          <w:szCs w:val="18"/>
          <w:color w:val="auto"/>
        </w:rPr>
        <w:t>Our board of directors adopted our 2014 Equity Incentive Plan, or our 2014 Plan, on August 29, 2014, and our stockholders approved our 2014 Plan on March 3, 2015. Our 2014 Plan was terminated prior to our initial public offering and we will not grant any additional awards under our 2014 Plan. However, our 2014 Plan will continue to govern the terms and conditions of the outstanding awards granted under our 2014 Plan prior to its termination.</w:t>
      </w:r>
    </w:p>
    <w:p>
      <w:pPr>
        <w:spacing w:after="0" w:line="170" w:lineRule="exact"/>
        <w:rPr>
          <w:sz w:val="20"/>
          <w:szCs w:val="20"/>
          <w:color w:val="auto"/>
        </w:rPr>
      </w:pPr>
    </w:p>
    <w:p>
      <w:pPr>
        <w:ind w:right="240" w:firstLine="576"/>
        <w:spacing w:after="0" w:line="255" w:lineRule="auto"/>
        <w:rPr>
          <w:sz w:val="20"/>
          <w:szCs w:val="20"/>
          <w:color w:val="auto"/>
        </w:rPr>
      </w:pPr>
      <w:r>
        <w:rPr>
          <w:rFonts w:ascii="Arial" w:cs="Arial" w:eastAsia="Arial" w:hAnsi="Arial"/>
          <w:sz w:val="18"/>
          <w:szCs w:val="18"/>
          <w:color w:val="auto"/>
        </w:rPr>
        <w:t>Our 2014 Plan allows for the grant of incentive stock options, within the meaning of Section 422 of the Code, nonstatutory stock options, stock appreciation rights, restricted stock awards and restricted stock units (each, an “award”) to eligible employees, directors and consultants.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As of September 30, 2020, no shares of our common stock were reserved for issuance under our 2014 Plan. As of September 30, 2020, there were stock options covering 984,205 shares of our common stock and restricted stock awards covering 12,610 shares of our common stock outstanding under our 2014 Plan, and no stock appreciation rights or restricted stock units outstanding under our 2014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Our board of directors or a committee thereof appointed by our board of directors administers the 2014 Plan. The administrator has authority and discretion to administer our 2014 Plan and to control its operation, including the authority to construe and interpret the terms of our 2014 Plan and the awards granted under it, determine the terms of awards, including the recipients, the number of shares subject to each award and the vesting schedule. The administrator may amend awards to reduce the exercise price of any outstanding options or stock appreciation rights, or provide that outstanding options or stock appreciation rights may be cancelled in exchange for awards of the same type (granted under the 2014 Plan or another equity plan of ours covering the same or different number of shares), restricted stock or restricted stock unit awards and/or cash or other consideration.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Stock options have been granted under our 2014 Plan. The term of an option is stated in the applicable award agreement, but may not exceed 10 years from the grant date. The administrator determines the exercise price of options, which generally may not be less than 100% of the fair market value of our common stock on the grant date, except as provided for in the 2014 Plan. The administrator determines the method of payment of the exercise price as well as the period of time after a participant’s termination of service during which the participant may exercise his or her option, which generally must be at least 30 days (or at least six months in the event of the participant’s termination of service due to death or disability) following such termination of service. Vested options generally terminate immediately if a participant’s continuous service terminates due to “cause” (as defined in the 2014 Plan) unless the participant’s award agreement provides otherwise. In no event will an option remain exercisable beyond its original term. If a participant does not exercise his or her option within the time specified in the award agreement, the option will terminate.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02"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Restricted stock awards have been granted under our 2014 Plan. Restricted stock awards are grants of shares of our common stock subject to transfer restrictions and a risk of forfeiture that lapses in accordance with a vesting schedule determined by the administrator and set forth in the applicable award agreement. Upon termination of the participant’s service, any shares that have not vested may be reacquired by us through a forfeiture condition or repurchase right. During any period of restriction, to the extent provided in an applicable award agreement, a participant holding shares of restricted stock will be entitled to receive all dividends provided that such dividends may be subject to any vesting restrictions applicable to the shares of restricted stock to which they relate.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i w:val="1"/>
          <w:iCs w:val="1"/>
          <w:color w:val="auto"/>
        </w:rPr>
        <w:t>Transferability of Awards</w:t>
      </w:r>
    </w:p>
    <w:p>
      <w:pPr>
        <w:spacing w:after="0" w:line="102" w:lineRule="exact"/>
        <w:rPr>
          <w:sz w:val="20"/>
          <w:szCs w:val="20"/>
          <w:color w:val="auto"/>
        </w:rPr>
      </w:pPr>
    </w:p>
    <w:p>
      <w:pPr>
        <w:ind w:right="160" w:firstLine="576"/>
        <w:spacing w:after="0" w:line="276" w:lineRule="auto"/>
        <w:rPr>
          <w:sz w:val="20"/>
          <w:szCs w:val="20"/>
          <w:color w:val="auto"/>
        </w:rPr>
      </w:pPr>
      <w:r>
        <w:rPr>
          <w:rFonts w:ascii="Arial" w:cs="Arial" w:eastAsia="Arial" w:hAnsi="Arial"/>
          <w:sz w:val="18"/>
          <w:szCs w:val="18"/>
          <w:color w:val="auto"/>
        </w:rPr>
        <w:t>Our 2014 Plan generally does not allow for the transfer of awards except by will or the laws of descent and distribution, and only the recipient of an award may exercise an option or stock appreciation right during his or her lifetime.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In the event of certain changes in our capitalization, in order to prevent diminution or enlargement of the benefits or potential benefits intended to be made available under the 2014 Plan, the administrator will make proportionate adjustments to the number and class of shares that may be delivered under the 2014 Plan, the class and number of shares that may be issued on the exercise of incentive stock options, and the number, class and price of shares covered by each outstanding award. The administrator’s determination regarding such adjustments will be final, binding and conclusive.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or Liquidation</w:t>
      </w:r>
    </w:p>
    <w:p>
      <w:pPr>
        <w:spacing w:after="0" w:line="102" w:lineRule="exact"/>
        <w:rPr>
          <w:sz w:val="20"/>
          <w:szCs w:val="20"/>
          <w:color w:val="auto"/>
        </w:rPr>
      </w:pPr>
    </w:p>
    <w:p>
      <w:pPr>
        <w:ind w:right="920" w:firstLine="576"/>
        <w:spacing w:after="0" w:line="276" w:lineRule="auto"/>
        <w:rPr>
          <w:sz w:val="20"/>
          <w:szCs w:val="20"/>
          <w:color w:val="auto"/>
        </w:rPr>
      </w:pPr>
      <w:r>
        <w:rPr>
          <w:rFonts w:ascii="Arial" w:cs="Arial" w:eastAsia="Arial" w:hAnsi="Arial"/>
          <w:sz w:val="18"/>
          <w:szCs w:val="18"/>
          <w:color w:val="auto"/>
        </w:rPr>
        <w:t>In the event of our dissolution or liquidation, all awards will terminate immediately prior to the completion of such proposed transaction.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w:t>
      </w:r>
    </w:p>
    <w:p>
      <w:pPr>
        <w:spacing w:after="0" w:line="102"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Our 2014 Plan provides that in the event of our merger or other corporate transaction (as defined in our 2014 Plan) and except as otherwise provided in the award agreements, the administrator may provide that outstanding awards may be assumed or continued, substituted with equivalent awards, accelerated as to its vesting to a date prior to the corporate transaction and terminated if not exercised (if applicable), cancelled without consideration to the extent not vested or exercised, or cancelled in exchange for a payment equal to the value of property the participant would have received upon exercise of the award less the exercise price payable in connection with such exercise. The administrator need not take the same action with respect to all awards or with respect to all participants.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02"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Our board of directors has the authority to amend, suspend or terminate our 2014 Plan at any time. No amendment, suspension or termination of our 2014 Plan will impair the rights of a participant, unless mutually agreed otherwise between the participant and the administrator in writing. As noted above, our 2014 Plan was terminated in connection with our initial public offering, and we will not grant any additional awards under our 2014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04" w:lineRule="exact"/>
        <w:rPr>
          <w:sz w:val="20"/>
          <w:szCs w:val="20"/>
          <w:color w:val="auto"/>
        </w:rPr>
      </w:pPr>
    </w:p>
    <w:p>
      <w:pPr>
        <w:jc w:val="both"/>
        <w:ind w:right="80" w:firstLine="576"/>
        <w:spacing w:after="0" w:line="243" w:lineRule="auto"/>
        <w:rPr>
          <w:sz w:val="20"/>
          <w:szCs w:val="20"/>
          <w:color w:val="auto"/>
        </w:rPr>
      </w:pPr>
      <w:r>
        <w:rPr>
          <w:rFonts w:ascii="Arial" w:cs="Arial" w:eastAsia="Arial" w:hAnsi="Arial"/>
          <w:sz w:val="18"/>
          <w:szCs w:val="18"/>
          <w:color w:val="auto"/>
        </w:rPr>
        <w:t>In August 2020, our board of directors adopted, and in September 2020 our stockholders approved, our 2020 Equity Incentive Plan, or, the 2020 Plan. The 2020 Plan became effective on the business day immediately prior to the effective date of our registration statement related to our initial public offering. Our 2020 Plan provides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right="80" w:firstLine="576"/>
        <w:spacing w:after="0" w:line="277" w:lineRule="auto"/>
        <w:rPr>
          <w:sz w:val="20"/>
          <w:szCs w:val="20"/>
          <w:color w:val="auto"/>
        </w:rPr>
      </w:pPr>
      <w:r>
        <w:rPr>
          <w:rFonts w:ascii="Arial" w:cs="Arial" w:eastAsia="Arial" w:hAnsi="Arial"/>
          <w:sz w:val="17"/>
          <w:szCs w:val="17"/>
          <w:color w:val="auto"/>
        </w:rPr>
        <w:t>The number of shares of our common stock reserved for issuance pursuant to our 2020 Plan equals 6,357,759 shares of common stock (which includes 1,624,259 shares of common stock which were automatically added to the number of shares reserved for issuance on January 1, 2021 pursuant to the terms of the 2020 Plan). In addition, the shares reserved for issuance under our 2020 Plan include shares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6" w:right="379" w:bottom="1440" w:gutter="0" w:footer="0" w:header="0"/>
        </w:sectPr>
      </w:pPr>
    </w:p>
    <w:bookmarkStart w:id="168" w:name="page169"/>
    <w:bookmarkEnd w:id="168"/>
    <w:p>
      <w:pPr>
        <w:ind w:right="180"/>
        <w:spacing w:after="0" w:line="245" w:lineRule="auto"/>
        <w:rPr>
          <w:sz w:val="20"/>
          <w:szCs w:val="20"/>
          <w:color w:val="auto"/>
        </w:rPr>
      </w:pPr>
      <w:r>
        <w:rPr>
          <w:rFonts w:ascii="Arial" w:cs="Arial" w:eastAsia="Arial" w:hAnsi="Arial"/>
          <w:sz w:val="18"/>
          <w:szCs w:val="18"/>
          <w:color w:val="auto"/>
        </w:rPr>
        <w:t>of our common stock subject to awards granted under our 2014 Plan that, after the date the 2014 Plan is terminated, are terminated, cancelled, expire, or otherwise terminate without having been exercised in full or are forfeited to or repurchased by us, provided that the maximum number of shares that may be added to the 2020 Plan pursuant to this sentence is 1,950,834 shares. The number of shares available for issuance under our 2020 Plan includes an annual increase on the first day of each of our fiscal years for a period of ten years, beginning with our fiscal year 2021, equal to the least of:</w:t>
      </w:r>
    </w:p>
    <w:p>
      <w:pPr>
        <w:spacing w:after="0" w:line="64" w:lineRule="exact"/>
        <w:rPr>
          <w:sz w:val="20"/>
          <w:szCs w:val="20"/>
          <w:color w:val="auto"/>
        </w:rPr>
      </w:pPr>
    </w:p>
    <w:p>
      <w:pPr>
        <w:ind w:left="1300" w:hanging="442"/>
        <w:spacing w:after="0"/>
        <w:tabs>
          <w:tab w:leader="none" w:pos="1300" w:val="left"/>
        </w:tabs>
        <w:numPr>
          <w:ilvl w:val="0"/>
          <w:numId w:val="105"/>
        </w:numPr>
        <w:rPr>
          <w:rFonts w:ascii="Times New Roman" w:cs="Times New Roman" w:eastAsia="Times New Roman" w:hAnsi="Times New Roman"/>
          <w:sz w:val="18"/>
          <w:szCs w:val="18"/>
          <w:color w:val="auto"/>
        </w:rPr>
      </w:pPr>
      <w:r>
        <w:rPr>
          <w:rFonts w:ascii="Arial" w:cs="Arial" w:eastAsia="Arial" w:hAnsi="Arial"/>
          <w:sz w:val="18"/>
          <w:szCs w:val="18"/>
          <w:color w:val="auto"/>
        </w:rPr>
        <w:t>3,230,000 shares;</w:t>
      </w:r>
    </w:p>
    <w:p>
      <w:pPr>
        <w:spacing w:after="0" w:line="116" w:lineRule="exact"/>
        <w:rPr>
          <w:rFonts w:ascii="Times New Roman" w:cs="Times New Roman" w:eastAsia="Times New Roman" w:hAnsi="Times New Roman"/>
          <w:sz w:val="18"/>
          <w:szCs w:val="18"/>
          <w:color w:val="auto"/>
        </w:rPr>
      </w:pPr>
    </w:p>
    <w:p>
      <w:pPr>
        <w:ind w:left="1300" w:right="720" w:hanging="442"/>
        <w:spacing w:after="0" w:line="275" w:lineRule="auto"/>
        <w:tabs>
          <w:tab w:leader="none" w:pos="1300" w:val="left"/>
        </w:tabs>
        <w:numPr>
          <w:ilvl w:val="0"/>
          <w:numId w:val="105"/>
        </w:numPr>
        <w:rPr>
          <w:rFonts w:ascii="Times New Roman" w:cs="Times New Roman" w:eastAsia="Times New Roman" w:hAnsi="Times New Roman"/>
          <w:sz w:val="18"/>
          <w:szCs w:val="18"/>
          <w:color w:val="auto"/>
        </w:rPr>
      </w:pPr>
      <w:r>
        <w:rPr>
          <w:rFonts w:ascii="Arial" w:cs="Arial" w:eastAsia="Arial" w:hAnsi="Arial"/>
          <w:sz w:val="18"/>
          <w:szCs w:val="18"/>
          <w:color w:val="auto"/>
        </w:rPr>
        <w:t>Five percent (5%) of the outstanding shares of all classes of our common stock as of the last day of the immediately preceding fiscal year; and</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105"/>
        </w:numPr>
        <w:rPr>
          <w:rFonts w:ascii="Times New Roman" w:cs="Times New Roman" w:eastAsia="Times New Roman" w:hAnsi="Times New Roman"/>
          <w:sz w:val="18"/>
          <w:szCs w:val="18"/>
          <w:color w:val="auto"/>
        </w:rPr>
      </w:pPr>
      <w:r>
        <w:rPr>
          <w:rFonts w:ascii="Arial" w:cs="Arial" w:eastAsia="Arial" w:hAnsi="Arial"/>
          <w:sz w:val="18"/>
          <w:szCs w:val="18"/>
          <w:color w:val="auto"/>
        </w:rPr>
        <w:t>such number of shares as our board of directors may determine no later than the last day of our immediately preceding fiscal year.</w:t>
      </w:r>
    </w:p>
    <w:p>
      <w:pPr>
        <w:spacing w:after="0" w:line="14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Shares issuable under our 2020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have actually been issued under the 2020 Plan 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Our board of directors or one or more committees appointed by our board of directors have authority to administer our 2020 Plan. The compensation committee of our board of directors currently administers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i w:val="1"/>
          <w:iCs w:val="1"/>
          <w:color w:val="auto"/>
        </w:rPr>
        <w:t>Stock Options</w:t>
      </w:r>
    </w:p>
    <w:p>
      <w:pPr>
        <w:spacing w:after="0" w:line="102"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Stock options may be granted under our 2020 Plan. The exercise price of options granted under our 2020 Plan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may grant incentive stock options under the 2020 Plan for a period of ten years from the earlier of the date our board of directors approves the 2020 Plan or the date that our stockholders approve the 2020 Plan. The administrator will determine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terms of options.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0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Stock appreciation rights may be granted under our 2020 Plan. Stock appreciation rights allow the recipient to receive the appreciation in the fair market value of our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common stock, or a combination thereof, except that the per-share exercise price for the shares to be issued pursuant to the exercise of a stock appreciation right will be no less than 100% of the fair market value per share on the date of grant.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02"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Restricted stock may be granted under our 2020 Plan. Restricted stock awards are grants of shares of our common stock that may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02" w:lineRule="exact"/>
        <w:rPr>
          <w:sz w:val="20"/>
          <w:szCs w:val="20"/>
          <w:color w:val="auto"/>
        </w:rPr>
      </w:pPr>
    </w:p>
    <w:p>
      <w:pPr>
        <w:ind w:firstLine="576"/>
        <w:spacing w:after="0" w:line="277" w:lineRule="auto"/>
        <w:rPr>
          <w:sz w:val="20"/>
          <w:szCs w:val="20"/>
          <w:color w:val="auto"/>
        </w:rPr>
      </w:pPr>
      <w:r>
        <w:rPr>
          <w:rFonts w:ascii="Arial" w:cs="Arial" w:eastAsia="Arial" w:hAnsi="Arial"/>
          <w:sz w:val="17"/>
          <w:szCs w:val="17"/>
          <w:color w:val="auto"/>
        </w:rPr>
        <w:t>Restricted stock units may be granted under our 2020 Plan. Restricted stock units are bookkeeping entries representing an amount equal to the fair market value of one share of our common stock. Subject to the provisions of our 2020 Plan, the administrator determines the terms and conditions of restricted stock units, including any vesting criteria and the form and timing of payment. The administrator may set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6" w:right="379" w:bottom="1440" w:gutter="0" w:footer="0" w:header="0"/>
        </w:sectPr>
      </w:pPr>
    </w:p>
    <w:bookmarkStart w:id="170" w:name="page171"/>
    <w:bookmarkEnd w:id="170"/>
    <w:p>
      <w:pPr>
        <w:ind w:right="80"/>
        <w:spacing w:after="0" w:line="245" w:lineRule="auto"/>
        <w:rPr>
          <w:sz w:val="20"/>
          <w:szCs w:val="20"/>
          <w:color w:val="auto"/>
        </w:rPr>
      </w:pPr>
      <w:r>
        <w:rPr>
          <w:rFonts w:ascii="Arial" w:cs="Arial" w:eastAsia="Arial" w:hAnsi="Arial"/>
          <w:sz w:val="18"/>
          <w:szCs w:val="18"/>
          <w:color w:val="auto"/>
        </w:rPr>
        <w:t>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102"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Directors</w:t>
      </w:r>
    </w:p>
    <w:p>
      <w:pPr>
        <w:spacing w:after="0" w:line="102"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All outside (non-employee) directors are eligible to receive all types of awards (except for incentive stock options) under our 2020 Plan. In September 2020, our board of directors adopted and our stockholders approved a formal Outside Director Compensation Policy pursuant to which our outside directors are eligible to receive certain equity awards under our 2020 Plan. Our 2020 Plan provides that in any given fiscal year, no outside director may be granted awards (the value of which is based on their grant date fair value) under our 2020 Plan and be provided any other compensation (including without limitation any cash retainers and fees) that in the aggregate exceed $500,000, provided that in the fiscal year of the individual’s initial service as an outside director, such amount is increased to $750,000. The grant date fair values of awards granted under our 2020 Plan will be determined according to U.S. Generally Accepted Accounting Principles. Any awards or other compensation provided to an individual for his or her services as an employee or a consultant (other than an outside director), or prior to the effective date of the registration statement related to our initial public offering, will not count toward this limit. This maximum limit provision does not reflect the intended size of any potential grants or a commitment to make grants to our outside directors under our 2020 Plan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 of Awards</w:t>
      </w:r>
    </w:p>
    <w:p>
      <w:pPr>
        <w:spacing w:after="0" w:line="102"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i w:val="1"/>
          <w:iCs w:val="1"/>
          <w:color w:val="auto"/>
        </w:rPr>
        <w:t>Dissolution or Liquidation</w:t>
      </w:r>
    </w:p>
    <w:p>
      <w:pPr>
        <w:spacing w:after="0" w:line="102"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prior to the consummation of such proposed transaction.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or Change in Control</w:t>
      </w:r>
    </w:p>
    <w:p>
      <w:pPr>
        <w:spacing w:after="0" w:line="102"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7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7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If an outside director’s awards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w:t>
      </w:r>
    </w:p>
    <w:p>
      <w:pPr>
        <w:spacing w:after="0" w:line="102"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Awards are subject to any clawback policy of ours, which we may establish and/or amend from time to time to comply with applicable 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Termination</w:t>
      </w:r>
    </w:p>
    <w:p>
      <w:pPr>
        <w:spacing w:after="0" w:line="102" w:lineRule="exact"/>
        <w:rPr>
          <w:sz w:val="20"/>
          <w:szCs w:val="20"/>
          <w:color w:val="auto"/>
        </w:rPr>
      </w:pPr>
    </w:p>
    <w:p>
      <w:pPr>
        <w:ind w:right="260" w:firstLine="576"/>
        <w:spacing w:after="0" w:line="255" w:lineRule="auto"/>
        <w:rPr>
          <w:sz w:val="20"/>
          <w:szCs w:val="20"/>
          <w:color w:val="auto"/>
        </w:rPr>
      </w:pPr>
      <w:r>
        <w:rPr>
          <w:rFonts w:ascii="Arial" w:cs="Arial" w:eastAsia="Arial" w:hAnsi="Arial"/>
          <w:sz w:val="18"/>
          <w:szCs w:val="18"/>
          <w:color w:val="auto"/>
        </w:rPr>
        <w:t>The administrator has the authority to amend, suspend or terminate our 2020 Plan, provided such action does not materially impair the rights of any participant unless mutually agreed otherwise. Our 2020 Plan will remain in effect until terminated in accordance with its terms.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04" w:lineRule="exact"/>
        <w:rPr>
          <w:sz w:val="20"/>
          <w:szCs w:val="20"/>
          <w:color w:val="auto"/>
        </w:rPr>
      </w:pPr>
    </w:p>
    <w:p>
      <w:pPr>
        <w:ind w:right="640" w:firstLine="576"/>
        <w:spacing w:after="0" w:line="255" w:lineRule="auto"/>
        <w:rPr>
          <w:sz w:val="20"/>
          <w:szCs w:val="20"/>
          <w:color w:val="auto"/>
        </w:rPr>
      </w:pPr>
      <w:r>
        <w:rPr>
          <w:rFonts w:ascii="Arial" w:cs="Arial" w:eastAsia="Arial" w:hAnsi="Arial"/>
          <w:sz w:val="18"/>
          <w:szCs w:val="18"/>
          <w:color w:val="auto"/>
        </w:rPr>
        <w:t>In August 2020, our board of directors adopted, and in September 2020 our stockholders approved, our 2020 Employee Stock Purchase Plan, or the ESPP. Our ESPP became effective one business day immediately before the effective date of the registration statement related to our initial public offering.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maximum number of shares of our common stock available for issuance under our ESPP equals 647,851 shares of our common stock (which includes 324,851 shares of common stock which were automatically added to the number of shares reserved for issuance on January 1, 2021 pursuant to the terms of the ESPP). The number of shares reserved for issuance under our ESPP includes an annual increase in the number of shares of our common stock available for issuance under our ESPP on the first day of each of our fiscal years beginning with our fiscal year 2021, in an amount equal to the least of:</w:t>
      </w:r>
    </w:p>
    <w:p>
      <w:pPr>
        <w:spacing w:after="0" w:line="64" w:lineRule="exact"/>
        <w:rPr>
          <w:sz w:val="20"/>
          <w:szCs w:val="20"/>
          <w:color w:val="auto"/>
        </w:rPr>
      </w:pPr>
    </w:p>
    <w:p>
      <w:pPr>
        <w:ind w:left="1300" w:hanging="442"/>
        <w:spacing w:after="0"/>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646,000 shares;</w:t>
      </w:r>
    </w:p>
    <w:p>
      <w:pPr>
        <w:spacing w:after="0" w:line="116"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one percent (1%) of the outstanding shares of all classes of our common stock on the last day of our immediately preceding fiscal year; and</w:t>
      </w:r>
    </w:p>
    <w:p>
      <w:pPr>
        <w:spacing w:after="0" w:line="37" w:lineRule="exact"/>
        <w:rPr>
          <w:rFonts w:ascii="Times New Roman" w:cs="Times New Roman" w:eastAsia="Times New Roman" w:hAnsi="Times New Roman"/>
          <w:sz w:val="18"/>
          <w:szCs w:val="18"/>
          <w:color w:val="auto"/>
        </w:rPr>
      </w:pPr>
    </w:p>
    <w:p>
      <w:pPr>
        <w:ind w:left="1300" w:right="440" w:hanging="442"/>
        <w:spacing w:after="0" w:line="275" w:lineRule="auto"/>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such other number of shares as our board of directors may determine as of no later than the last day of our immediately preceding fiscal year.</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 issuable under the ESPP will be authorized, but unissued, or reacquired shares of our common stock.</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firstLine="576"/>
        <w:spacing w:after="0" w:line="207" w:lineRule="exact"/>
        <w:rPr>
          <w:sz w:val="20"/>
          <w:szCs w:val="20"/>
          <w:color w:val="auto"/>
        </w:rPr>
      </w:pPr>
      <w:r>
        <w:rPr>
          <w:rFonts w:ascii="Arial" w:cs="Arial" w:eastAsia="Arial" w:hAnsi="Arial"/>
          <w:sz w:val="18"/>
          <w:szCs w:val="18"/>
          <w:color w:val="auto"/>
        </w:rPr>
        <w:t>Our board of directors or a committee appointed by our board of directors may administer the ESPP. Our compensation committee currently administers our ESPP. The administrator has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8"/>
          <w:szCs w:val="18"/>
          <w:color w:val="auto"/>
        </w:rPr>
        <w:t>‑</w:t>
      </w:r>
      <w:r>
        <w:rPr>
          <w:rFonts w:ascii="Arial" w:cs="Arial" w:eastAsia="Arial" w:hAnsi="Arial"/>
          <w:sz w:val="18"/>
          <w:szCs w:val="18"/>
          <w:color w:val="auto"/>
        </w:rPr>
        <w:t>U.S. nationals or employed outside the U.S. The administrator’s findings, decisions, and determinations are final and binding on all participants to the maximum extent permitted by law.</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102"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Generally, any of our employees are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(1) has not completed at least two years of service (or a lesser period of time determined by the administrator) since the employee’s last hire date,</w:t>
      </w:r>
    </w:p>
    <w:p>
      <w:pPr>
        <w:spacing w:after="0" w:line="1" w:lineRule="exact"/>
        <w:rPr>
          <w:sz w:val="20"/>
          <w:szCs w:val="20"/>
          <w:color w:val="auto"/>
        </w:rPr>
      </w:pPr>
    </w:p>
    <w:p>
      <w:pPr>
        <w:ind w:firstLine="8"/>
        <w:spacing w:after="0" w:line="237" w:lineRule="auto"/>
        <w:tabs>
          <w:tab w:leader="none" w:pos="2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Code Section 414(q), or (5) is a highly compensated employee within the meaning of Code Section 414(q) with compensation above a certain level or who is an officer or subject to disclosure requirements under Section 16(a) of the Exchange Act, is or is not eligible to participate in an offering. However, an employee may not be granted an option to purchase stock under our ESPP if the employee (1) immediately after the grant, would own stock and/or hold outstanding options to purchase such stock possessing 5% or more of the total combined voting power or value of all classes of our (or any of our parent’s or subsidiary’s) capital stock, or (2) holds rights to purchase stock under all of our employee stock purchase plans that accrue at a rate that exceeds $25,000 worth of stock for each calendar year.</w:t>
      </w:r>
    </w:p>
    <w:p>
      <w:pPr>
        <w:spacing w:after="0" w:line="177"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02" w:lineRule="exact"/>
        <w:rPr>
          <w:sz w:val="20"/>
          <w:szCs w:val="20"/>
          <w:color w:val="auto"/>
        </w:rPr>
      </w:pPr>
    </w:p>
    <w:p>
      <w:pPr>
        <w:ind w:right="60" w:firstLine="576"/>
        <w:spacing w:after="0" w:line="206" w:lineRule="exact"/>
        <w:rPr>
          <w:sz w:val="20"/>
          <w:szCs w:val="20"/>
          <w:color w:val="auto"/>
        </w:rPr>
      </w:pPr>
      <w:r>
        <w:rPr>
          <w:rFonts w:ascii="Arial" w:cs="Arial" w:eastAsia="Arial" w:hAnsi="Arial"/>
          <w:sz w:val="18"/>
          <w:szCs w:val="18"/>
          <w:color w:val="auto"/>
        </w:rPr>
        <w:t>Our ESPP includes a component, or the 423 Component, that is intended to qualify as an “employee stock purchase plan” under Code Section 423, and a component that does not comply with Code Section 423, or the Non</w:t>
      </w:r>
      <w:r>
        <w:rPr>
          <w:rFonts w:ascii="MS PGothic" w:cs="MS PGothic" w:eastAsia="MS PGothic" w:hAnsi="MS PGothic"/>
          <w:sz w:val="18"/>
          <w:szCs w:val="18"/>
          <w:color w:val="auto"/>
        </w:rPr>
        <w:t>‑</w:t>
      </w:r>
      <w:r>
        <w:rPr>
          <w:rFonts w:ascii="Arial" w:cs="Arial" w:eastAsia="Arial" w:hAnsi="Arial"/>
          <w:sz w:val="18"/>
          <w:szCs w:val="18"/>
          <w:color w:val="auto"/>
        </w:rPr>
        <w:t>423 Component. For purposes of this summary, a reference to our ESPP generally will mean the terms and operations of the 423 Component. Our ESPP provides for consecutive six-month offering periods. Each offering period will have one purchase period with the same duration as the offering period. The offering periods are scheduled to begin on the first trading day on or after May 18</w:t>
      </w:r>
      <w:r>
        <w:rPr>
          <w:rFonts w:ascii="Arial" w:cs="Arial" w:eastAsia="Arial" w:hAnsi="Arial"/>
          <w:sz w:val="15"/>
          <w:szCs w:val="15"/>
          <w:color w:val="auto"/>
        </w:rPr>
        <w:t>th</w:t>
      </w:r>
      <w:r>
        <w:rPr>
          <w:rFonts w:ascii="Arial" w:cs="Arial" w:eastAsia="Arial" w:hAnsi="Arial"/>
          <w:sz w:val="18"/>
          <w:szCs w:val="18"/>
          <w:color w:val="auto"/>
        </w:rPr>
        <w:t xml:space="preserve"> and November 18</w:t>
      </w:r>
      <w:r>
        <w:rPr>
          <w:rFonts w:ascii="Arial" w:cs="Arial" w:eastAsia="Arial" w:hAnsi="Arial"/>
          <w:sz w:val="15"/>
          <w:szCs w:val="15"/>
          <w:color w:val="auto"/>
        </w:rPr>
        <w:t>th</w:t>
      </w:r>
      <w:r>
        <w:rPr>
          <w:rFonts w:ascii="Arial" w:cs="Arial" w:eastAsia="Arial" w:hAnsi="Arial"/>
          <w:sz w:val="18"/>
          <w:szCs w:val="18"/>
          <w:color w:val="auto"/>
        </w:rPr>
        <w:t xml:space="preserve"> of each year, except for the first offering period, which began on the first trading day on or after the effective date of the registration statement relating to our initial public offering and ends on the first trading day on or after May 18, 2021. The administrator is authorized to change the duration of future offering periods and purchase periods under our ESPP, including the starting and ending dates of offering periods and purchase periods and the number of purchase periods in any offering period, provided that no offering period will have a duration exceeding 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102" w:lineRule="exact"/>
        <w:rPr>
          <w:sz w:val="20"/>
          <w:szCs w:val="20"/>
          <w:color w:val="auto"/>
        </w:rPr>
      </w:pPr>
    </w:p>
    <w:p>
      <w:pPr>
        <w:ind w:right="540" w:firstLine="576"/>
        <w:spacing w:after="0" w:line="255" w:lineRule="auto"/>
        <w:rPr>
          <w:sz w:val="20"/>
          <w:szCs w:val="20"/>
          <w:color w:val="auto"/>
        </w:rPr>
      </w:pPr>
      <w:r>
        <w:rPr>
          <w:rFonts w:ascii="Arial" w:cs="Arial" w:eastAsia="Arial" w:hAnsi="Arial"/>
          <w:sz w:val="18"/>
          <w:szCs w:val="18"/>
          <w:color w:val="auto"/>
        </w:rPr>
        <w:t>Our ESPP permits participants to purchase shares of our common stock through payroll deductions of up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Purchase Right</w:t>
      </w:r>
    </w:p>
    <w:p>
      <w:pPr>
        <w:spacing w:after="0" w:line="102"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purchase period. The purchase price of the shares will be 85% of the lower of (1) the fair market value of a share of our common stock on the first trading day of the offering period and (2) the fair market value of a share of our common stock on the exercise date. A participant is permitted to purchase a maximum of 5,000 shares during each offering period.</w:t>
      </w:r>
    </w:p>
    <w:p>
      <w:pPr>
        <w:spacing w:after="0" w:line="254"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transferability</w:t>
      </w:r>
    </w:p>
    <w:p>
      <w:pPr>
        <w:spacing w:after="0" w:line="128"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firstLine="576"/>
        <w:spacing w:after="0" w:line="207" w:lineRule="exact"/>
        <w:rPr>
          <w:sz w:val="20"/>
          <w:szCs w:val="20"/>
          <w:color w:val="auto"/>
        </w:rPr>
      </w:pPr>
      <w:r>
        <w:rPr>
          <w:rFonts w:ascii="Arial" w:cs="Arial" w:eastAsia="Arial" w:hAnsi="Arial"/>
          <w:sz w:val="18"/>
          <w:szCs w:val="18"/>
          <w:color w:val="auto"/>
        </w:rPr>
        <w:t>Our ESPP provides that if any dividend or other distribution (whether in the form of cash, our common stock, other securities, or other property), recapitalization, stock split, reverse stock split, reorganization, merger, consolidation, split</w:t>
      </w:r>
      <w:r>
        <w:rPr>
          <w:rFonts w:ascii="MS PGothic" w:cs="MS PGothic" w:eastAsia="MS PGothic" w:hAnsi="MS PGothic"/>
          <w:sz w:val="18"/>
          <w:szCs w:val="18"/>
          <w:color w:val="auto"/>
        </w:rPr>
        <w:t>‑</w:t>
      </w:r>
      <w:r>
        <w:rPr>
          <w:rFonts w:ascii="Arial" w:cs="Arial" w:eastAsia="Arial" w:hAnsi="Arial"/>
          <w:sz w:val="18"/>
          <w:szCs w:val="18"/>
          <w:color w:val="auto"/>
        </w:rPr>
        <w:t>up, spin</w:t>
      </w:r>
      <w:r>
        <w:rPr>
          <w:rFonts w:ascii="MS PGothic" w:cs="MS PGothic" w:eastAsia="MS PGothic" w:hAnsi="MS PGothic"/>
          <w:sz w:val="18"/>
          <w:szCs w:val="18"/>
          <w:color w:val="auto"/>
        </w:rPr>
        <w:t>‑</w:t>
      </w:r>
      <w:r>
        <w:rPr>
          <w:rFonts w:ascii="Arial" w:cs="Arial" w:eastAsia="Arial" w:hAnsi="Arial"/>
          <w:sz w:val="18"/>
          <w:szCs w:val="18"/>
          <w:color w:val="auto"/>
        </w:rPr>
        <w:t>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i w:val="1"/>
          <w:iCs w:val="1"/>
          <w:color w:val="auto"/>
        </w:rPr>
        <w:t>Merger or Change in Control</w:t>
      </w:r>
    </w:p>
    <w:p>
      <w:pPr>
        <w:spacing w:after="0" w:line="102"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02"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ESPP’s adoption by our 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04" w:lineRule="exact"/>
        <w:rPr>
          <w:sz w:val="20"/>
          <w:szCs w:val="20"/>
          <w:color w:val="auto"/>
        </w:rPr>
      </w:pPr>
    </w:p>
    <w:p>
      <w:pPr>
        <w:ind w:right="120" w:firstLine="576"/>
        <w:spacing w:after="0" w:line="258" w:lineRule="auto"/>
        <w:rPr>
          <w:sz w:val="20"/>
          <w:szCs w:val="20"/>
          <w:color w:val="auto"/>
        </w:rPr>
      </w:pPr>
      <w:r>
        <w:rPr>
          <w:rFonts w:ascii="Arial" w:cs="Arial" w:eastAsia="Arial" w:hAnsi="Arial"/>
          <w:sz w:val="17"/>
          <w:szCs w:val="17"/>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basis, through contributions to the 401(k) plan. All of a participant’s contributions into the 401(k) plan are 100% vested when contributed. The 401(k) plan permits us to make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06" w:lineRule="exact"/>
        <w:rPr>
          <w:sz w:val="20"/>
          <w:szCs w:val="20"/>
          <w:color w:val="auto"/>
        </w:rPr>
      </w:pPr>
    </w:p>
    <w:p>
      <w:pPr>
        <w:jc w:val="both"/>
        <w:ind w:right="40" w:firstLine="576"/>
        <w:spacing w:after="0" w:line="255" w:lineRule="auto"/>
        <w:rPr>
          <w:sz w:val="20"/>
          <w:szCs w:val="20"/>
          <w:color w:val="auto"/>
        </w:rPr>
      </w:pPr>
      <w:r>
        <w:rPr>
          <w:rFonts w:ascii="Arial" w:cs="Arial" w:eastAsia="Arial" w:hAnsi="Arial"/>
          <w:sz w:val="18"/>
          <w:szCs w:val="18"/>
          <w:color w:val="auto"/>
        </w:rPr>
        <w:t>Our certificate of incorporation and bylaws provide that we will indemnify our directors and officers, and may indemnify our employees and other agents, to the fullest extent permitted by the Delaware General Corporation Law, which prohibits us from limiting the liability of our directors for the following:</w:t>
      </w:r>
    </w:p>
    <w:p>
      <w:pPr>
        <w:spacing w:after="0" w:line="56" w:lineRule="exact"/>
        <w:rPr>
          <w:sz w:val="20"/>
          <w:szCs w:val="20"/>
          <w:color w:val="auto"/>
        </w:rPr>
      </w:pPr>
    </w:p>
    <w:p>
      <w:pPr>
        <w:ind w:left="1300" w:hanging="442"/>
        <w:spacing w:after="0"/>
        <w:tabs>
          <w:tab w:leader="none" w:pos="130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any breach of the director’s duty of loyalty to us or to our stockholders;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any transaction from which the director derived an improper personal benefit.</w:t>
      </w:r>
    </w:p>
    <w:p>
      <w:pPr>
        <w:spacing w:after="0" w:line="224" w:lineRule="exact"/>
        <w:rPr>
          <w:sz w:val="20"/>
          <w:szCs w:val="20"/>
          <w:color w:val="auto"/>
        </w:rPr>
      </w:pPr>
    </w:p>
    <w:p>
      <w:pPr>
        <w:ind w:right="200" w:firstLine="576"/>
        <w:spacing w:after="0" w:line="243" w:lineRule="auto"/>
        <w:rPr>
          <w:sz w:val="20"/>
          <w:szCs w:val="20"/>
          <w:color w:val="auto"/>
        </w:rPr>
      </w:pPr>
      <w:r>
        <w:rPr>
          <w:rFonts w:ascii="Arial" w:cs="Arial" w:eastAsia="Arial" w:hAnsi="Arial"/>
          <w:sz w:val="18"/>
          <w:szCs w:val="18"/>
          <w:color w:val="auto"/>
        </w:rPr>
        <w:t>If Delaware law is amended to authorize corporate action further limiting the personal liability of a director, then the liability of our directors will be limited to the fullest extent permitted by Delaware law, as so amended. Our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bylaws, we will also be empowered to purchase insurance on behalf of any person whom we are required or permitted to indemnify.</w:t>
      </w:r>
    </w:p>
    <w:p>
      <w:pPr>
        <w:spacing w:after="0" w:line="174" w:lineRule="exact"/>
        <w:rPr>
          <w:sz w:val="20"/>
          <w:szCs w:val="20"/>
          <w:color w:val="auto"/>
        </w:rPr>
      </w:pPr>
    </w:p>
    <w:p>
      <w:pPr>
        <w:ind w:right="620" w:firstLine="576"/>
        <w:spacing w:after="0" w:line="248" w:lineRule="auto"/>
        <w:rPr>
          <w:sz w:val="20"/>
          <w:szCs w:val="20"/>
          <w:color w:val="auto"/>
        </w:rPr>
      </w:pPr>
      <w:r>
        <w:rPr>
          <w:rFonts w:ascii="Arial" w:cs="Arial" w:eastAsia="Arial" w:hAnsi="Arial"/>
          <w:sz w:val="18"/>
          <w:szCs w:val="18"/>
          <w:color w:val="auto"/>
        </w:rPr>
        <w:t>In addition to the indemnification required in our certificate of incorporation and bylaws, we have entered into indemnification agreements with each of our current directors, officers and some employees. These agreements provide for the indemnification of our directors, officers and some employees for certain expenses and liabilities incurred in connection with any action, suit, proceeding or alternative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5" w:name="page176"/>
    <w:bookmarkEnd w:id="175"/>
    <w:p>
      <w:pPr>
        <w:spacing w:after="0" w:line="241" w:lineRule="auto"/>
        <w:rPr>
          <w:sz w:val="20"/>
          <w:szCs w:val="20"/>
          <w:color w:val="auto"/>
        </w:rPr>
      </w:pPr>
      <w:r>
        <w:rPr>
          <w:rFonts w:ascii="Arial" w:cs="Arial" w:eastAsia="Arial" w:hAnsi="Arial"/>
          <w:sz w:val="18"/>
          <w:szCs w:val="18"/>
          <w:color w:val="auto"/>
        </w:rPr>
        <w:t>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179"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76" w:name="page177"/>
    <w:bookmarkEnd w:id="176"/>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following is a summary of transactions since January 1, 2018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prospectus titled “Executive Compensation.”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Policy</w:t>
      </w:r>
    </w:p>
    <w:p>
      <w:pPr>
        <w:spacing w:after="0" w:line="106"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We have a formal, written policy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Certain transactions with related persons, however, are exempted from pre-approval including, but not limited to:</w:t>
      </w:r>
    </w:p>
    <w:p>
      <w:pPr>
        <w:spacing w:after="0" w:line="104" w:lineRule="exact"/>
        <w:rPr>
          <w:sz w:val="20"/>
          <w:szCs w:val="20"/>
          <w:color w:val="auto"/>
        </w:rPr>
      </w:pPr>
    </w:p>
    <w:p>
      <w:pPr>
        <w:ind w:left="1300" w:hanging="442"/>
        <w:spacing w:after="0"/>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of our executive officers and directors that is otherwise disclosed in our public filings with the SEC;</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benefits and other transactions available to all of our employees generally;</w:t>
      </w:r>
    </w:p>
    <w:p>
      <w:pPr>
        <w:spacing w:after="0" w:line="116"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service as a director of another entity that is a party to the transaction;</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ownership of less than 10% of the equity interest in another entity that is a party to the transaction; and</w:t>
      </w:r>
    </w:p>
    <w:p>
      <w:pPr>
        <w:spacing w:after="0" w:line="37"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ownership of a class of our equity securities and all holders of that class received the same benefit on a pro rata basis.</w:t>
      </w:r>
    </w:p>
    <w:p>
      <w:pPr>
        <w:spacing w:after="0" w:line="146"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our audit committee shall consider the relevant facts and circumstances available and deemed relevant to the audit committee, including, but not limited to:</w:t>
      </w:r>
    </w:p>
    <w:p>
      <w:pPr>
        <w:spacing w:after="0" w:line="62" w:lineRule="exact"/>
        <w:rPr>
          <w:sz w:val="20"/>
          <w:szCs w:val="20"/>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benefits and perceived benefits to us;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the materiality and character of the related-person’s direct and indirect interest;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other sources for comparable products or services;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of the transaction;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available to unrelated third parties under the same or similar circumstances.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Sales of Securities</w:t>
      </w:r>
    </w:p>
    <w:p>
      <w:pPr>
        <w:spacing w:after="0" w:line="106" w:lineRule="exact"/>
        <w:rPr>
          <w:sz w:val="20"/>
          <w:szCs w:val="20"/>
          <w:color w:val="auto"/>
        </w:rPr>
      </w:pPr>
    </w:p>
    <w:p>
      <w:pPr>
        <w:jc w:val="both"/>
        <w:ind w:right="260" w:firstLine="576"/>
        <w:spacing w:after="0" w:line="277" w:lineRule="auto"/>
        <w:rPr>
          <w:sz w:val="20"/>
          <w:szCs w:val="20"/>
          <w:color w:val="auto"/>
        </w:rPr>
      </w:pPr>
      <w:r>
        <w:rPr>
          <w:rFonts w:ascii="Arial" w:cs="Arial" w:eastAsia="Arial" w:hAnsi="Arial"/>
          <w:sz w:val="17"/>
          <w:szCs w:val="17"/>
          <w:color w:val="auto"/>
        </w:rPr>
        <w:t>The following table sets forth a summary of the sale and issuance of our securities to related persons since January 1, 2018, other than compensation arrangements which are described under the sections of this prospectus titled “Management—Director Compensation” and “Executive Compensation.” For a description of beneficial ownership see the section of this prospectus titled “Principal Stockholders.”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 of</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Series B-1</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Preferred</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 of</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Principal</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Series B</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 of</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Issued on</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Conversion of</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Notes</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77"/>
        </w:trPr>
        <w:tc>
          <w:tcPr>
            <w:tcW w:w="574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Notes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10"/>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stockholders:</w:t>
            </w: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Perceptive Life Sciences Master Fund Ltd.</w:t>
            </w:r>
          </w:p>
        </w:tc>
        <w:tc>
          <w:tcPr>
            <w:tcW w:w="1120" w:type="dxa"/>
            <w:vAlign w:val="bottom"/>
          </w:tcPr>
          <w:p>
            <w:pPr>
              <w:jc w:val="right"/>
              <w:spacing w:after="0"/>
              <w:rPr>
                <w:sz w:val="20"/>
                <w:szCs w:val="20"/>
                <w:color w:val="auto"/>
              </w:rPr>
            </w:pPr>
            <w:r>
              <w:rPr>
                <w:rFonts w:ascii="Arial" w:cs="Arial" w:eastAsia="Arial" w:hAnsi="Arial"/>
                <w:sz w:val="18"/>
                <w:szCs w:val="18"/>
                <w:color w:val="auto"/>
              </w:rPr>
              <w:t>1,644,785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411,196</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74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Entities affiliated with RTW Investments,</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1,535,131</w:t>
            </w:r>
            <w:r>
              <w:rPr>
                <w:rFonts w:ascii="Arial" w:cs="Arial" w:eastAsia="Arial" w:hAnsi="Arial"/>
                <w:sz w:val="15"/>
                <w:szCs w:val="15"/>
                <w:color w:val="auto"/>
              </w:rPr>
              <w:t>(2)</w:t>
            </w: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383,782</w:t>
            </w:r>
            <w:r>
              <w:rPr>
                <w:rFonts w:ascii="Arial" w:cs="Arial" w:eastAsia="Arial" w:hAnsi="Arial"/>
                <w:sz w:val="15"/>
                <w:szCs w:val="15"/>
                <w:color w:val="auto"/>
              </w:rPr>
              <w:t>(3)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LP</w:t>
            </w:r>
          </w:p>
        </w:tc>
        <w:tc>
          <w:tcPr>
            <w:tcW w:w="11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740" w:type="dxa"/>
            <w:vAlign w:val="bottom"/>
          </w:tcPr>
          <w:p>
            <w:pPr>
              <w:spacing w:after="0" w:line="193" w:lineRule="exact"/>
              <w:rPr>
                <w:sz w:val="20"/>
                <w:szCs w:val="20"/>
                <w:color w:val="auto"/>
              </w:rPr>
            </w:pPr>
            <w:r>
              <w:rPr>
                <w:rFonts w:ascii="Arial" w:cs="Arial" w:eastAsia="Arial" w:hAnsi="Arial"/>
                <w:sz w:val="18"/>
                <w:szCs w:val="18"/>
                <w:color w:val="auto"/>
              </w:rPr>
              <w:t>Entities affiliated with Franklin Templeton</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767,566</w:t>
            </w:r>
            <w:r>
              <w:rPr>
                <w:rFonts w:ascii="Arial" w:cs="Arial" w:eastAsia="Arial" w:hAnsi="Arial"/>
                <w:sz w:val="15"/>
                <w:szCs w:val="15"/>
                <w:color w:val="auto"/>
              </w:rPr>
              <w:t>(4)</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191,890</w:t>
            </w:r>
            <w:r>
              <w:rPr>
                <w:rFonts w:ascii="Arial" w:cs="Arial" w:eastAsia="Arial" w:hAnsi="Arial"/>
                <w:sz w:val="15"/>
                <w:szCs w:val="15"/>
                <w:color w:val="auto"/>
              </w:rPr>
              <w:t>(5)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74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74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Viking Global Opportunities Illiquid</w:t>
            </w: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274,130</w:t>
            </w:r>
            <w:r>
              <w:rPr>
                <w:rFonts w:ascii="Arial" w:cs="Arial" w:eastAsia="Arial" w:hAnsi="Arial"/>
                <w:sz w:val="15"/>
                <w:szCs w:val="15"/>
                <w:color w:val="auto"/>
              </w:rPr>
              <w:t>(1)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Investments Sub-Master LP</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1,096,523</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Executive officers and directors: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(6)</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1,644,785</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411,196</w:t>
            </w:r>
            <w:r>
              <w:rPr>
                <w:rFonts w:ascii="Arial" w:cs="Arial" w:eastAsia="Arial" w:hAnsi="Arial"/>
                <w:sz w:val="15"/>
                <w:szCs w:val="15"/>
                <w:color w:val="auto"/>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Mark Litton, Ph.D.</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(7)</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32,815</w:t>
            </w:r>
            <w:r>
              <w:rPr>
                <w:rFonts w:ascii="Arial" w:cs="Arial" w:eastAsia="Arial" w:hAnsi="Arial"/>
                <w:sz w:val="15"/>
                <w:szCs w:val="15"/>
                <w:color w:val="auto"/>
              </w:rPr>
              <w:t>(8)</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(9)</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83" w:lineRule="exact"/>
        <w:rPr>
          <w:sz w:val="20"/>
          <w:szCs w:val="20"/>
          <w:color w:val="auto"/>
        </w:rPr>
      </w:pPr>
    </w:p>
    <w:p>
      <w:pPr>
        <w:ind w:left="480" w:hanging="472"/>
        <w:spacing w:after="0"/>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This warrant was fully exercised prior to August 26, 2020.</w:t>
      </w:r>
    </w:p>
    <w:p>
      <w:pPr>
        <w:spacing w:after="0" w:line="41" w:lineRule="exact"/>
        <w:rPr>
          <w:rFonts w:ascii="Arial" w:cs="Arial" w:eastAsia="Arial" w:hAnsi="Arial"/>
          <w:sz w:val="14"/>
          <w:szCs w:val="14"/>
          <w:color w:val="auto"/>
        </w:rPr>
      </w:pPr>
    </w:p>
    <w:p>
      <w:pPr>
        <w:ind w:left="480" w:right="60" w:hanging="472"/>
        <w:spacing w:after="0" w:line="271"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an aggregate of 1,535,131 shares of our Series B convertible preferred stock issued to RTW Master Fund, Ltd., RTW Innovation Master Fund, Ltd. and RTW Venture Fund Limited.</w:t>
      </w:r>
    </w:p>
    <w:p>
      <w:pPr>
        <w:ind w:left="480" w:right="100" w:hanging="472"/>
        <w:spacing w:after="0" w:line="271"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warrants to purchase an aggregate of 383,782 shares of our common stock issued to RTW Innovation Master Fund, Ltd., RTW Master Fund, Ltd., and RTW Venture Fund Limited. Each of these warrants was fully exercised prior to August 26, 2020.</w:t>
      </w:r>
    </w:p>
    <w:p>
      <w:pPr>
        <w:ind w:left="480" w:right="100" w:hanging="472"/>
        <w:spacing w:after="0" w:line="271"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326,344 shares of our Series B convertible preferred stock issued to Franklin Strategic Series – Franklin Biotechnology Discovery Fund and 441,222 shares of our Series B convertible preferred stock issued to Franklin Templeton Investment Funds – Franklin Biotechnology Discovery Fund.</w:t>
      </w:r>
    </w:p>
    <w:p>
      <w:pPr>
        <w:ind w:left="480" w:right="60" w:hanging="472"/>
        <w:spacing w:after="0" w:line="261"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warrants to purchase 81,585 shares of our common stock held by Franklin Strategic Series – Franklin Biotechnology Discovery Fund and warrants to purchase 110,305 shares of our common stock held by Franklin Templeton Investment Funds – Franklin Biotechnology Discovery Fund. In connection with the closing of our initial public offering on September 22, 2020, these warrants were automatically net exercised into an aggregate of 190,994 shares of our common stock.</w:t>
      </w:r>
    </w:p>
    <w:p>
      <w:pPr>
        <w:spacing w:after="0" w:line="1" w:lineRule="exact"/>
        <w:rPr>
          <w:rFonts w:ascii="Arial" w:cs="Arial" w:eastAsia="Arial" w:hAnsi="Arial"/>
          <w:sz w:val="14"/>
          <w:szCs w:val="14"/>
          <w:color w:val="auto"/>
        </w:rPr>
      </w:pPr>
    </w:p>
    <w:p>
      <w:pPr>
        <w:ind w:left="480" w:right="300" w:hanging="472"/>
        <w:spacing w:after="0" w:line="261"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1,644,785 shares of our Series B convertible preferred stock and warrants to purchase 411,196 shares of our common stock issued to Perceptive Life Sciences Master Fund, Ltd, which warrants were fully exercised prior to August 26, 2020. Joseph Edelman is the managing member of Perceptive Advisors LLC, the investment manager of Perceptive Life Sciences Master Fund Ltd., and may be deemed to beneficially own such securities.</w:t>
      </w:r>
    </w:p>
    <w:p>
      <w:pPr>
        <w:spacing w:after="0" w:line="1" w:lineRule="exact"/>
        <w:rPr>
          <w:rFonts w:ascii="Arial" w:cs="Arial" w:eastAsia="Arial" w:hAnsi="Arial"/>
          <w:sz w:val="14"/>
          <w:szCs w:val="14"/>
          <w:color w:val="auto"/>
        </w:rPr>
      </w:pPr>
    </w:p>
    <w:p>
      <w:pPr>
        <w:ind w:left="480" w:right="40" w:hanging="472"/>
        <w:spacing w:after="0" w:line="261"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$100,000 in aggregate principal amount of convertible notes issued jointly to Dr. Litton and Alicia Litton, his wife, and $150,000 in aggregate principal amount of convertible notes issued to the Irrevocable Trust of OSL, the Irrevocable Trust of SWL, and the Irrevocable Trust of WGL, each of which are trusts held for the benefit of Dr. Litton’s children.</w:t>
      </w:r>
    </w:p>
    <w:p>
      <w:pPr>
        <w:spacing w:after="0" w:line="1" w:lineRule="exact"/>
        <w:rPr>
          <w:rFonts w:ascii="Arial" w:cs="Arial" w:eastAsia="Arial" w:hAnsi="Arial"/>
          <w:sz w:val="14"/>
          <w:szCs w:val="14"/>
          <w:color w:val="auto"/>
        </w:rPr>
      </w:pPr>
    </w:p>
    <w:p>
      <w:pPr>
        <w:ind w:left="480" w:right="180" w:hanging="472"/>
        <w:spacing w:after="0" w:line="257"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13,126 shares of our Series B-1 convertible preferred stock issued jointly to Dr. Litton and Alicia Litton, his wife, and an aggregate 19,689 shares of our Series B-1 convertible preferred stock issued to the Irrevocable Trust of OSL, the Irrevocable Trust of SWL, and the Irrevocable Trust of WGL, each of which are trusts held for the benefit of Dr. Litton’s children.</w:t>
      </w:r>
    </w:p>
    <w:p>
      <w:pPr>
        <w:spacing w:after="0" w:line="1" w:lineRule="exact"/>
        <w:rPr>
          <w:rFonts w:ascii="Arial" w:cs="Arial" w:eastAsia="Arial" w:hAnsi="Arial"/>
          <w:sz w:val="14"/>
          <w:szCs w:val="14"/>
          <w:color w:val="auto"/>
        </w:rPr>
      </w:pPr>
    </w:p>
    <w:p>
      <w:pPr>
        <w:ind w:left="480" w:right="440" w:hanging="472"/>
        <w:spacing w:after="0" w:line="189" w:lineRule="exact"/>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convertible notes and shares of our Series B</w:t>
      </w:r>
      <w:r>
        <w:rPr>
          <w:rFonts w:ascii="MS PGothic" w:cs="MS PGothic" w:eastAsia="MS PGothic" w:hAnsi="MS PGothic"/>
          <w:sz w:val="14"/>
          <w:szCs w:val="14"/>
          <w:color w:val="auto"/>
        </w:rPr>
        <w:t>‑</w:t>
      </w:r>
      <w:r>
        <w:rPr>
          <w:rFonts w:ascii="Arial" w:cs="Arial" w:eastAsia="Arial" w:hAnsi="Arial"/>
          <w:sz w:val="14"/>
          <w:szCs w:val="14"/>
          <w:color w:val="auto"/>
        </w:rPr>
        <w:t>1 convertible preferred stock issued to Fluke Capital Management, L.P., of which John M. Fluke, Jr. has a beneficial ownership interest.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04"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From December 2018 to January 2020, we issued and sold $3.8 million in aggregate principal amount of our convertible notes. The notes accrue interest at a rate of 5% per year. Dr. Litton, our chief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78" w:name="page179"/>
    <w:bookmarkEnd w:id="178"/>
    <w:p>
      <w:pPr>
        <w:ind w:right="120"/>
        <w:spacing w:after="0" w:line="260" w:lineRule="auto"/>
        <w:rPr>
          <w:sz w:val="20"/>
          <w:szCs w:val="20"/>
          <w:color w:val="auto"/>
        </w:rPr>
      </w:pPr>
      <w:r>
        <w:rPr>
          <w:rFonts w:ascii="Arial" w:cs="Arial" w:eastAsia="Arial" w:hAnsi="Arial"/>
          <w:sz w:val="17"/>
          <w:szCs w:val="17"/>
          <w:color w:val="auto"/>
        </w:rPr>
        <w:t>operating officer, and Alicia Litton, his wife, purchased $100,000 in aggregate principal amount of the notes. In addition, notes in an aggregate principal amount of $150,000 were purchased by the Irrevocable Trust of OSL, the Irrevocable Trust of WGL, and the Irrevocable Trust of SWL, each of which are trusts held for the benefit of Dr. Litton’s children. Fluke Capital Management, L.P., of which John M. Fluke, Jr., a member of our board of directors, has a beneficial ownership interest, also purchased notes in an aggregate principal amount of $50,000. All outstanding notes to purchase our common stock converted into shares of our Series B-1 convertible preferred stock at a conversion price of $7.752 per share in connection with our Series B financing in May 2020. The Series B financing is described below.</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From May 2020 to June 2020, we issued and sold to investors an aggregate of 9,372,765 shares of Series B convertible preferred stock at $9.12 per share for aggregate proceeds of $85.5 million, an aggregate of 512,858 shares of Series B-1 convertible preferred stock at a conversion price of $7.752 per share upon conversion of outstanding convertible notes, and warrants to purchase 2,343,168 shares of our common stock at an exercise price of $0.08 per share. Perceptive Life Sciences Master Fund Ltd., entities affiliated with RTW Investments, LP, Viking Global Opportunities Illiquid Investments Sub-Master LP, and entities affiliated with Franklin Templeton Investments, are each significant stockholders of the company and participated in the Series B financing.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160" w:firstLine="576"/>
        <w:spacing w:after="0" w:line="241" w:lineRule="auto"/>
        <w:rPr>
          <w:sz w:val="20"/>
          <w:szCs w:val="20"/>
          <w:color w:val="auto"/>
        </w:rPr>
      </w:pPr>
      <w:r>
        <w:rPr>
          <w:rFonts w:ascii="Arial" w:cs="Arial" w:eastAsia="Arial" w:hAnsi="Arial"/>
          <w:sz w:val="18"/>
          <w:szCs w:val="18"/>
          <w:color w:val="auto"/>
        </w:rPr>
        <w:t>In September 2020, we issued and sold 12,000,000 shares of our common stock in our initial public offering at $17.00 per share for aggregate gross proceeds of $204.0 million. Perceptive Life Sciences Master Fund Ltd., entities affiliated with RTW Investments, LP, Viking Global Opportunities Illiquid Investments Sub-Master LP, and entities affiliated with Franklin Templeton Investments, are each significant stockholders of the company and invested in the initial public offering purchasing 1,058,824, 750,000, 750,000, and 411,764 shares of our common stock, respectively.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06"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We have entered into an investors’ rights agreement with certain of our stockholders, including Dr. Kawas, our chief executive officer, Dr. Litton, our chief operating officer, and Fluke Capital Management, L.P., of which John M. Fluke, Jr., a member of our board of directors, has a beneficial ownership interest. In addition, Perceptive Life Sciences Master Fund Ltd., entities affiliated with RTW Investments, LP, Viking Global Opportunities Illiquid Investments Sub-Master LP, and entities affiliated with Franklin Templeton Investments, are each parties to the agreement. As of September 30, 2020, the holders of 18,104,343 shares of our common stock, or their transferees, are entitled to rights with respect to the registration of their shares under the Securities Act.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06" w:lineRule="exact"/>
        <w:rPr>
          <w:sz w:val="20"/>
          <w:szCs w:val="20"/>
          <w:color w:val="auto"/>
        </w:rPr>
      </w:pPr>
    </w:p>
    <w:p>
      <w:pPr>
        <w:ind w:right="260" w:firstLine="576"/>
        <w:spacing w:after="0" w:line="255" w:lineRule="auto"/>
        <w:rPr>
          <w:sz w:val="20"/>
          <w:szCs w:val="20"/>
          <w:color w:val="auto"/>
        </w:rPr>
      </w:pPr>
      <w:r>
        <w:rPr>
          <w:rFonts w:ascii="Arial" w:cs="Arial" w:eastAsia="Arial" w:hAnsi="Arial"/>
          <w:sz w:val="18"/>
          <w:szCs w:val="18"/>
          <w:color w:val="auto"/>
        </w:rPr>
        <w:t>Prior to our initial public offering, the election of the members of the board of directors was governed by a voting agreement with certain of our stockholders, including Dr. Kawas, our chief executive officer, and Perceptive Life Sciences Master Fund Ltd. The parties to the voting agreement agreed, subject to certain conditions, to vote their shares to elect as directors as follows:</w:t>
      </w:r>
    </w:p>
    <w:p>
      <w:pPr>
        <w:spacing w:after="0" w:line="56" w:lineRule="exact"/>
        <w:rPr>
          <w:sz w:val="20"/>
          <w:szCs w:val="20"/>
          <w:color w:val="auto"/>
        </w:rPr>
      </w:pPr>
    </w:p>
    <w:p>
      <w:pPr>
        <w:ind w:left="1300" w:hanging="442"/>
        <w:spacing w:after="0"/>
        <w:tabs>
          <w:tab w:leader="none" w:pos="1300" w:val="left"/>
        </w:tabs>
        <w:numPr>
          <w:ilvl w:val="0"/>
          <w:numId w:val="112"/>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designated by Perceptive Life Sciences Master Fund Ltd.;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2"/>
        </w:numPr>
        <w:rPr>
          <w:rFonts w:ascii="Times New Roman" w:cs="Times New Roman" w:eastAsia="Times New Roman" w:hAnsi="Times New Roman"/>
          <w:sz w:val="18"/>
          <w:szCs w:val="18"/>
          <w:color w:val="auto"/>
        </w:rPr>
      </w:pPr>
      <w:r>
        <w:rPr>
          <w:rFonts w:ascii="Arial" w:cs="Arial" w:eastAsia="Arial" w:hAnsi="Arial"/>
          <w:sz w:val="18"/>
          <w:szCs w:val="18"/>
          <w:color w:val="auto"/>
        </w:rPr>
        <w:t>four nominees, one of which must be our chief executive officer, designated by a majority vote of our common stock;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79" w:name="page180"/>
    <w:bookmarkEnd w:id="179"/>
    <w:p>
      <w:pPr>
        <w:ind w:left="1300" w:hanging="442"/>
        <w:spacing w:after="0"/>
        <w:tabs>
          <w:tab w:leader="none" w:pos="1300" w:val="left"/>
        </w:tabs>
        <w:numPr>
          <w:ilvl w:val="0"/>
          <w:numId w:val="113"/>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not otherwise an affiliate of the company designated by Perceptive Life Sciences Master Fund Ltd.; and</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13"/>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not otherwise an affiliate of the company or of any investor, who is mutually acceptable to the other members of the board of directors.</w:t>
      </w:r>
    </w:p>
    <w:p>
      <w:pPr>
        <w:spacing w:after="0" w:line="146"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Upon the consummation of our initial public offering, the obligations of the parties to the voting agreement to vote their shares to elect these nominees terminated, and, following such termination, none of our stockholders have any special rights regarding the nomination, election or designation of members of the board of directors. The certificate of incorporation in effect at the time of our initial public offering contained provisions that corresponded to the voting agreement; however, the certificate of incorporation that became effective immediately prior to the closing of our initial public offering does not include such provisions.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06"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In April 2016, we issued a promissory note to Dr. Kawas in the aggregate principal amount of $60,000. This note was repaid in full prior to the public filing of the registration statement relating to our initial public offering.</w:t>
      </w:r>
    </w:p>
    <w:p>
      <w:pPr>
        <w:spacing w:after="0" w:line="145"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We have entered into employment agreements with our executive officers and change in control and severance agreements with certain of our executive officers. For a description of these agreements, see the section of this prospectus titled “Executive Compensation – Executive Employment Arrangements.”</w:t>
      </w:r>
    </w:p>
    <w:p>
      <w:pPr>
        <w:spacing w:after="0" w:line="164" w:lineRule="exact"/>
        <w:rPr>
          <w:sz w:val="20"/>
          <w:szCs w:val="20"/>
          <w:color w:val="auto"/>
        </w:rPr>
      </w:pPr>
    </w:p>
    <w:p>
      <w:pPr>
        <w:jc w:val="both"/>
        <w:ind w:right="140" w:firstLine="576"/>
        <w:spacing w:after="0" w:line="255" w:lineRule="auto"/>
        <w:rPr>
          <w:sz w:val="20"/>
          <w:szCs w:val="20"/>
          <w:color w:val="auto"/>
        </w:rPr>
      </w:pPr>
      <w:r>
        <w:rPr>
          <w:rFonts w:ascii="Arial" w:cs="Arial" w:eastAsia="Arial" w:hAnsi="Arial"/>
          <w:sz w:val="18"/>
          <w:szCs w:val="18"/>
          <w:color w:val="auto"/>
        </w:rPr>
        <w:t>We have granted stock options and restricted share awards and issued common stock to our executive officers and to certain of our non-executive directors. For a description of these grants and issuances, see the sections of this prospectus titled “Management – Director Compensation” and “Executive Compensation.”</w:t>
      </w:r>
    </w:p>
    <w:p>
      <w:pPr>
        <w:spacing w:after="0" w:line="164"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We have entered into indemnification agreements with our directors and executive officers. For a description of these agreements, see the section of this prospectus titled “Management – Limitation of Liability and Indemnification Matters.”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80" w:name="page181"/>
    <w:bookmarkEnd w:id="180"/>
    <w:p>
      <w:pPr>
        <w:jc w:val="center"/>
        <w:ind w:right="-39"/>
        <w:spacing w:after="0"/>
        <w:rPr>
          <w:sz w:val="20"/>
          <w:szCs w:val="20"/>
          <w:color w:val="auto"/>
        </w:rPr>
      </w:pPr>
      <w:r>
        <w:rPr>
          <w:rFonts w:ascii="Arial" w:cs="Arial" w:eastAsia="Arial" w:hAnsi="Arial"/>
          <w:sz w:val="18"/>
          <w:szCs w:val="18"/>
          <w:b w:val="1"/>
          <w:bCs w:val="1"/>
          <w:color w:val="auto"/>
        </w:rPr>
        <w:t>PRINCIPAL STOCKHOLDERS</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beneficial ownership of our common stock as of December 31, 2020 by:</w:t>
      </w:r>
    </w:p>
    <w:p>
      <w:pPr>
        <w:spacing w:after="0" w:line="104" w:lineRule="exact"/>
        <w:rPr>
          <w:sz w:val="20"/>
          <w:szCs w:val="20"/>
          <w:color w:val="auto"/>
        </w:rPr>
      </w:pPr>
    </w:p>
    <w:p>
      <w:pPr>
        <w:ind w:left="1300" w:hanging="442"/>
        <w:spacing w:after="0"/>
        <w:tabs>
          <w:tab w:leader="none" w:pos="130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each of the named executive officers;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directors;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all of our executive officers and directors as a group.</w:t>
      </w:r>
    </w:p>
    <w:p>
      <w:pPr>
        <w:spacing w:after="0" w:line="22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percentage of beneficial ownership prior to the offering shown in the table is based upon 32,485,184 shares of common stock outstanding as of December 31, 2020. The percentage of beneficial ownership after this offering shown in the table is based on 36,485,184 shares of common stock outstanding after the closing of this offering, assuming no exercise of the underwriters’ option to purchase additional shares.</w:t>
      </w:r>
    </w:p>
    <w:p>
      <w:pPr>
        <w:spacing w:after="0" w:line="170"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w:t>
      </w:r>
      <w:r>
        <w:rPr>
          <w:rFonts w:ascii="Arial" w:cs="Arial" w:eastAsia="Arial" w:hAnsi="Arial"/>
          <w:sz w:val="15"/>
          <w:szCs w:val="15"/>
          <w:color w:val="auto"/>
        </w:rPr>
        <w:t>th</w:t>
      </w:r>
      <w:r>
        <w:rPr>
          <w:rFonts w:ascii="Arial" w:cs="Arial" w:eastAsia="Arial" w:hAnsi="Arial"/>
          <w:sz w:val="18"/>
          <w:szCs w:val="18"/>
          <w:color w:val="auto"/>
        </w:rPr>
        <w:t xml:space="preserve"> day after December 31, 2020. Certain of the options granted to our named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181" w:name="page182"/>
    <w:bookmarkEnd w:id="181"/>
    <w:p>
      <w:pPr>
        <w:ind w:right="460" w:firstLine="576"/>
        <w:spacing w:after="0" w:line="276" w:lineRule="auto"/>
        <w:rPr>
          <w:sz w:val="20"/>
          <w:szCs w:val="20"/>
          <w:color w:val="auto"/>
        </w:rPr>
      </w:pPr>
      <w:r>
        <w:rPr>
          <w:rFonts w:ascii="Arial" w:cs="Arial" w:eastAsia="Arial" w:hAnsi="Arial"/>
          <w:sz w:val="18"/>
          <w:szCs w:val="18"/>
          <w:color w:val="auto"/>
        </w:rPr>
        <w:t>Except as otherwise noted below, the address for each person or entity listed in the table is c/o Athira Pharma, Inc., 18706 North Creek Parkway, Suite 104, Bothell, Washington 98011.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Shares Beneficially</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520" w:type="dxa"/>
            <w:vAlign w:val="bottom"/>
            <w:gridSpan w:val="3"/>
          </w:tcPr>
          <w:p>
            <w:pPr>
              <w:jc w:val="center"/>
              <w:ind w:left="915"/>
              <w:spacing w:after="0"/>
              <w:rPr>
                <w:sz w:val="20"/>
                <w:szCs w:val="20"/>
                <w:color w:val="auto"/>
              </w:rPr>
            </w:pPr>
            <w:r>
              <w:rPr>
                <w:rFonts w:ascii="Arial" w:cs="Arial" w:eastAsia="Arial" w:hAnsi="Arial"/>
                <w:sz w:val="14"/>
                <w:szCs w:val="14"/>
                <w:b w:val="1"/>
                <w:bCs w:val="1"/>
                <w:color w:val="auto"/>
              </w:rPr>
              <w:t>Owned</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Shares Beneficially Owned</w:t>
            </w:r>
          </w:p>
        </w:tc>
      </w:tr>
      <w:tr>
        <w:trPr>
          <w:trHeight w:val="177"/>
        </w:trPr>
        <w:tc>
          <w:tcPr>
            <w:tcW w:w="5820" w:type="dxa"/>
            <w:vAlign w:val="bottom"/>
          </w:tcPr>
          <w:p>
            <w:pPr>
              <w:spacing w:after="0"/>
              <w:rPr>
                <w:sz w:val="15"/>
                <w:szCs w:val="15"/>
                <w:color w:val="auto"/>
              </w:rPr>
            </w:pPr>
          </w:p>
        </w:tc>
        <w:tc>
          <w:tcPr>
            <w:tcW w:w="2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Prior to the Offering</w:t>
            </w:r>
          </w:p>
        </w:tc>
        <w:tc>
          <w:tcPr>
            <w:tcW w:w="2660" w:type="dxa"/>
            <w:vAlign w:val="bottom"/>
            <w:gridSpan w:val="3"/>
          </w:tcPr>
          <w:p>
            <w:pPr>
              <w:jc w:val="right"/>
              <w:ind w:right="652"/>
              <w:spacing w:after="0"/>
              <w:rPr>
                <w:sz w:val="20"/>
                <w:szCs w:val="20"/>
                <w:color w:val="auto"/>
              </w:rPr>
            </w:pPr>
            <w:r>
              <w:rPr>
                <w:rFonts w:ascii="Arial" w:cs="Arial" w:eastAsia="Arial" w:hAnsi="Arial"/>
                <w:sz w:val="14"/>
                <w:szCs w:val="14"/>
                <w:b w:val="1"/>
                <w:bCs w:val="1"/>
                <w:color w:val="auto"/>
              </w:rPr>
              <w:t>After the Offering</w:t>
            </w:r>
          </w:p>
        </w:tc>
      </w:tr>
      <w:tr>
        <w:trPr>
          <w:trHeight w:val="154"/>
        </w:trPr>
        <w:tc>
          <w:tcPr>
            <w:tcW w:w="5820" w:type="dxa"/>
            <w:vAlign w:val="bottom"/>
          </w:tcPr>
          <w:p>
            <w:pPr>
              <w:spacing w:after="0"/>
              <w:rPr>
                <w:sz w:val="13"/>
                <w:szCs w:val="13"/>
                <w:color w:val="auto"/>
              </w:rPr>
            </w:pPr>
          </w:p>
        </w:tc>
        <w:tc>
          <w:tcPr>
            <w:tcW w:w="1520" w:type="dxa"/>
            <w:vAlign w:val="bottom"/>
            <w:tcBorders>
              <w:top w:val="single" w:sz="8" w:color="auto"/>
            </w:tcBorders>
            <w:gridSpan w:val="3"/>
          </w:tcPr>
          <w:p>
            <w:pPr>
              <w:jc w:val="center"/>
              <w:ind w:right="400"/>
              <w:spacing w:after="0" w:line="154" w:lineRule="exact"/>
              <w:rPr>
                <w:sz w:val="20"/>
                <w:szCs w:val="20"/>
                <w:color w:val="auto"/>
              </w:rPr>
            </w:pPr>
            <w:r>
              <w:rPr>
                <w:rFonts w:ascii="Arial" w:cs="Arial" w:eastAsia="Arial" w:hAnsi="Arial"/>
                <w:sz w:val="14"/>
                <w:szCs w:val="14"/>
                <w:b w:val="1"/>
                <w:bCs w:val="1"/>
                <w:color w:val="auto"/>
              </w:rPr>
              <w:t>Number of</w:t>
            </w:r>
          </w:p>
        </w:tc>
        <w:tc>
          <w:tcPr>
            <w:tcW w:w="1000" w:type="dxa"/>
            <w:vAlign w:val="bottom"/>
            <w:tcBorders>
              <w:top w:val="single" w:sz="8" w:color="auto"/>
            </w:tcBorders>
          </w:tcPr>
          <w:p>
            <w:pPr>
              <w:jc w:val="right"/>
              <w:ind w:right="92"/>
              <w:spacing w:after="0" w:line="154" w:lineRule="exact"/>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3"/>
                <w:szCs w:val="13"/>
                <w:color w:val="auto"/>
              </w:rPr>
            </w:pPr>
          </w:p>
        </w:tc>
        <w:tc>
          <w:tcPr>
            <w:tcW w:w="1400" w:type="dxa"/>
            <w:vAlign w:val="bottom"/>
            <w:tcBorders>
              <w:top w:val="single" w:sz="8" w:color="auto"/>
            </w:tcBorders>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rPr>
              <w:t>Number of</w:t>
            </w:r>
          </w:p>
        </w:tc>
        <w:tc>
          <w:tcPr>
            <w:tcW w:w="1260" w:type="dxa"/>
            <w:vAlign w:val="bottom"/>
            <w:tcBorders>
              <w:top w:val="single" w:sz="8" w:color="auto"/>
            </w:tcBorders>
          </w:tcPr>
          <w:p>
            <w:pPr>
              <w:jc w:val="right"/>
              <w:ind w:right="172"/>
              <w:spacing w:after="0" w:line="154" w:lineRule="exact"/>
              <w:rPr>
                <w:sz w:val="20"/>
                <w:szCs w:val="20"/>
                <w:color w:val="auto"/>
              </w:rPr>
            </w:pPr>
            <w:r>
              <w:rPr>
                <w:rFonts w:ascii="Arial" w:cs="Arial" w:eastAsia="Arial" w:hAnsi="Arial"/>
                <w:sz w:val="14"/>
                <w:szCs w:val="14"/>
                <w:b w:val="1"/>
                <w:bCs w:val="1"/>
                <w:color w:val="auto"/>
              </w:rPr>
              <w:t>Percentage</w:t>
            </w:r>
          </w:p>
        </w:tc>
      </w:tr>
      <w:tr>
        <w:trPr>
          <w:trHeight w:val="177"/>
        </w:trPr>
        <w:tc>
          <w:tcPr>
            <w:tcW w:w="5820" w:type="dxa"/>
            <w:vAlign w:val="bottom"/>
          </w:tcPr>
          <w:p>
            <w:pPr>
              <w:spacing w:after="0"/>
              <w:rPr>
                <w:sz w:val="15"/>
                <w:szCs w:val="15"/>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Shares</w:t>
            </w: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26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and Greater Stockholders:</w:t>
            </w: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1,693,102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1,693,102</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15"/>
                <w:szCs w:val="15"/>
                <w:color w:val="auto"/>
              </w:rPr>
              <w:t>(2)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3,114,805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3,114,805</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Entities affiliated with RTW Investments, LP</w:t>
            </w:r>
            <w:r>
              <w:rPr>
                <w:rFonts w:ascii="Arial" w:cs="Arial" w:eastAsia="Arial" w:hAnsi="Arial"/>
                <w:sz w:val="15"/>
                <w:szCs w:val="15"/>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2,668,913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2,668,913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193"/>
        </w:trPr>
        <w:tc>
          <w:tcPr>
            <w:tcW w:w="582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Viking Global Opportunities Illiquid Investments</w:t>
            </w: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226"/>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Sub-Master LP</w:t>
            </w:r>
            <w:r>
              <w:rPr>
                <w:rFonts w:ascii="Arial" w:cs="Arial" w:eastAsia="Arial" w:hAnsi="Arial"/>
                <w:sz w:val="15"/>
                <w:szCs w:val="15"/>
                <w:color w:val="auto"/>
              </w:rPr>
              <w:t>(4)</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2,120,653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2,120,653</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r>
      <w:tr>
        <w:trPr>
          <w:trHeight w:val="193"/>
        </w:trPr>
        <w:tc>
          <w:tcPr>
            <w:tcW w:w="5820" w:type="dxa"/>
            <w:vAlign w:val="bottom"/>
          </w:tcPr>
          <w:p>
            <w:pPr>
              <w:spacing w:after="0" w:line="193" w:lineRule="exact"/>
              <w:rPr>
                <w:sz w:val="20"/>
                <w:szCs w:val="20"/>
                <w:color w:val="auto"/>
              </w:rPr>
            </w:pPr>
            <w:r>
              <w:rPr>
                <w:rFonts w:ascii="Arial" w:cs="Arial" w:eastAsia="Arial" w:hAnsi="Arial"/>
                <w:sz w:val="18"/>
                <w:szCs w:val="18"/>
                <w:color w:val="auto"/>
              </w:rPr>
              <w:t>Entities affiliated with Venrock Healthcare</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6"/>
        </w:trPr>
        <w:tc>
          <w:tcPr>
            <w:tcW w:w="5820" w:type="dxa"/>
            <w:vAlign w:val="bottom"/>
          </w:tcPr>
          <w:p>
            <w:pPr>
              <w:ind w:left="160"/>
              <w:spacing w:after="0"/>
              <w:rPr>
                <w:sz w:val="20"/>
                <w:szCs w:val="20"/>
                <w:color w:val="auto"/>
              </w:rPr>
            </w:pPr>
            <w:r>
              <w:rPr>
                <w:rFonts w:ascii="Arial" w:cs="Arial" w:eastAsia="Arial" w:hAnsi="Arial"/>
                <w:sz w:val="18"/>
                <w:szCs w:val="18"/>
                <w:color w:val="auto"/>
              </w:rPr>
              <w:t>Capital Partners II, L.P.</w:t>
            </w:r>
            <w:r>
              <w:rPr>
                <w:rFonts w:ascii="Arial" w:cs="Arial" w:eastAsia="Arial" w:hAnsi="Arial"/>
                <w:sz w:val="15"/>
                <w:szCs w:val="15"/>
                <w:color w:val="auto"/>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1,657,623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1,657,623</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Named Executive Officers and Directors: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1,693,102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1,693,102</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Hans Moebius</w:t>
            </w:r>
            <w:r>
              <w:rPr>
                <w:rFonts w:ascii="Arial" w:cs="Arial" w:eastAsia="Arial" w:hAnsi="Arial"/>
                <w:sz w:val="15"/>
                <w:szCs w:val="15"/>
                <w:color w:val="auto"/>
              </w:rPr>
              <w:t>(6)</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14,186</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Glenna Mileson</w:t>
            </w:r>
            <w:r>
              <w:rPr>
                <w:rFonts w:ascii="Arial" w:cs="Arial" w:eastAsia="Arial" w:hAnsi="Arial"/>
                <w:sz w:val="15"/>
                <w:szCs w:val="15"/>
                <w:color w:val="auto"/>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88,270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88,270</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Tadataka Yamada</w:t>
            </w:r>
            <w:r>
              <w:rPr>
                <w:rFonts w:ascii="Arial" w:cs="Arial" w:eastAsia="Arial" w:hAnsi="Arial"/>
                <w:sz w:val="15"/>
                <w:szCs w:val="15"/>
                <w:color w:val="auto"/>
              </w:rPr>
              <w:t>(8)</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55,343</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(9)</w:t>
            </w:r>
          </w:p>
        </w:tc>
        <w:tc>
          <w:tcPr>
            <w:tcW w:w="1140" w:type="dxa"/>
            <w:vAlign w:val="bottom"/>
          </w:tcPr>
          <w:p>
            <w:pPr>
              <w:jc w:val="right"/>
              <w:spacing w:after="0"/>
              <w:rPr>
                <w:sz w:val="20"/>
                <w:szCs w:val="20"/>
                <w:color w:val="auto"/>
              </w:rPr>
            </w:pPr>
            <w:r>
              <w:rPr>
                <w:rFonts w:ascii="Arial" w:cs="Arial" w:eastAsia="Arial" w:hAnsi="Arial"/>
                <w:sz w:val="18"/>
                <w:szCs w:val="18"/>
                <w:color w:val="auto"/>
              </w:rPr>
              <w:t>3,118,658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3,118,658</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154,468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154,468</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(11)</w:t>
            </w:r>
          </w:p>
        </w:tc>
        <w:tc>
          <w:tcPr>
            <w:tcW w:w="1140" w:type="dxa"/>
            <w:vAlign w:val="bottom"/>
          </w:tcPr>
          <w:p>
            <w:pPr>
              <w:jc w:val="right"/>
              <w:spacing w:after="0"/>
              <w:rPr>
                <w:sz w:val="20"/>
                <w:szCs w:val="20"/>
                <w:color w:val="auto"/>
              </w:rPr>
            </w:pPr>
            <w:r>
              <w:rPr>
                <w:rFonts w:ascii="Arial" w:cs="Arial" w:eastAsia="Arial" w:hAnsi="Arial"/>
                <w:sz w:val="18"/>
                <w:szCs w:val="18"/>
                <w:color w:val="auto"/>
              </w:rPr>
              <w:t>4,623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(12)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193"/>
        </w:trPr>
        <w:tc>
          <w:tcPr>
            <w:tcW w:w="5820" w:type="dxa"/>
            <w:vAlign w:val="bottom"/>
          </w:tcPr>
          <w:p>
            <w:pPr>
              <w:spacing w:after="0" w:line="193" w:lineRule="exact"/>
              <w:rPr>
                <w:sz w:val="20"/>
                <w:szCs w:val="20"/>
                <w:color w:val="auto"/>
              </w:rPr>
            </w:pPr>
            <w:r>
              <w:rPr>
                <w:rFonts w:ascii="Arial" w:cs="Arial" w:eastAsia="Arial" w:hAnsi="Arial"/>
                <w:sz w:val="18"/>
                <w:szCs w:val="18"/>
                <w:color w:val="auto"/>
              </w:rPr>
              <w:t>All directors and executive officers as a group</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(10 persons)</w:t>
            </w:r>
            <w:r>
              <w:rPr>
                <w:rFonts w:ascii="Arial" w:cs="Arial" w:eastAsia="Arial" w:hAnsi="Arial"/>
                <w:sz w:val="15"/>
                <w:szCs w:val="15"/>
                <w:color w:val="auto"/>
              </w:rPr>
              <w:t>(13)</w:t>
            </w:r>
          </w:p>
        </w:tc>
        <w:tc>
          <w:tcPr>
            <w:tcW w:w="1140" w:type="dxa"/>
            <w:vAlign w:val="bottom"/>
          </w:tcPr>
          <w:p>
            <w:pPr>
              <w:jc w:val="right"/>
              <w:spacing w:after="0"/>
              <w:rPr>
                <w:sz w:val="20"/>
                <w:szCs w:val="20"/>
                <w:color w:val="auto"/>
              </w:rPr>
            </w:pPr>
            <w:r>
              <w:rPr>
                <w:rFonts w:ascii="Arial" w:cs="Arial" w:eastAsia="Arial" w:hAnsi="Arial"/>
                <w:sz w:val="18"/>
                <w:szCs w:val="18"/>
                <w:color w:val="auto"/>
              </w:rPr>
              <w:t>5,267,352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5,267,352</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626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65" w:lineRule="exact"/>
        <w:rPr>
          <w:sz w:val="20"/>
          <w:szCs w:val="20"/>
          <w:color w:val="auto"/>
        </w:rPr>
      </w:pPr>
    </w:p>
    <w:p>
      <w:pPr>
        <w:ind w:left="480" w:hanging="472"/>
        <w:spacing w:after="0"/>
        <w:tabs>
          <w:tab w:leader="none" w:pos="4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w:t>
      </w:r>
    </w:p>
    <w:p>
      <w:pPr>
        <w:spacing w:after="0" w:line="42" w:lineRule="exact"/>
        <w:rPr>
          <w:sz w:val="20"/>
          <w:szCs w:val="20"/>
          <w:color w:val="auto"/>
        </w:rPr>
      </w:pPr>
    </w:p>
    <w:p>
      <w:pPr>
        <w:ind w:left="480" w:right="40" w:hanging="472"/>
        <w:spacing w:after="0" w:line="267" w:lineRule="auto"/>
        <w:tabs>
          <w:tab w:leader="none" w:pos="4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264,810 shares held of record by Hamdan Family GST Trust, 1,117,246 shares held of record by Dr. Kawas and options to purchase 311,046 shares that are exercisable within 60 days of December 31, 2020.</w:t>
      </w:r>
    </w:p>
    <w:p>
      <w:pPr>
        <w:ind w:left="480" w:hanging="472"/>
        <w:spacing w:after="0" w:line="210" w:lineRule="auto"/>
        <w:tabs>
          <w:tab w:leader="none" w:pos="4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3,114,805 shares held of record by Perceptive Life Sciences Master Fund Ltd., or Perceptive. The business address of Perceptive is 51 Astor Place, 10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Floor, New York, NY 10003. Perceptive Advisors LLC serves as the investment manager of Perceptive. Joseph Edelman is the managing member of Perceptive Advisors LLC and he may be deemed to beneficially own the shares held by Perceptive.</w:t>
      </w:r>
    </w:p>
    <w:p>
      <w:pPr>
        <w:spacing w:after="0" w:line="8" w:lineRule="exact"/>
        <w:rPr>
          <w:rFonts w:ascii="Arial" w:cs="Arial" w:eastAsia="Arial" w:hAnsi="Arial"/>
          <w:sz w:val="14"/>
          <w:szCs w:val="14"/>
          <w:color w:val="auto"/>
        </w:rPr>
      </w:pPr>
    </w:p>
    <w:p>
      <w:pPr>
        <w:ind w:left="480" w:right="40" w:hanging="472"/>
        <w:spacing w:after="0" w:line="230" w:lineRule="auto"/>
        <w:tabs>
          <w:tab w:leader="none" w:pos="4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Based on the most recently available Schedule 13G filed with the SEC on September 28, 2020. Consists of 2,668,913 shares held of record in the aggregate by RTW Master Fund, Ltd., RTW Innovation Master Fund, Ltd. and RTW Venture Fund Limited. RTW Investments, LP has the power to direct the vote and disposition of securities held by RTW Master Fund, Ltd., RTW Innovation Master Fund, Ltd. and RTW Venture Fund Limited. Accordingly, RTW Investments, LP may be deemed to be the beneficial owner of such securities. Roderick Wong, M.D. has the power to direct the vote and disposition of the securities held by RTW Investments, LP. Dr. Wong is the managing member of RTW Investments GP, LLC, which is the general partner of RTW Investments, LP. Dr. Wong disclaims beneficial ownership of the shares held by RTW Master Fund, Ltd., RTW Innovation Master Fund, Ltd., and RTW Venture Fund Limited, except to the extent of his pecuniary interest therein. The address and principal office of RTW Investments, LP and Dr. Wong is 40 10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Avenue, Floor 7, New York, NY 10014.</w:t>
      </w:r>
    </w:p>
    <w:p>
      <w:pPr>
        <w:spacing w:after="0" w:line="2" w:lineRule="exact"/>
        <w:rPr>
          <w:rFonts w:ascii="Arial" w:cs="Arial" w:eastAsia="Arial" w:hAnsi="Arial"/>
          <w:sz w:val="14"/>
          <w:szCs w:val="14"/>
          <w:color w:val="auto"/>
        </w:rPr>
      </w:pPr>
    </w:p>
    <w:p>
      <w:pPr>
        <w:ind w:left="480" w:right="80" w:hanging="472"/>
        <w:spacing w:after="0" w:line="246" w:lineRule="auto"/>
        <w:tabs>
          <w:tab w:leader="none" w:pos="4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Based on the most recently available Schedule 13G filed with the SEC on September 28, 2020. Consists of 2,120,653 shares held of record by Viking Global Opportunities Illiquid Investments Sub-Master LP, or Opportunities Fund. Opportunities Fund has the authority to dispose of and vote the shares directly owned by it, which power may be exercised by its general partner, Viking Global Opportunities Portfolio GP LLC, or Opportunities GP, and by Viking Global investors LP, or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Opportunities GP. The business address of the Opportunities Fund is c/o Viking Global Investors LP, 55 Railroad Avenue, Greenwich, CT 06830.</w:t>
      </w:r>
    </w:p>
    <w:p>
      <w:pPr>
        <w:spacing w:after="0" w:line="4" w:lineRule="exact"/>
        <w:rPr>
          <w:rFonts w:ascii="Arial" w:cs="Arial" w:eastAsia="Arial" w:hAnsi="Arial"/>
          <w:sz w:val="14"/>
          <w:szCs w:val="14"/>
          <w:color w:val="auto"/>
        </w:rPr>
      </w:pPr>
    </w:p>
    <w:p>
      <w:pPr>
        <w:ind w:left="480" w:right="40" w:hanging="472"/>
        <w:spacing w:after="0" w:line="249" w:lineRule="auto"/>
        <w:tabs>
          <w:tab w:leader="none" w:pos="4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Based on the most recently available Schedule 13G filed with the SEC on November 16, 2020. Consists of 1,657,623 shares held of record in the aggregate by Venrock Healthcare Capital Partners II, L.P. (“VHCP II LP”), VHCP Co-Investment Holdings II, LLC (“VHCP Co-Investment II”), Venrock Healthcare Capital Partners III, L.P. (“VHCP III LP”), VHCP Co-Investment Holdings III, LLC (“VHCP Co-Investment III LP”) and Venrock Healthcare Capital Partners EG, L.P. VHCP Management II, LLC (“VHCPM”) is the sole general partner of VHCP II LP and the manager of VHCP Co-Investment II. VHCP Management III, LLC is the general partner of VHCP III LP and the manager of VHCP Co-Investment III. VHCP Management EG, LLC (“VHCPEG”) is the sole general partner of Venrock Healthcare Capital Partners EG, L.P. Dr. Bong Koh and Nimish Shah are the voting members of VHCPM and VHCPEG. The address of each of the entities and individuals identified in this footnote is c/o Venrock, 7 Bryant Park, 23rd Floor, New York, NY 10018.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2" w:name="page183"/>
    <w:bookmarkEnd w:id="182"/>
    <w:p>
      <w:pPr>
        <w:ind w:left="472" w:hanging="472"/>
        <w:spacing w:after="0"/>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options to purchase 14,186 shares that are exercisable within 60 days of December 31, 2020.</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81,965 shares held by Ms. Mileson and options to purchase 6,305 shares that are exercisable within 60 days of December 31, 2020.</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options to purchase 55,343 shares that are exercisable within 60 days of December 31, 2020.</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the shares referenced in footnote (2) above and options to purchase 3,853 shares that are exercisable within 60 days of December 31, 2020.</w:t>
      </w:r>
    </w:p>
    <w:p>
      <w:pPr>
        <w:spacing w:after="0" w:line="41" w:lineRule="exact"/>
        <w:rPr>
          <w:rFonts w:ascii="Arial" w:cs="Arial" w:eastAsia="Arial" w:hAnsi="Arial"/>
          <w:sz w:val="14"/>
          <w:szCs w:val="14"/>
          <w:color w:val="auto"/>
        </w:rPr>
      </w:pPr>
    </w:p>
    <w:p>
      <w:pPr>
        <w:ind w:left="472" w:hanging="472"/>
        <w:spacing w:after="0" w:line="271" w:lineRule="auto"/>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6,731 shares held of record by Fluke Capital Management, L.P., 114,881 shares held by Mr. Fluke, and options to purchase 32,856 shares that are exercisable within 60 days of December 31, 2020.</w:t>
      </w:r>
    </w:p>
    <w:p>
      <w:pPr>
        <w:ind w:left="472" w:hanging="472"/>
        <w:spacing w:after="0"/>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options to purchase 4,623 shares that are exercisable within 60 days of December 31, 2020.</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315 shares held by Ms. Romano and options to purchase 1,541 shares that are exercisable within 60 days of December 31, 2020.</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4,824,674 shares held of record and options to purchase 442,363 shares that are exercisable within 60 days of December 31, 2020.</w:t>
      </w:r>
    </w:p>
    <w:p>
      <w:pPr>
        <w:spacing w:after="0" w:line="207" w:lineRule="exact"/>
        <w:rPr>
          <w:sz w:val="20"/>
          <w:szCs w:val="20"/>
          <w:color w:val="auto"/>
        </w:rPr>
      </w:pPr>
    </w:p>
    <w:p>
      <w:pPr>
        <w:ind w:left="5412"/>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532"/>
          </w:cols>
          <w:pgMar w:left="328" w:top="410" w:right="1039" w:bottom="144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14"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This section provides a summary of the rights of our common stock and preferred stock. This summary is not complete. For more detailed information, please see our certificate of incorporation and bylaws, which are filed as exhibits to the registration statement of which this prospectus is a part.</w:t>
      </w:r>
    </w:p>
    <w:p>
      <w:pPr>
        <w:spacing w:after="0" w:line="164"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Our authorized capital stock consists of 900,000,000 shares of common stock, par value $0.0001 per share, and 100,000,000 shares of preferred stock, par value $0.0001 per share.</w:t>
      </w:r>
    </w:p>
    <w:p>
      <w:pPr>
        <w:spacing w:after="0" w:line="145"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As of December 31, 2020, there were 32,485,184 shares of our common stock outstanding and no shares of our preferred stock outstanding. As of December 31, 2020, there were 1,974,870 shares of common stock subject to outstanding options, no shares of common stock subject to outstanding warrants, 4,204 shares of common stock issuable upon the settlement of outstanding restricted stock awards and no shares of common stock issuable upon the settlement of outstanding RSUs. As of December 31, 2020, we had approximately 156 record holders of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Each share of common stock is entitled to one vote per share on all matters (including the election of directors) submitted to a vote of stockholders, unless otherwise required by law or our certificate of incorporation.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jc w:val="both"/>
        <w:ind w:right="160" w:firstLine="576"/>
        <w:spacing w:after="0" w:line="255"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 For more information see the section of this prospectus titled “Dividend Policy.”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Our board of directors has the authority, without further action by the stockholders, to issue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preferred stock are outstanding, and we have no present plan to issue any shares of preferred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0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Under our investors’ rights agreement, as amended, as of September 30, 2020, the holders of approximately 18,104,343 shares of common stock, or their transferees, have the right to require us to register the offer and sale of their shares, which we refer to as registration rights. We also register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this prospectus titled “Shares Eligible for Future Sale”.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4"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At any time after six months after September 17, 2020, the holders of at least 40% of the shares having demand registration rights have the right to demand that we use best efforts to file a registration statement for the registration of the offer. We are only obligated to file up to two registration statements in connection with the exercise of demand registration rights. These registration rights are subject to specified conditions and limitations, including the right of the underwriters to limit the number of shares included in any such registration under certain circumstances and our ability to defer the filing of a registration statement with respect to an exercise of such demand registration rights for up to 120 days under certain circumstances.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04"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At any time after we are qualified to file a registration statement on Form S-3, the holders of at least 30% of the shares having demand registration rights have the right to demand that we file a registration statement on Form S-3 so long as the aggregate number of shares to be offered and sold under such registration statement on Form S-3 is at least $5 million. We are not obligated to file any registration statements within 30 days of a registration statement that we propose. These investor registration rights are subject to specified conditions and limitations, including our ability to defer the filing of a registration statement with respect to an exercise of such Form S-3 registration rights for up to 90 days under certain circumstances.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If we propose to register the offer and sale of any of our securities under the Securities Act either for our own account or for the account of other stockholders, a stockholder with registration rights will have the right, subject to certain exceptions, to include their shares of common stock in the registration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85" w:name="page186"/>
    <w:bookmarkEnd w:id="185"/>
    <w:p>
      <w:pPr>
        <w:ind w:right="320"/>
        <w:spacing w:after="0" w:line="276" w:lineRule="auto"/>
        <w:rPr>
          <w:sz w:val="20"/>
          <w:szCs w:val="20"/>
          <w:color w:val="auto"/>
        </w:rPr>
      </w:pPr>
      <w:r>
        <w:rPr>
          <w:rFonts w:ascii="Arial" w:cs="Arial" w:eastAsia="Arial" w:hAnsi="Arial"/>
          <w:sz w:val="18"/>
          <w:szCs w:val="18"/>
          <w:color w:val="auto"/>
        </w:rPr>
        <w:t>statement. These registration rights are subject to specified conditions and limitations, and any proposed offering in connection therewith may be terminated or withdrawn by us at our sole discretion.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04"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other than underwriting discounts and selling commissions and up to $50,000 of fees and disbursements of one counsel to the selling stockholders.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0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The registration rights terminate upon the earliest of (1) a merger or acquisition; (2) as to a given holder of registration rights, when such holder of registration rights can sell all of such holder’s registrable securities in a three month-period pursuant to Rule 144 promulgated under the Securities Act; and (3) the date that is three years after the closing of our initial public offering.</w:t>
      </w:r>
    </w:p>
    <w:p>
      <w:pPr>
        <w:spacing w:after="0" w:line="270" w:lineRule="exact"/>
        <w:rPr>
          <w:sz w:val="20"/>
          <w:szCs w:val="20"/>
          <w:color w:val="auto"/>
        </w:rPr>
      </w:pPr>
    </w:p>
    <w:p>
      <w:pPr>
        <w:ind w:right="2300"/>
        <w:spacing w:after="0" w:line="361" w:lineRule="auto"/>
        <w:rPr>
          <w:sz w:val="20"/>
          <w:szCs w:val="20"/>
          <w:color w:val="auto"/>
        </w:rPr>
      </w:pPr>
      <w:r>
        <w:rPr>
          <w:rFonts w:ascii="Arial" w:cs="Arial" w:eastAsia="Arial" w:hAnsi="Arial"/>
          <w:sz w:val="18"/>
          <w:szCs w:val="18"/>
          <w:b w:val="1"/>
          <w:bCs w:val="1"/>
          <w:color w:val="auto"/>
        </w:rPr>
        <w:t xml:space="preserve">Anti-Takeover Effects of Delaware and Washington Law and Our Certificate of Incorporation and Bylaws </w:t>
      </w:r>
      <w:r>
        <w:rPr>
          <w:rFonts w:ascii="Arial" w:cs="Arial" w:eastAsia="Arial" w:hAnsi="Arial"/>
          <w:sz w:val="18"/>
          <w:szCs w:val="18"/>
          <w:b w:val="1"/>
          <w:bCs w:val="1"/>
          <w:i w:val="1"/>
          <w:iCs w:val="1"/>
          <w:color w:val="auto"/>
        </w:rPr>
        <w:t>Delaware Law</w:t>
      </w:r>
    </w:p>
    <w:p>
      <w:pPr>
        <w:ind w:right="280" w:firstLine="576"/>
        <w:spacing w:after="0" w:line="255" w:lineRule="auto"/>
        <w:rPr>
          <w:sz w:val="20"/>
          <w:szCs w:val="20"/>
          <w:color w:val="auto"/>
        </w:rPr>
      </w:pPr>
      <w:r>
        <w:rPr>
          <w:rFonts w:ascii="Arial" w:cs="Arial" w:eastAsia="Arial" w:hAnsi="Arial"/>
          <w:sz w:val="18"/>
          <w:szCs w:val="18"/>
          <w:color w:val="auto"/>
        </w:rPr>
        <w:t>We are subject to Section 203 of the Delaware General Corporation Law.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56" w:lineRule="exact"/>
        <w:rPr>
          <w:sz w:val="20"/>
          <w:szCs w:val="20"/>
          <w:color w:val="auto"/>
        </w:rPr>
      </w:pPr>
    </w:p>
    <w:p>
      <w:pPr>
        <w:ind w:left="1300" w:right="6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37" w:lineRule="exact"/>
        <w:rPr>
          <w:rFonts w:ascii="Times New Roman" w:cs="Times New Roman" w:eastAsia="Times New Roman" w:hAnsi="Times New Roman"/>
          <w:sz w:val="18"/>
          <w:szCs w:val="18"/>
          <w:color w:val="auto"/>
        </w:rPr>
      </w:pPr>
    </w:p>
    <w:p>
      <w:pPr>
        <w:ind w:left="1300" w:hanging="442"/>
        <w:spacing w:after="0" w:line="244"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67" w:lineRule="exact"/>
        <w:rPr>
          <w:rFonts w:ascii="Times New Roman" w:cs="Times New Roman" w:eastAsia="Times New Roman" w:hAnsi="Times New Roman"/>
          <w:sz w:val="18"/>
          <w:szCs w:val="18"/>
          <w:color w:val="auto"/>
        </w:rPr>
      </w:pPr>
    </w:p>
    <w:p>
      <w:pPr>
        <w:jc w:val="both"/>
        <w:ind w:left="1300" w:right="320" w:hanging="442"/>
        <w:spacing w:after="0" w:line="25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Section 203 defines a business combination to include: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6"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37" w:lineRule="exact"/>
        <w:rPr>
          <w:rFonts w:ascii="Times New Roman" w:cs="Times New Roman" w:eastAsia="Times New Roman" w:hAnsi="Times New Roman"/>
          <w:sz w:val="18"/>
          <w:szCs w:val="18"/>
          <w:color w:val="auto"/>
        </w:rPr>
      </w:pPr>
    </w:p>
    <w:p>
      <w:pPr>
        <w:ind w:left="1300" w:right="84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37"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i w:val="1"/>
          <w:iCs w:val="1"/>
          <w:color w:val="auto"/>
        </w:rPr>
        <w:t>Washington Business Corporation Act</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laws of Washington, where our principal executive offices are located, impose restrictions on certain transactions between certain foreign corporations and significant stockholders. In particular, the Washington Business Corporation Act, or WBCA, prohibits a “target corporation,” with certain exceptions, from engaging in certain “significant business transactions” with a person or group of persons which beneficially owns 10% or more of the voting securities of the target corporation,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spacing w:after="0" w:line="66" w:lineRule="exact"/>
        <w:rPr>
          <w:sz w:val="20"/>
          <w:szCs w:val="20"/>
          <w:color w:val="auto"/>
        </w:rPr>
      </w:pPr>
    </w:p>
    <w:p>
      <w:pPr>
        <w:ind w:left="1300" w:right="620" w:hanging="442"/>
        <w:spacing w:after="0" w:line="275" w:lineRule="auto"/>
        <w:tabs>
          <w:tab w:leader="none" w:pos="1300" w:val="left"/>
        </w:tabs>
        <w:numPr>
          <w:ilvl w:val="0"/>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any merger or consolidation with, disposition of assets to, or issuance or redemption of stock to or from, the acquiring person;</w:t>
      </w:r>
    </w:p>
    <w:p>
      <w:pPr>
        <w:spacing w:after="0" w:line="37" w:lineRule="exact"/>
        <w:rPr>
          <w:rFonts w:ascii="Times New Roman" w:cs="Times New Roman" w:eastAsia="Times New Roman" w:hAnsi="Times New Roman"/>
          <w:sz w:val="18"/>
          <w:szCs w:val="18"/>
          <w:color w:val="auto"/>
        </w:rPr>
      </w:pPr>
    </w:p>
    <w:p>
      <w:pPr>
        <w:ind w:left="1300" w:right="160" w:hanging="442"/>
        <w:spacing w:after="0" w:line="275" w:lineRule="auto"/>
        <w:tabs>
          <w:tab w:leader="none" w:pos="1300" w:val="left"/>
        </w:tabs>
        <w:numPr>
          <w:ilvl w:val="0"/>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any termination of 5% or more of the employees of the target corporation as a result of the acquiring person’s acquisition of 10% or more of the shares;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allowing the acquiring person to receive any disproportionate benefit as a stockholder.</w:t>
      </w:r>
    </w:p>
    <w:p>
      <w:pPr>
        <w:spacing w:after="0" w:line="22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After the five-year period, a significant business transaction may take place as long as it complies with certain fair price provisions of the statute or is approved at an annual or special meeting of stockholders.</w:t>
      </w:r>
    </w:p>
    <w:p>
      <w:pPr>
        <w:spacing w:after="0" w:line="145"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We will be considered a “target corporation” so long as our principal executive office is located in Washington, and: (1) a majority of our employees are residents of the state of Washington or we employ more than one thousand residents of the state of Washington; (2) a majority of our tangible assets, measured by market value, are located in the state of Washington or we have more than $50 million worth of tangible assets located in the state of Washington; and (3) any one of the following: (a) more than 10% of our stockholders of record are resident in the state of Washington; (b) more than 10% of our shares are owned of record by state residents; or (c) 1,000 or more of our stockholders of record are resident in the state.</w:t>
      </w:r>
    </w:p>
    <w:p>
      <w:pPr>
        <w:spacing w:after="0" w:line="174" w:lineRule="exact"/>
        <w:rPr>
          <w:sz w:val="20"/>
          <w:szCs w:val="20"/>
          <w:color w:val="auto"/>
        </w:rPr>
      </w:pPr>
    </w:p>
    <w:p>
      <w:pPr>
        <w:ind w:right="540" w:firstLine="576"/>
        <w:spacing w:after="0" w:line="276" w:lineRule="auto"/>
        <w:rPr>
          <w:sz w:val="20"/>
          <w:szCs w:val="20"/>
          <w:color w:val="auto"/>
        </w:rPr>
      </w:pPr>
      <w:r>
        <w:rPr>
          <w:rFonts w:ascii="Arial" w:cs="Arial" w:eastAsia="Arial" w:hAnsi="Arial"/>
          <w:sz w:val="18"/>
          <w:szCs w:val="18"/>
          <w:color w:val="auto"/>
        </w:rPr>
        <w:t>If we meet the definition of a target corporation, the WBCA may have the effect of delaying, deferring or preventing a change of control.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62" w:lineRule="exact"/>
        <w:rPr>
          <w:sz w:val="20"/>
          <w:szCs w:val="20"/>
          <w:color w:val="auto"/>
        </w:rPr>
      </w:pPr>
    </w:p>
    <w:p>
      <w:pPr>
        <w:ind w:left="1300" w:right="48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permit our board of directors to issue shares of preferred stock, with any rights, preferences and privileges as they may designate;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6"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divide our board of directors into three classes, each of which stands for election once every three years;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87" w:name="page188"/>
    <w:bookmarkEnd w:id="187"/>
    <w:p>
      <w:pPr>
        <w:ind w:left="1300" w:right="660" w:hanging="442"/>
        <w:spacing w:after="0" w:line="275" w:lineRule="auto"/>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37" w:lineRule="exact"/>
        <w:rPr>
          <w:rFonts w:ascii="Times New Roman" w:cs="Times New Roman" w:eastAsia="Times New Roman" w:hAnsi="Times New Roman"/>
          <w:sz w:val="18"/>
          <w:szCs w:val="18"/>
          <w:color w:val="auto"/>
        </w:rPr>
      </w:pPr>
    </w:p>
    <w:p>
      <w:pPr>
        <w:ind w:left="1300" w:right="240" w:hanging="442"/>
        <w:spacing w:after="0" w:line="255" w:lineRule="auto"/>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54"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w:t>
      </w:r>
    </w:p>
    <w:p>
      <w:pPr>
        <w:spacing w:after="0" w:line="37"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board of directors, the chairman of the board of directors, our chief executive officer or president;</w:t>
      </w:r>
    </w:p>
    <w:p>
      <w:pPr>
        <w:spacing w:after="0" w:line="37" w:lineRule="exact"/>
        <w:rPr>
          <w:rFonts w:ascii="Times New Roman" w:cs="Times New Roman" w:eastAsia="Times New Roman" w:hAnsi="Times New Roman"/>
          <w:sz w:val="18"/>
          <w:szCs w:val="18"/>
          <w:color w:val="auto"/>
        </w:rPr>
      </w:pPr>
    </w:p>
    <w:p>
      <w:pPr>
        <w:jc w:val="both"/>
        <w:ind w:left="1300" w:right="80" w:hanging="442"/>
        <w:spacing w:after="0" w:line="255" w:lineRule="auto"/>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will be permitted to amend certain provisions of our bylaws only upon receiving at least two-thirds of the votes entitled to be cast by holders of all outstanding shares then entitled to vote generally in the election of directors, voting together as a single class; and</w:t>
      </w:r>
    </w:p>
    <w:p>
      <w:pPr>
        <w:spacing w:after="0" w:line="54" w:lineRule="exact"/>
        <w:rPr>
          <w:rFonts w:ascii="Times New Roman" w:cs="Times New Roman" w:eastAsia="Times New Roman" w:hAnsi="Times New Roman"/>
          <w:sz w:val="18"/>
          <w:szCs w:val="18"/>
          <w:color w:val="auto"/>
        </w:rPr>
      </w:pPr>
    </w:p>
    <w:p>
      <w:pPr>
        <w:ind w:left="1300" w:right="20" w:hanging="442"/>
        <w:spacing w:after="0" w:line="242" w:lineRule="auto"/>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behalf of the company, (2) any action asserting a claim of breach of a fiduciary duty owed by any of our directors, officers or other employees to the company or our stockholders, (3) any action asserting a claim against the company arising pursuant to any provision of the Delaware General Corporation Law, our certificate of incorporation and bylaws (as either may be amended from time to time), or (4) any action asserting a claim against the company governed by the internal affairs doctrine; and</w:t>
      </w:r>
    </w:p>
    <w:p>
      <w:pPr>
        <w:spacing w:after="0" w:line="69"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w:t>
      </w:r>
    </w:p>
    <w:p>
      <w:pPr>
        <w:spacing w:after="0" w:line="146" w:lineRule="exact"/>
        <w:rPr>
          <w:sz w:val="20"/>
          <w:szCs w:val="20"/>
          <w:color w:val="auto"/>
        </w:rPr>
      </w:pPr>
    </w:p>
    <w:p>
      <w:pPr>
        <w:ind w:right="620" w:firstLine="576"/>
        <w:spacing w:after="0" w:line="276" w:lineRule="auto"/>
        <w:rPr>
          <w:sz w:val="20"/>
          <w:szCs w:val="20"/>
          <w:color w:val="auto"/>
        </w:rPr>
      </w:pPr>
      <w:r>
        <w:rPr>
          <w:rFonts w:ascii="Arial" w:cs="Arial" w:eastAsia="Arial" w:hAnsi="Arial"/>
          <w:sz w:val="18"/>
          <w:szCs w:val="18"/>
          <w:color w:val="auto"/>
        </w:rPr>
        <w:t>The amendment of any of these provisions would require approval by the holders of at least two-thirds of our then outstanding common stock, voting as a single class.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06"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transfer agent and registrar for our common stock will be Computershare Trust Company, N.A. The transfer agent and registrar’s address is 250 Royall Street, Canton, Massachusetts 02021.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common stock is listed on the Nasdaq Global Select Market under the trading symbol “ATHA.”</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Future sales of our common stock in the public market, or the availability of such shares for sale in the public market, could adversely affect market prices prevailing from time to time. As described below, only a limited number of shares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7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Upon the completion of this offering, based the number of shares outstanding as of September 30, 2020, and the issuance of 4,000,000 shares of our common stock in this offering, 35,087,395 shares of our common stock will be outstanding, or 35,687,395 shares of common 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80"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As a result of the lock-up agreements and market stand-off provisions described below and the provisions of Rules 144 or 701, and assuming no extension of the lock-up period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62" w:lineRule="exact"/>
        <w:rPr>
          <w:sz w:val="20"/>
          <w:szCs w:val="20"/>
          <w:color w:val="auto"/>
        </w:rPr>
      </w:pPr>
    </w:p>
    <w:p>
      <w:pPr>
        <w:ind w:left="1300" w:right="460" w:hanging="442"/>
        <w:spacing w:after="0" w:line="275" w:lineRule="auto"/>
        <w:tabs>
          <w:tab w:leader="none" w:pos="130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14,941,176 shares will be eligible for sale on the date of this prospectus subject in some cases to the volume and other restrictions of Rule 144;</w:t>
      </w:r>
    </w:p>
    <w:p>
      <w:pPr>
        <w:spacing w:after="0" w:line="37" w:lineRule="exact"/>
        <w:rPr>
          <w:rFonts w:ascii="Times New Roman" w:cs="Times New Roman" w:eastAsia="Times New Roman" w:hAnsi="Times New Roman"/>
          <w:sz w:val="18"/>
          <w:szCs w:val="18"/>
          <w:color w:val="auto"/>
        </w:rPr>
      </w:pPr>
    </w:p>
    <w:p>
      <w:pPr>
        <w:ind w:left="1300" w:right="160" w:hanging="442"/>
        <w:spacing w:after="0" w:line="255" w:lineRule="auto"/>
        <w:tabs>
          <w:tab w:leader="none" w:pos="130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15,321,545 shares will be eligible for sale upon expiration of the lock-up agreements and market stand-off provisions beginning more than 180 days after the date of the prospectus related to our initial public offering, subject in some cases to the volume and other restrictions of Rule 144; and</w:t>
      </w:r>
    </w:p>
    <w:p>
      <w:pPr>
        <w:spacing w:after="0" w:line="54"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4,824,674 shares will be eligible for sale upon expiration of the lock-up agreements described below, beginning more than 90 days after the date of this prospectus subject in some cases to the volume and other restrictions of Rule 144.</w:t>
      </w:r>
    </w:p>
    <w:p>
      <w:pPr>
        <w:spacing w:after="0" w:line="14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We may issue shares of our common stock from time to time for a variety of corporate purposes, including in capital-raising activities through future public offerings or private placements, in connection with exercise of stock options or warrants, vesting of restricted stock units and other issuances relating to our employee benefit plans and as consideration for future acquisitions, investments or other purposes. The number of shares of our common stock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our common stock will have the right, under certain circumstances, to cause us to register any resale of such shares to the public.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106"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In connection with our initial public offering, all of our directors, executive officers, and substantially all of the holders of our equity securities entered into lock-up agreements with the underwriters pursuant to which, subject to certain exceptions, such parties agreed not to offer, sell or transfer any common stock or securities convertible into or exchangeable or exercisable for common stock for 180 days after the date of the prospectus relating to our initial public offering without first obtaining the written consent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89" w:name="page190"/>
    <w:bookmarkEnd w:id="189"/>
    <w:p>
      <w:pPr>
        <w:jc w:val="both"/>
        <w:ind w:right="40"/>
        <w:spacing w:after="0" w:line="255" w:lineRule="auto"/>
        <w:rPr>
          <w:sz w:val="20"/>
          <w:szCs w:val="20"/>
          <w:color w:val="auto"/>
        </w:rPr>
      </w:pPr>
      <w:r>
        <w:rPr>
          <w:rFonts w:ascii="Arial" w:cs="Arial" w:eastAsia="Arial" w:hAnsi="Arial"/>
          <w:sz w:val="18"/>
          <w:szCs w:val="18"/>
          <w:color w:val="auto"/>
        </w:rPr>
        <w:t>Goldman Sachs &amp; Co. LLC and Jefferies LLC, on behalf of the underwriters, or us, as applicable, after the date of this prospectus. Goldman Sachs &amp; Co. LLC and Jefferies LLC may, in their sole discretion, and subject to FINRA Rule 5131, release any of the securities subject to the lock-up agreements with the underwriters at any time.</w:t>
      </w:r>
    </w:p>
    <w:p>
      <w:pPr>
        <w:spacing w:after="0" w:line="16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In addition to the existing lock-up agreements from the initial public offering, in connection with this offering, we have entered into new lock-up agreements on substantially similar terms effective for 90 days following the date of this prospectus, and all of our directors and executive officers and certain of our stockholders have entered into new lock-up agreements on substantially the same terms effective for 90 days following the date of this prospectus. Goldman Sachs &amp; Co. LLC and Jefferies LLC may, in their sole discretion, release any of the securities subject to the lock-up agreements with the underwriters at any time.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06"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In general, under Rule 144, a person who is not our affiliate for purposes of the Securities Act and has not been our affiliate at any time during the preceding three months will be entitled to sell any shares of our common stock that such person has beneficially owned for at least six months, including the holding period of any prior owner other than one of our affiliates, without being required to comply with the notice, manner of sale or public information requirements or volume limitation provisions of Rule 144. Sales of our common stock by any such person would be subject to the availability of current public information about us if the shares to be sold were beneficially owned by such person for less than one year.</w:t>
      </w:r>
    </w:p>
    <w:p>
      <w:pPr>
        <w:spacing w:after="0" w:line="174"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In addition, under Rule 144, a person may sell shares of our common stock acquired from us immediately upon the completion of this offering, without regard to the registration requirements of the Securities Act or the availability of public information about us, if:</w:t>
      </w:r>
    </w:p>
    <w:p>
      <w:pPr>
        <w:spacing w:after="0" w:line="37" w:lineRule="exact"/>
        <w:rPr>
          <w:sz w:val="20"/>
          <w:szCs w:val="20"/>
          <w:color w:val="auto"/>
        </w:rPr>
      </w:pPr>
    </w:p>
    <w:p>
      <w:pPr>
        <w:ind w:left="1300" w:hanging="442"/>
        <w:spacing w:after="0"/>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the person is not our affiliate and has not been our affiliate at any time during the preceding three months; and</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the person has beneficially owned the shares to be sold for at least one year, including the holding period of any prior owner other than one of our affiliates.</w:t>
      </w:r>
    </w:p>
    <w:p>
      <w:pPr>
        <w:spacing w:after="0" w:line="37" w:lineRule="exact"/>
        <w:rPr>
          <w:rFonts w:ascii="Times New Roman" w:cs="Times New Roman" w:eastAsia="Times New Roman" w:hAnsi="Times New Roman"/>
          <w:sz w:val="18"/>
          <w:szCs w:val="18"/>
          <w:color w:val="auto"/>
        </w:rPr>
      </w:pPr>
    </w:p>
    <w:p>
      <w:pPr>
        <w:ind w:left="1300" w:right="40" w:hanging="442"/>
        <w:spacing w:after="0" w:line="255" w:lineRule="auto"/>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pacing w:after="0" w:line="54" w:lineRule="exact"/>
        <w:rPr>
          <w:rFonts w:ascii="Times New Roman" w:cs="Times New Roman" w:eastAsia="Times New Roman" w:hAnsi="Times New Roman"/>
          <w:sz w:val="18"/>
          <w:szCs w:val="18"/>
          <w:color w:val="auto"/>
        </w:rPr>
      </w:pPr>
    </w:p>
    <w:p>
      <w:pPr>
        <w:jc w:val="both"/>
        <w:ind w:left="1300" w:right="820" w:hanging="442"/>
        <w:spacing w:after="0" w:line="305" w:lineRule="auto"/>
        <w:tabs>
          <w:tab w:leader="none" w:pos="1300" w:val="left"/>
        </w:tabs>
        <w:numPr>
          <w:ilvl w:val="0"/>
          <w:numId w:val="123"/>
        </w:numPr>
        <w:rPr>
          <w:rFonts w:ascii="Times New Roman" w:cs="Times New Roman" w:eastAsia="Times New Roman" w:hAnsi="Times New Roman"/>
          <w:sz w:val="17"/>
          <w:szCs w:val="17"/>
          <w:color w:val="auto"/>
        </w:rPr>
      </w:pPr>
      <w:r>
        <w:rPr>
          <w:rFonts w:ascii="Arial" w:cs="Arial" w:eastAsia="Arial" w:hAnsi="Arial"/>
          <w:sz w:val="17"/>
          <w:szCs w:val="17"/>
          <w:color w:val="auto"/>
        </w:rPr>
        <w:t>1% of the number of shares of our common stock then outstanding, which will equal approximately 350,874 shares immediately after this offering, assuming no exercise of the underwriters’ option to purchase additional shares; and</w:t>
      </w:r>
    </w:p>
    <w:p>
      <w:pPr>
        <w:spacing w:after="0" w:line="15" w:lineRule="exact"/>
        <w:rPr>
          <w:rFonts w:ascii="Times New Roman" w:cs="Times New Roman" w:eastAsia="Times New Roman" w:hAnsi="Times New Roman"/>
          <w:sz w:val="17"/>
          <w:szCs w:val="17"/>
          <w:color w:val="auto"/>
        </w:rPr>
      </w:pPr>
    </w:p>
    <w:p>
      <w:pPr>
        <w:ind w:left="1300" w:hanging="442"/>
        <w:spacing w:after="0" w:line="275" w:lineRule="auto"/>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the average weekly trading volume in our common stock on the Nasdaq Global Select Market during the four calendar weeks preceding the date of filing of a notice on Form 144 with respect to the sale.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06"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w:t>
      </w:r>
    </w:p>
    <w:p>
      <w:pPr>
        <w:spacing w:after="0" w:line="172"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As of September 30, 2020, there were 1,702,032 shares of our outstanding common stock issued in reliance on Rule 701 as a result of exercises of stock options or in the form of restricted stock awards. All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90" w:name="page191"/>
    <w:bookmarkEnd w:id="190"/>
    <w:p>
      <w:pPr>
        <w:ind w:right="40"/>
        <w:spacing w:after="0" w:line="255" w:lineRule="auto"/>
        <w:rPr>
          <w:sz w:val="20"/>
          <w:szCs w:val="20"/>
          <w:color w:val="auto"/>
        </w:rPr>
      </w:pPr>
      <w:r>
        <w:rPr>
          <w:rFonts w:ascii="Arial" w:cs="Arial" w:eastAsia="Arial" w:hAnsi="Arial"/>
          <w:sz w:val="18"/>
          <w:szCs w:val="18"/>
          <w:color w:val="auto"/>
        </w:rPr>
        <w:t>of these shares, however, are subject to lock-up agreements or market stand-off provisions as discussed above, and, as a result, these shares will only become eligible for sale at the earlier of the expiration of the lock-up period or upon obtaining the consent of Goldman Sachs &amp; Co. LLC and Jeffries LLC, on behalf of the underwriters to release all or any portion of these shares from the lock-up agreements.</w:t>
      </w:r>
    </w:p>
    <w:p>
      <w:pPr>
        <w:spacing w:after="0" w:line="16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filed a registration statement on Form S-8 under the Securities Act to register shares of our common stock subject to options outstanding, as well as reserved for future issuance, under our equity compensation plans. The registration statement on Form S-8 became effective immediately upon filing, and shares of our common stock covered by the registration statement became eligible for future sale in the public market, subject to the Rule 144 limitations applicable to affiliates, vesting restrictions and any applicable market standoff agreements and lock-up agreements . See the section captioned “Executive Compensation—Employee Benefit Plans” for a description of our equity compensation plans.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06" w:lineRule="exact"/>
        <w:rPr>
          <w:sz w:val="20"/>
          <w:szCs w:val="20"/>
          <w:color w:val="auto"/>
        </w:rPr>
      </w:pPr>
    </w:p>
    <w:p>
      <w:pPr>
        <w:jc w:val="both"/>
        <w:ind w:right="80" w:firstLine="576"/>
        <w:spacing w:after="0" w:line="245" w:lineRule="auto"/>
        <w:rPr>
          <w:sz w:val="20"/>
          <w:szCs w:val="20"/>
          <w:color w:val="auto"/>
        </w:rPr>
      </w:pPr>
      <w:r>
        <w:rPr>
          <w:rFonts w:ascii="Arial" w:cs="Arial" w:eastAsia="Arial" w:hAnsi="Arial"/>
          <w:sz w:val="18"/>
          <w:szCs w:val="18"/>
          <w:color w:val="auto"/>
        </w:rPr>
        <w:t>Upon completion of this offering, the holders of approximately 8,590,089 shares of our common stock are eligible to exercise certain rights to cause us to register their shares for resale under the Securities Act, subject to various conditions and limitations. These registration rights are described under the section of this prospectus titled “Description of Capital Stock—Registration Rights.” Upon the effectiveness of a registration statement covering these shares, the shares would become freely tradable, and a large number of shares may be sold into the public market, which may adversely affect the market price of our common stock.</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91" w:name="page192"/>
    <w:bookmarkEnd w:id="191"/>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 FOR</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NON-U.S. HOLDERS OF COMMON STOCK</w:t>
      </w:r>
    </w:p>
    <w:p>
      <w:pPr>
        <w:spacing w:after="0" w:line="19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80"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This summary also does not address the tax considerations arising under the laws of any non-U.S., state or local jurisdiction or under U.S. federal gift and estate tax rules, except to the limited extent set forth below. In addition, this discussion does not address tax considerations applicable to an investor’s particular circumstances or to investors that may be subject to special tax rules, including, without limitation:</w:t>
      </w:r>
    </w:p>
    <w:p>
      <w:pPr>
        <w:spacing w:after="0" w:line="62" w:lineRule="exact"/>
        <w:rPr>
          <w:sz w:val="20"/>
          <w:szCs w:val="20"/>
          <w:color w:val="auto"/>
        </w:rPr>
      </w:pPr>
    </w:p>
    <w:p>
      <w:pPr>
        <w:ind w:left="1300" w:hanging="442"/>
        <w:spacing w:after="0"/>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persons subject to the alternative minimum tax or the tax on net investment income;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tax-exempt organizations;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pension plans and tax-qualified retirement plans;</w:t>
      </w:r>
    </w:p>
    <w:p>
      <w:pPr>
        <w:spacing w:after="0" w:line="116"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brokers or dealers in securities or currencies;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16" w:lineRule="exact"/>
        <w:rPr>
          <w:rFonts w:ascii="Times New Roman" w:cs="Times New Roman" w:eastAsia="Times New Roman" w:hAnsi="Times New Roman"/>
          <w:sz w:val="18"/>
          <w:szCs w:val="18"/>
          <w:color w:val="auto"/>
        </w:rPr>
      </w:pPr>
    </w:p>
    <w:p>
      <w:pPr>
        <w:ind w:left="1300" w:right="380" w:hanging="442"/>
        <w:spacing w:after="0" w:line="275" w:lineRule="auto"/>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certain former citizens or long-term residents of the United States;</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37"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persons who do not hold our common stock as a capital asset within the meaning of Section 1221 of the Code (generally, property held for investment); or</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92" w:name="page193"/>
    <w:bookmarkEnd w:id="192"/>
    <w:p>
      <w:pPr>
        <w:ind w:right="40" w:firstLine="576"/>
        <w:spacing w:after="0" w:line="252"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r>
        <w:rPr>
          <w:rFonts w:ascii="Arial" w:cs="Arial" w:eastAsia="Arial" w:hAnsi="Arial"/>
          <w:sz w:val="18"/>
          <w:szCs w:val="18"/>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06"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for U.S. federal income tax purposes, is not a partnership or:</w:t>
      </w:r>
    </w:p>
    <w:p>
      <w:pPr>
        <w:spacing w:after="0" w:line="37" w:lineRule="exact"/>
        <w:rPr>
          <w:sz w:val="20"/>
          <w:szCs w:val="20"/>
          <w:color w:val="auto"/>
        </w:rPr>
      </w:pPr>
    </w:p>
    <w:p>
      <w:pPr>
        <w:ind w:left="1300" w:hanging="442"/>
        <w:spacing w:after="0"/>
        <w:tabs>
          <w:tab w:leader="none" w:pos="1300" w:val="left"/>
        </w:tabs>
        <w:numPr>
          <w:ilvl w:val="0"/>
          <w:numId w:val="125"/>
        </w:numPr>
        <w:rPr>
          <w:rFonts w:ascii="Times New Roman" w:cs="Times New Roman" w:eastAsia="Times New Roman" w:hAnsi="Times New Roman"/>
          <w:sz w:val="18"/>
          <w:szCs w:val="18"/>
          <w:color w:val="auto"/>
        </w:rPr>
      </w:pPr>
      <w:r>
        <w:rPr>
          <w:rFonts w:ascii="Arial" w:cs="Arial" w:eastAsia="Arial" w:hAnsi="Arial"/>
          <w:sz w:val="18"/>
          <w:szCs w:val="18"/>
          <w:color w:val="auto"/>
        </w:rPr>
        <w:t>an individual who is a citizen or resident of the United States;</w:t>
      </w:r>
    </w:p>
    <w:p>
      <w:pPr>
        <w:spacing w:after="0" w:line="116" w:lineRule="exact"/>
        <w:rPr>
          <w:rFonts w:ascii="Times New Roman" w:cs="Times New Roman" w:eastAsia="Times New Roman" w:hAnsi="Times New Roman"/>
          <w:sz w:val="18"/>
          <w:szCs w:val="18"/>
          <w:color w:val="auto"/>
        </w:rPr>
      </w:pPr>
    </w:p>
    <w:p>
      <w:pPr>
        <w:ind w:left="1300" w:right="520" w:hanging="442"/>
        <w:spacing w:after="0" w:line="305" w:lineRule="auto"/>
        <w:tabs>
          <w:tab w:leader="none" w:pos="1300" w:val="left"/>
        </w:tabs>
        <w:numPr>
          <w:ilvl w:val="0"/>
          <w:numId w:val="125"/>
        </w:numPr>
        <w:rPr>
          <w:rFonts w:ascii="Times New Roman" w:cs="Times New Roman" w:eastAsia="Times New Roman" w:hAnsi="Times New Roman"/>
          <w:sz w:val="17"/>
          <w:szCs w:val="17"/>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5" w:lineRule="exact"/>
        <w:rPr>
          <w:rFonts w:ascii="Times New Roman" w:cs="Times New Roman" w:eastAsia="Times New Roman" w:hAnsi="Times New Roman"/>
          <w:sz w:val="17"/>
          <w:szCs w:val="17"/>
          <w:color w:val="auto"/>
        </w:rPr>
      </w:pPr>
    </w:p>
    <w:p>
      <w:pPr>
        <w:ind w:left="1300" w:hanging="442"/>
        <w:spacing w:after="0"/>
        <w:tabs>
          <w:tab w:leader="none" w:pos="1300" w:val="left"/>
        </w:tabs>
        <w:numPr>
          <w:ilvl w:val="0"/>
          <w:numId w:val="125"/>
        </w:numPr>
        <w:rPr>
          <w:rFonts w:ascii="Times New Roman" w:cs="Times New Roman" w:eastAsia="Times New Roman" w:hAnsi="Times New Roman"/>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16" w:lineRule="exact"/>
        <w:rPr>
          <w:rFonts w:ascii="Times New Roman" w:cs="Times New Roman" w:eastAsia="Times New Roman" w:hAnsi="Times New Roman"/>
          <w:sz w:val="18"/>
          <w:szCs w:val="18"/>
          <w:color w:val="auto"/>
        </w:rPr>
      </w:pPr>
    </w:p>
    <w:p>
      <w:pPr>
        <w:jc w:val="both"/>
        <w:ind w:left="1300" w:right="180" w:hanging="442"/>
        <w:spacing w:after="0" w:line="255" w:lineRule="auto"/>
        <w:tabs>
          <w:tab w:leader="none" w:pos="1300" w:val="left"/>
        </w:tabs>
        <w:numPr>
          <w:ilvl w:val="0"/>
          <w:numId w:val="125"/>
        </w:numPr>
        <w:rPr>
          <w:rFonts w:ascii="Times New Roman" w:cs="Times New Roman" w:eastAsia="Times New Roman" w:hAnsi="Times New Roman"/>
          <w:sz w:val="18"/>
          <w:szCs w:val="18"/>
          <w:color w:val="auto"/>
        </w:rPr>
      </w:pPr>
      <w:r>
        <w:rPr>
          <w:rFonts w:ascii="Arial" w:cs="Arial" w:eastAsia="Arial" w:hAnsi="Arial"/>
          <w:sz w:val="18"/>
          <w:szCs w:val="18"/>
          <w:color w:val="auto"/>
        </w:rPr>
        <w:t>a trust (1) whose administration is subject to the primary supervision of a U.S. court and that has one or more U.S. persons who have the authority to control all substantial decisions of the trust or (2) that has made a valid election under applicable Treasury Regulations to be treated as a U.S. person.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06"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As described in the section of this prospectus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17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Subject to the discussions below on effectively connected income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17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withholding.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3" w:name="page194"/>
    <w:bookmarkEnd w:id="193"/>
    <w:p>
      <w:pPr>
        <w:spacing w:after="0" w:line="255" w:lineRule="auto"/>
        <w:rPr>
          <w:sz w:val="20"/>
          <w:szCs w:val="20"/>
          <w:color w:val="auto"/>
        </w:rPr>
      </w:pPr>
      <w:r>
        <w:rPr>
          <w:rFonts w:ascii="Arial" w:cs="Arial" w:eastAsia="Arial" w:hAnsi="Arial"/>
          <w:sz w:val="18"/>
          <w:szCs w:val="18"/>
          <w:color w:val="auto"/>
        </w:rPr>
        <w:t>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the discussion below regarding backup withholding and FATCA withholding, you generally will not be required to pay U.S.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disposition of our common stock unless:</w:t>
      </w:r>
    </w:p>
    <w:p>
      <w:pPr>
        <w:spacing w:after="0" w:line="82" w:lineRule="exact"/>
        <w:rPr>
          <w:sz w:val="20"/>
          <w:szCs w:val="20"/>
          <w:color w:val="auto"/>
        </w:rPr>
      </w:pPr>
    </w:p>
    <w:p>
      <w:pPr>
        <w:ind w:left="1300" w:right="380" w:hanging="442"/>
        <w:spacing w:after="0" w:line="275" w:lineRule="auto"/>
        <w:tabs>
          <w:tab w:leader="none" w:pos="130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37"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37" w:lineRule="exact"/>
        <w:rPr>
          <w:rFonts w:ascii="Times New Roman" w:cs="Times New Roman" w:eastAsia="Times New Roman" w:hAnsi="Times New Roman"/>
          <w:sz w:val="18"/>
          <w:szCs w:val="18"/>
          <w:color w:val="auto"/>
        </w:rPr>
      </w:pPr>
    </w:p>
    <w:p>
      <w:pPr>
        <w:jc w:val="both"/>
        <w:ind w:left="1300" w:right="40" w:hanging="442"/>
        <w:spacing w:after="0" w:line="255" w:lineRule="auto"/>
        <w:tabs>
          <w:tab w:leader="none" w:pos="130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63"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179"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06"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Our common stock beneficially owned by an individual who is not a citizen or resident of the United States (as defined for U.S. federal estate tax purposes) at the time of his or her death will generally be includable in the decedent’s gross estate for U.S. federal estate tax purposes. Such stock, therefore, may be subject to U.S. federal estate tax, unless an applicable estate tax treaty provides otherwise.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6"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64"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 Notwithstanding the foregoing, backup withholding and information reporting may apply if the applicable withholding agent has actual knowledge, or reason to know, that you are a U.S. person.</w:t>
      </w:r>
    </w:p>
    <w:p>
      <w:pPr>
        <w:spacing w:after="0" w:line="172"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06"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Provisions of the Code commonly referred to as FATCA, Treasury Regulations issued thereunder and official IRS guidance generally impose a U.S. federal withholding tax of 30% on dividends on, and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80" w:lineRule="exact"/>
        <w:rPr>
          <w:sz w:val="20"/>
          <w:szCs w:val="20"/>
          <w:color w:val="auto"/>
        </w:rPr>
      </w:pPr>
    </w:p>
    <w:p>
      <w:pPr>
        <w:ind w:right="100" w:firstLine="576"/>
        <w:spacing w:after="0" w:line="239" w:lineRule="auto"/>
        <w:rPr>
          <w:sz w:val="20"/>
          <w:szCs w:val="20"/>
          <w:color w:val="auto"/>
        </w:rPr>
      </w:pPr>
      <w:r>
        <w:rPr>
          <w:rFonts w:ascii="Arial" w:cs="Arial" w:eastAsia="Arial" w:hAnsi="Arial"/>
          <w:sz w:val="18"/>
          <w:szCs w:val="18"/>
          <w:color w:val="auto"/>
        </w:rPr>
        <w:t>The withholding obligations under FATCA generally apply to dividends on our common stock and subject to the proposed Treasury Regulations described in the next sentence, will apply to the payment of gross proceeds of a sale or other disposition of our common stock. The Treasury Department has released proposed Treasury Regulations (the preamble to which specifies that taxpayers are permitted to rely on them pending finalization) which, if finalized in their present form, would eliminate the federal withholding tax of 30% applicable to the gross proceeds of a disposition of our common stock.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w:t>
      </w:r>
    </w:p>
    <w:p>
      <w:pPr>
        <w:spacing w:after="0" w:line="286" w:lineRule="exact"/>
        <w:rPr>
          <w:sz w:val="20"/>
          <w:szCs w:val="20"/>
          <w:color w:val="auto"/>
        </w:rPr>
      </w:pPr>
    </w:p>
    <w:p>
      <w:pPr>
        <w:ind w:right="160" w:firstLine="576"/>
        <w:spacing w:after="0" w:line="252"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r>
        <w:rPr>
          <w:rFonts w:ascii="Arial" w:cs="Arial" w:eastAsia="Arial" w:hAnsi="Arial"/>
          <w:sz w:val="18"/>
          <w:szCs w:val="18"/>
          <w:color w:val="auto"/>
        </w:rPr>
        <w: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Jefferies LLC are the representatives of the underwriters.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Number of</w:t>
            </w:r>
          </w:p>
        </w:tc>
      </w:tr>
      <w:tr>
        <w:trPr>
          <w:trHeight w:val="184"/>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Underwriters</w:t>
            </w:r>
          </w:p>
        </w:tc>
        <w:tc>
          <w:tcPr>
            <w:tcW w:w="8360" w:type="dxa"/>
            <w:vAlign w:val="bottom"/>
          </w:tcPr>
          <w:p>
            <w:pPr>
              <w:spacing w:after="0"/>
              <w:rPr>
                <w:sz w:val="15"/>
                <w:szCs w:val="15"/>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r>
      <w:tr>
        <w:trPr>
          <w:trHeight w:val="203"/>
        </w:trPr>
        <w:tc>
          <w:tcPr>
            <w:tcW w:w="9260" w:type="dxa"/>
            <w:vAlign w:val="bottom"/>
            <w:tcBorders>
              <w:top w:val="single" w:sz="8" w:color="CFF0FC"/>
            </w:tcBorders>
            <w:gridSpan w:val="2"/>
            <w:shd w:val="clear" w:color="auto" w:fill="CFF0FC"/>
          </w:tcPr>
          <w:p>
            <w:pPr>
              <w:spacing w:after="0" w:line="203" w:lineRule="exact"/>
              <w:rPr>
                <w:sz w:val="20"/>
                <w:szCs w:val="20"/>
                <w:color w:val="auto"/>
              </w:rPr>
            </w:pPr>
            <w:r>
              <w:rPr>
                <w:rFonts w:ascii="Arial" w:cs="Arial" w:eastAsia="Arial" w:hAnsi="Arial"/>
                <w:sz w:val="18"/>
                <w:szCs w:val="18"/>
                <w:color w:val="auto"/>
              </w:rPr>
              <w:t>Goldman Sachs &amp; Co. LLC</w:t>
            </w:r>
          </w:p>
        </w:tc>
        <w:tc>
          <w:tcPr>
            <w:tcW w:w="1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Stifel, Nicolaus &amp; Company, Incorporated</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JMP Securities LLC</w:t>
            </w:r>
          </w:p>
        </w:tc>
        <w:tc>
          <w:tcPr>
            <w:tcW w:w="18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0"/>
        </w:trPr>
        <w:tc>
          <w:tcPr>
            <w:tcW w:w="92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00" w:firstLine="576"/>
        <w:spacing w:after="0" w:line="27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The underwriters have an option to buy up to an additional 600,000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6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an additional 600,000 shares from us.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15"/>
                <w:szCs w:val="15"/>
                <w:color w:val="auto"/>
              </w:rPr>
            </w:pPr>
          </w:p>
        </w:tc>
        <w:tc>
          <w:tcPr>
            <w:tcW w:w="1840" w:type="dxa"/>
            <w:vAlign w:val="bottom"/>
            <w:gridSpan w:val="2"/>
          </w:tcPr>
          <w:p>
            <w:pPr>
              <w:ind w:left="420"/>
              <w:spacing w:after="0"/>
              <w:rPr>
                <w:sz w:val="20"/>
                <w:szCs w:val="20"/>
                <w:color w:val="auto"/>
              </w:rPr>
            </w:pPr>
            <w:r>
              <w:rPr>
                <w:rFonts w:ascii="Arial" w:cs="Arial" w:eastAsia="Arial" w:hAnsi="Arial"/>
                <w:sz w:val="14"/>
                <w:szCs w:val="14"/>
                <w:b w:val="1"/>
                <w:bCs w:val="1"/>
                <w:color w:val="auto"/>
              </w:rPr>
              <w:t>No Exercise</w:t>
            </w:r>
          </w:p>
        </w:tc>
        <w:tc>
          <w:tcPr>
            <w:tcW w:w="1680" w:type="dxa"/>
            <w:vAlign w:val="bottom"/>
          </w:tcPr>
          <w:p>
            <w:pPr>
              <w:jc w:val="right"/>
              <w:ind w:right="316"/>
              <w:spacing w:after="0"/>
              <w:rPr>
                <w:sz w:val="20"/>
                <w:szCs w:val="20"/>
                <w:color w:val="auto"/>
              </w:rPr>
            </w:pPr>
            <w:r>
              <w:rPr>
                <w:rFonts w:ascii="Arial" w:cs="Arial" w:eastAsia="Arial" w:hAnsi="Arial"/>
                <w:sz w:val="14"/>
                <w:szCs w:val="14"/>
                <w:b w:val="1"/>
                <w:bCs w:val="1"/>
                <w:color w:val="auto"/>
              </w:rPr>
              <w:t>Full Exercise</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w:t>
            </w:r>
          </w:p>
        </w:tc>
        <w:tc>
          <w:tcPr>
            <w:tcW w:w="1680" w:type="dxa"/>
            <w:vAlign w:val="bottom"/>
            <w:tcBorders>
              <w:top w:val="single" w:sz="8" w:color="auto"/>
            </w:tcBorders>
            <w:shd w:val="clear" w:color="auto" w:fill="CFF0FC"/>
          </w:tcPr>
          <w:p>
            <w:pPr>
              <w:jc w:val="right"/>
              <w:ind w:right="1476"/>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ind w:right="1496"/>
              <w:spacing w:after="0"/>
              <w:rPr>
                <w:sz w:val="20"/>
                <w:szCs w:val="20"/>
                <w:color w:val="auto"/>
              </w:rPr>
            </w:pPr>
            <w:r>
              <w:rPr>
                <w:rFonts w:ascii="Arial" w:cs="Arial" w:eastAsia="Arial" w:hAnsi="Arial"/>
                <w:sz w:val="18"/>
                <w:szCs w:val="18"/>
                <w:color w:val="auto"/>
                <w:w w:val="79"/>
              </w:rPr>
              <w:t>$</w:t>
            </w: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jc w:val="right"/>
              <w:ind w:right="1476"/>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680" w:type="dxa"/>
            <w:vAlign w:val="bottom"/>
          </w:tcPr>
          <w:p>
            <w:pPr>
              <w:jc w:val="right"/>
              <w:ind w:right="1496"/>
              <w:spacing w:after="0"/>
              <w:rPr>
                <w:sz w:val="20"/>
                <w:szCs w:val="20"/>
                <w:color w:val="auto"/>
              </w:rPr>
            </w:pPr>
            <w:r>
              <w:rPr>
                <w:rFonts w:ascii="Arial" w:cs="Arial" w:eastAsia="Arial" w:hAnsi="Arial"/>
                <w:sz w:val="18"/>
                <w:szCs w:val="18"/>
                <w:color w:val="auto"/>
                <w:w w:val="79"/>
              </w:rPr>
              <w:t>$</w:t>
            </w:r>
          </w:p>
        </w:tc>
      </w:tr>
    </w:tbl>
    <w:p>
      <w:pPr>
        <w:spacing w:after="0" w:line="1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w:t>
      </w:r>
    </w:p>
    <w:p>
      <w:pPr>
        <w:spacing w:after="0" w:line="18"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6"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In connection with our initial public offering, we and our officers, directors, and holders of substantially all of our common stock and securities convertible into or exchangeable for our common stock agreed with the underwriters, subject to certain exceptions, not to dispose of or hedge any of our or their common stock or securities convertible into or exchangeable for shares of common stock during the period from the date of the prospectus related to our initial public offering continuing through the date 180 days after the date of the prospectus related to our initial public offering, except with the prior written consent of Goldman Sachs &amp; Co. LLC and Jefferies LLC. In addition, we and our officers and directors and certain of our stockholders have agreed or will agree with the underwriters, subject to certain exceptions, not to dispose of or hedge any of our or their common stock or securities convertible into or exchangeable for shares of common stock during the period from the date of this prospectus continuing through the date 90 days after the date of this prospectus, except with the prior written consent of Goldman Sachs &amp; Co. LLC and Jefferies LLC. This agreement does not apply to any existing employee benefit plans. See the section of this prospectus titled “Shares Eligible for Future Sale” for a discussion of certain transfer restrictions.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common stock is listed on the Nasdaq Global Select Market under the symbol "ATHA".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6" w:name="page197"/>
    <w:bookmarkEnd w:id="196"/>
    <w:p>
      <w:pPr>
        <w:ind w:firstLine="576"/>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7"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74" w:lineRule="exact"/>
        <w:rPr>
          <w:sz w:val="20"/>
          <w:szCs w:val="20"/>
          <w:color w:val="auto"/>
        </w:rPr>
      </w:pPr>
    </w:p>
    <w:p>
      <w:pPr>
        <w:jc w:val="both"/>
        <w:ind w:right="860" w:firstLine="576"/>
        <w:spacing w:after="0" w:line="306" w:lineRule="auto"/>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 $516,000. We have agreed to reimburse the underwriters for certain of their expenses in an amount up to $35,000.</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 -financial activities and services. Certain of the underwriters and their respective affiliates may in the future provide, a variety of these services to the issuer and to persons and entities with relationships with the issuer, for which they will receive customary fees and expenses. For example, certain of the underwriters also served as underwriters in our initial public offering in September 2020.</w:t>
      </w:r>
    </w:p>
    <w:p>
      <w:pPr>
        <w:spacing w:after="0" w:line="17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97" w:name="page198"/>
    <w:bookmarkEnd w:id="197"/>
    <w:p>
      <w:pPr>
        <w:ind w:right="340"/>
        <w:spacing w:after="0" w:line="276" w:lineRule="auto"/>
        <w:rPr>
          <w:sz w:val="20"/>
          <w:szCs w:val="20"/>
          <w:color w:val="auto"/>
        </w:rPr>
      </w:pPr>
      <w:r>
        <w:rPr>
          <w:rFonts w:ascii="Arial" w:cs="Arial" w:eastAsia="Arial" w:hAnsi="Arial"/>
          <w:sz w:val="18"/>
          <w:szCs w:val="18"/>
          <w:color w:val="auto"/>
        </w:rPr>
        <w:t>respect of such assets, securities or instruments and may at any time hold, or recommend to clients that they should acquire, long and/or short positions in such assets, securities and instruments.</w:t>
      </w:r>
    </w:p>
    <w:p>
      <w:pPr>
        <w:spacing w:after="0" w:line="145" w:lineRule="exact"/>
        <w:rPr>
          <w:sz w:val="20"/>
          <w:szCs w:val="20"/>
          <w:color w:val="auto"/>
        </w:rPr>
      </w:pPr>
    </w:p>
    <w:p>
      <w:pPr>
        <w:ind w:right="160" w:firstLine="576"/>
        <w:spacing w:after="0" w:line="263" w:lineRule="auto"/>
        <w:rPr>
          <w:sz w:val="20"/>
          <w:szCs w:val="20"/>
          <w:color w:val="auto"/>
        </w:rPr>
      </w:pPr>
      <w:r>
        <w:rPr>
          <w:rFonts w:ascii="Arial" w:cs="Arial" w:eastAsia="Arial" w:hAnsi="Arial"/>
          <w:sz w:val="17"/>
          <w:szCs w:val="17"/>
          <w:color w:val="auto"/>
        </w:rPr>
        <w:t>In May 2020, we issued a warrant to JMP Securities LLC to purchase up to 127,481 shares of our Series B convertible preferred stock. Immediately prior to the closing of our initial public offering, the warrant automatically converted into a warrant to purchase an aggregate of 127,481 shares of our common stock and then was automatically net exercised into 59,091 shares of our common stock. The shares of common stock issued on exercise of the warrant are subject to the 180-day lock-up restrictions related to our initial public offering pursuant to FINRA Rule 5110(g) and a 180-day lock-up agreement with the underwriters in connection with our initial public offering.</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06"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64" w:lineRule="exact"/>
        <w:rPr>
          <w:sz w:val="20"/>
          <w:szCs w:val="20"/>
          <w:color w:val="auto"/>
        </w:rPr>
      </w:pPr>
    </w:p>
    <w:p>
      <w:pPr>
        <w:ind w:left="1300" w:hanging="442"/>
        <w:spacing w:after="0"/>
        <w:tabs>
          <w:tab w:leader="none" w:pos="1300" w:val="left"/>
        </w:tabs>
        <w:numPr>
          <w:ilvl w:val="0"/>
          <w:numId w:val="127"/>
        </w:numPr>
        <w:rPr>
          <w:rFonts w:ascii="Times New Roman" w:cs="Times New Roman" w:eastAsia="Times New Roman" w:hAnsi="Times New Roman"/>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16" w:lineRule="exact"/>
        <w:rPr>
          <w:rFonts w:ascii="Times New Roman" w:cs="Times New Roman" w:eastAsia="Times New Roman" w:hAnsi="Times New Roman"/>
          <w:sz w:val="18"/>
          <w:szCs w:val="18"/>
          <w:color w:val="auto"/>
        </w:rPr>
      </w:pPr>
    </w:p>
    <w:p>
      <w:pPr>
        <w:ind w:left="1300" w:right="660" w:hanging="442"/>
        <w:spacing w:after="0" w:line="275" w:lineRule="auto"/>
        <w:tabs>
          <w:tab w:leader="none" w:pos="1300" w:val="left"/>
        </w:tabs>
        <w:numPr>
          <w:ilvl w:val="0"/>
          <w:numId w:val="127"/>
        </w:numPr>
        <w:rPr>
          <w:rFonts w:ascii="Times New Roman" w:cs="Times New Roman" w:eastAsia="Times New Roman" w:hAnsi="Times New Roman"/>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representatives for any such offer; or</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7"/>
        </w:numPr>
        <w:rPr>
          <w:rFonts w:ascii="Times New Roman" w:cs="Times New Roman" w:eastAsia="Times New Roman" w:hAnsi="Times New Roman"/>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4"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45" w:lineRule="exact"/>
        <w:rPr>
          <w:sz w:val="20"/>
          <w:szCs w:val="20"/>
          <w:color w:val="auto"/>
        </w:rPr>
      </w:pPr>
    </w:p>
    <w:p>
      <w:pPr>
        <w:ind w:right="80" w:firstLine="569"/>
        <w:spacing w:after="0" w:line="248"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06" w:lineRule="exact"/>
        <w:rPr>
          <w:sz w:val="20"/>
          <w:szCs w:val="20"/>
          <w:color w:val="auto"/>
        </w:rPr>
      </w:pPr>
    </w:p>
    <w:p>
      <w:pPr>
        <w:jc w:val="both"/>
        <w:ind w:right="60" w:firstLine="864"/>
        <w:spacing w:after="0" w:line="255"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56" w:lineRule="exact"/>
        <w:rPr>
          <w:sz w:val="20"/>
          <w:szCs w:val="20"/>
          <w:color w:val="auto"/>
        </w:rPr>
      </w:pPr>
    </w:p>
    <w:p>
      <w:pPr>
        <w:ind w:left="1300" w:hanging="442"/>
        <w:spacing w:after="0"/>
        <w:tabs>
          <w:tab w:leader="none" w:pos="1300" w:val="left"/>
        </w:tabs>
        <w:numPr>
          <w:ilvl w:val="0"/>
          <w:numId w:val="128"/>
        </w:numPr>
        <w:rPr>
          <w:rFonts w:ascii="Times New Roman" w:cs="Times New Roman" w:eastAsia="Times New Roman" w:hAnsi="Times New Roman"/>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16"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128"/>
        </w:numPr>
        <w:rPr>
          <w:rFonts w:ascii="Times New Roman" w:cs="Times New Roman" w:eastAsia="Times New Roman" w:hAnsi="Times New Roman"/>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8"/>
        </w:numPr>
        <w:rPr>
          <w:rFonts w:ascii="Times New Roman" w:cs="Times New Roman" w:eastAsia="Times New Roman" w:hAnsi="Times New Roman"/>
          <w:sz w:val="18"/>
          <w:szCs w:val="18"/>
          <w:color w:val="auto"/>
        </w:rPr>
      </w:pPr>
      <w:r>
        <w:rPr>
          <w:rFonts w:ascii="Arial" w:cs="Arial" w:eastAsia="Arial" w:hAnsi="Arial"/>
          <w:sz w:val="18"/>
          <w:szCs w:val="18"/>
          <w:color w:val="auto"/>
        </w:rPr>
        <w:t>in any other circumstances falling within Section 86 of the FSMA,</w:t>
      </w:r>
    </w:p>
    <w:p>
      <w:pPr>
        <w:spacing w:after="0" w:line="116" w:lineRule="exact"/>
        <w:rPr>
          <w:rFonts w:ascii="Times New Roman" w:cs="Times New Roman" w:eastAsia="Times New Roman" w:hAnsi="Times New Roman"/>
          <w:sz w:val="18"/>
          <w:szCs w:val="18"/>
          <w:color w:val="auto"/>
        </w:rPr>
      </w:pPr>
    </w:p>
    <w:p>
      <w:pPr>
        <w:jc w:val="both"/>
        <w:ind w:left="1300" w:hanging="442"/>
        <w:spacing w:after="0" w:line="255" w:lineRule="auto"/>
        <w:tabs>
          <w:tab w:leader="none" w:pos="1300" w:val="left"/>
        </w:tabs>
        <w:numPr>
          <w:ilvl w:val="0"/>
          <w:numId w:val="128"/>
        </w:numPr>
        <w:rPr>
          <w:rFonts w:ascii="Times New Roman" w:cs="Times New Roman" w:eastAsia="Times New Roman" w:hAnsi="Times New Roman"/>
          <w:sz w:val="18"/>
          <w:szCs w:val="18"/>
          <w:color w:val="auto"/>
        </w:rPr>
      </w:pPr>
      <w:r>
        <w:rPr>
          <w:rFonts w:ascii="Arial" w:cs="Arial" w:eastAsia="Arial" w:hAnsi="Arial"/>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98" w:name="page199"/>
    <w:bookmarkEnd w:id="198"/>
    <w:p>
      <w:pPr>
        <w:ind w:left="1300" w:right="40"/>
        <w:spacing w:after="0" w:line="248" w:lineRule="auto"/>
        <w:rPr>
          <w:sz w:val="20"/>
          <w:szCs w:val="20"/>
          <w:color w:val="auto"/>
        </w:rPr>
      </w:pPr>
      <w:r>
        <w:rPr>
          <w:rFonts w:ascii="Arial" w:cs="Arial" w:eastAsia="Arial" w:hAnsi="Arial"/>
          <w:sz w:val="18"/>
          <w:szCs w:val="18"/>
          <w:color w:val="auto"/>
        </w:rPr>
        <w:t>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06" w:lineRule="exact"/>
        <w:rPr>
          <w:sz w:val="20"/>
          <w:szCs w:val="20"/>
          <w:color w:val="auto"/>
        </w:rPr>
      </w:pPr>
    </w:p>
    <w:p>
      <w:pPr>
        <w:ind w:firstLine="864"/>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2" w:lineRule="exact"/>
        <w:rPr>
          <w:sz w:val="20"/>
          <w:szCs w:val="20"/>
          <w:color w:val="auto"/>
        </w:rPr>
      </w:pPr>
    </w:p>
    <w:p>
      <w:pPr>
        <w:ind w:right="180" w:firstLine="864"/>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2" w:lineRule="exact"/>
        <w:rPr>
          <w:sz w:val="20"/>
          <w:szCs w:val="20"/>
          <w:color w:val="auto"/>
        </w:rPr>
      </w:pPr>
    </w:p>
    <w:p>
      <w:pPr>
        <w:ind w:right="320" w:firstLine="864"/>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06"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(1) in circumstances which do not constitute an offer to the public within the meaning of the Companies (Winding Up and Miscellaneous Provisions) Ordinance (Cap. 32 of the Laws of Hong Kong), or the Companies Ordinance, or which do not constitute an invitation to the public within the meaning of the Securities and Futures Ordinance (Cap. 571 of the Laws of Hong Kong), or the Securities and Futures Ordinance, or (2) to "professional investors" as defined in the Securities and Futures Ordinance and any rules made thereunder, or (3) in other circumstances which do not result in the document being a "prospectus" as defined in the Companies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06"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(as defined under Section 4A of the Securities and Futures Act, Chapter 289 of Singapore, or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99" w:name="page200"/>
    <w:bookmarkEnd w:id="199"/>
    <w:p>
      <w:pPr>
        <w:ind w:right="40" w:firstLine="576"/>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0"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06"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06"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offering document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0"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0" w:name="page201"/>
    <w:bookmarkEnd w:id="200"/>
    <w:p>
      <w:pPr>
        <w:ind w:right="140" w:firstLine="576"/>
        <w:spacing w:after="0" w:line="24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06"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This offering document relates to an Exempt Offer in accordance with the Offered Securities Rules of the Dubai Financial Services Authority, or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06" w:lineRule="exact"/>
        <w:rPr>
          <w:sz w:val="20"/>
          <w:szCs w:val="20"/>
          <w:color w:val="auto"/>
        </w:rPr>
      </w:pPr>
    </w:p>
    <w:p>
      <w:pPr>
        <w:jc w:val="both"/>
        <w:ind w:right="40" w:firstLine="576"/>
        <w:spacing w:after="0" w:line="257" w:lineRule="auto"/>
        <w:rPr>
          <w:sz w:val="20"/>
          <w:szCs w:val="20"/>
          <w:color w:val="auto"/>
        </w:rPr>
      </w:pPr>
      <w:r>
        <w:rPr>
          <w:rFonts w:ascii="Arial" w:cs="Arial" w:eastAsia="Arial" w:hAnsi="Arial"/>
          <w:sz w:val="17"/>
          <w:szCs w:val="17"/>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licensable, with FINMA.</w:t>
      </w:r>
    </w:p>
    <w:p>
      <w:pPr>
        <w:spacing w:after="0" w:line="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validity of the shares of the common stock offered hereby will be passed upon for us by Wilson Sonsini Goodrich &amp; Rosati, Professional Corporation, Seattle, Washington. Cooley, LLP, Seattle Washington, is acting as counsel for the underwriters. Investment funds associated with Wilson Sonsini Goodrich &amp; Rosati, Professional Corporation, hold shares of our common stock and preferred stock convertible into our common stock representing an aggregate of 13,706 shares of our common stock, which is less than 1% of our outstanding shares of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as of December 31, 2018 and December 31, 2019 and for each of the two years in the period ended December 31, 2019, as set forth in their report. We have included our financial statements in the prospectus and elsewhere in the registration statement in reliance on Ernst &amp; Young LLP’s report, given on their authority as experts in accounting and auditing.</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1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common stock, we refer you to the registration statement, including the exhibits.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79"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at www.sec.gov that contains reports, proxy statements and other information about issuers, like us, that file electronically with the SEC.</w:t>
      </w:r>
    </w:p>
    <w:p>
      <w:pPr>
        <w:spacing w:after="0" w:line="170"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We are subject to the information and reporting requirements of the Exchange Act and, in accordance with this law, file periodic reports, proxy statements and other information with the SEC. These periodic reports, proxy statements and other information are available for inspection and copying at the SEC’s public reference facilities and the website of the SEC referred to above. We also maintain a website at www.athira.com, at which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202" w:name="page203"/>
    <w:bookmarkEnd w:id="202"/>
    <w:p>
      <w:pPr>
        <w:jc w:val="center"/>
        <w:ind w:left="1200"/>
        <w:spacing w:after="0"/>
        <w:rPr>
          <w:sz w:val="20"/>
          <w:szCs w:val="20"/>
          <w:color w:val="auto"/>
        </w:rPr>
      </w:pPr>
      <w:r>
        <w:rPr>
          <w:rFonts w:ascii="Arial" w:cs="Arial" w:eastAsia="Arial" w:hAnsi="Arial"/>
          <w:sz w:val="18"/>
          <w:szCs w:val="18"/>
          <w:b w:val="1"/>
          <w:bCs w:val="1"/>
          <w:color w:val="auto"/>
        </w:rPr>
        <w:t>ATHIRA PHARMA, INC.</w:t>
      </w:r>
    </w:p>
    <w:p>
      <w:pPr>
        <w:spacing w:after="0" w:line="21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INDEX TO FINANCIAL STATEMENTS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33" w:lineRule="exact"/>
        <w:rPr>
          <w:sz w:val="20"/>
          <w:szCs w:val="20"/>
          <w:color w:val="auto"/>
        </w:rPr>
      </w:pPr>
    </w:p>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Statements of Operations and Comprehensive Loss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Statements of Convertible Preferred Stock and Stockholders’ Deficit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Statements of Cash Flows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Notes to Financial Statements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Unaudited Interim Condensed Consolidated Financial Statements:</w:t>
      </w:r>
    </w:p>
    <w:p>
      <w:pPr>
        <w:spacing w:after="0" w:line="31" w:lineRule="exact"/>
        <w:rPr>
          <w:sz w:val="20"/>
          <w:szCs w:val="20"/>
          <w:color w:val="auto"/>
        </w:rPr>
      </w:pPr>
    </w:p>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Condensed Consolidated 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Condensed Consolidated Statements of Operations and Comprehensive Loss</w:t>
        </w:r>
      </w:hyperlink>
    </w:p>
    <w:p>
      <w:pPr>
        <w:spacing w:after="0" w:line="9" w:lineRule="exact"/>
        <w:rPr>
          <w:sz w:val="20"/>
          <w:szCs w:val="20"/>
          <w:color w:val="auto"/>
        </w:rPr>
      </w:pPr>
    </w:p>
    <w:p>
      <w:pPr>
        <w:ind w:right="2560"/>
        <w:spacing w:after="0" w:line="250" w:lineRule="auto"/>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Condensed Consolidated Statements of Convertible Preferred Stock and Stockholders’ Deficit</w:t>
        </w:r>
      </w:hyperlink>
      <w:r>
        <w:rPr>
          <w:rFonts w:ascii="Arial" w:cs="Arial" w:eastAsia="Arial" w:hAnsi="Arial"/>
          <w:sz w:val="18"/>
          <w:szCs w:val="18"/>
          <w:u w:val="single" w:color="auto"/>
          <w:color w:val="0000EE"/>
        </w:rPr>
        <w:t xml:space="preserve"> </w:t>
      </w:r>
      <w:hyperlink w:anchor="page233">
        <w:r>
          <w:rPr>
            <w:rFonts w:ascii="Arial" w:cs="Arial" w:eastAsia="Arial" w:hAnsi="Arial"/>
            <w:sz w:val="18"/>
            <w:szCs w:val="18"/>
            <w:u w:val="single" w:color="auto"/>
            <w:color w:val="0000EE"/>
          </w:rPr>
          <w:t>Condensed Consolidated Statements of Cash Flows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Notes to Unaudited Condensed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2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F-2</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F-3</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F-4</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F-5</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F-6</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F-7</w:t>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F-27</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F-28</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F-29</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F-31</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F-32</w:t>
      </w:r>
    </w:p>
    <w:p>
      <w:pPr>
        <w:sectPr>
          <w:pgSz w:w="11900" w:h="16838" w:orient="portrait"/>
          <w:cols w:equalWidth="0" w:num="2">
            <w:col w:w="10040" w:space="720"/>
            <w:col w:w="480"/>
          </w:cols>
          <w:pgMar w:left="320" w:top="574" w:right="339" w:bottom="1440" w:gutter="0" w:footer="0" w:header="0"/>
        </w:sectPr>
      </w:pPr>
    </w:p>
    <w:bookmarkStart w:id="203" w:name="page204"/>
    <w:bookmarkEnd w:id="203"/>
    <w:p>
      <w:pPr>
        <w:ind w:right="2580" w:firstLine="2572"/>
        <w:spacing w:after="0" w:line="44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Athira Pharma, Inc.:</w:t>
      </w: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3" w:lineRule="exact"/>
        <w:rPr>
          <w:sz w:val="20"/>
          <w:szCs w:val="20"/>
          <w:color w:val="auto"/>
        </w:rPr>
      </w:pPr>
    </w:p>
    <w:p>
      <w:pPr>
        <w:ind w:firstLine="864"/>
        <w:spacing w:after="0" w:line="245" w:lineRule="auto"/>
        <w:rPr>
          <w:sz w:val="20"/>
          <w:szCs w:val="20"/>
          <w:color w:val="auto"/>
        </w:rPr>
      </w:pPr>
      <w:r>
        <w:rPr>
          <w:rFonts w:ascii="Arial" w:cs="Arial" w:eastAsia="Arial" w:hAnsi="Arial"/>
          <w:sz w:val="18"/>
          <w:szCs w:val="18"/>
          <w:color w:val="auto"/>
        </w:rPr>
        <w:t>We have audited the accompanying balance sheets of Athira Pharma, Inc. (the “Company”) as of December 31, 2018 and 2019, the related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7" w:lineRule="exact"/>
        <w:rPr>
          <w:sz w:val="20"/>
          <w:szCs w:val="20"/>
          <w:color w:val="auto"/>
        </w:rPr>
      </w:pPr>
    </w:p>
    <w:p>
      <w:pPr>
        <w:ind w:firstLine="864"/>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20" w:firstLine="864"/>
        <w:spacing w:after="0" w:line="24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2" w:lineRule="exact"/>
        <w:rPr>
          <w:sz w:val="20"/>
          <w:szCs w:val="20"/>
          <w:color w:val="auto"/>
        </w:rPr>
      </w:pPr>
    </w:p>
    <w:p>
      <w:pPr>
        <w:ind w:right="180" w:firstLine="864"/>
        <w:spacing w:after="0" w:line="24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July 24, 2020</w:t>
      </w:r>
    </w:p>
    <w:p>
      <w:pPr>
        <w:spacing w:after="0" w:line="234" w:lineRule="auto"/>
        <w:rPr>
          <w:sz w:val="20"/>
          <w:szCs w:val="20"/>
          <w:color w:val="auto"/>
        </w:rPr>
      </w:pPr>
      <w:r>
        <w:rPr>
          <w:rFonts w:ascii="Arial" w:cs="Arial" w:eastAsia="Arial" w:hAnsi="Arial"/>
          <w:sz w:val="18"/>
          <w:szCs w:val="18"/>
          <w:color w:val="auto"/>
        </w:rPr>
        <w:t>except for note 17(a), 17(g), 17(h) and 17(i), as to which the date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ATHIRA PHARMA, INC</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unsecured related party note receivable</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Unsecured related party note receivable</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4,933</w:t>
            </w:r>
          </w:p>
        </w:tc>
        <w:tc>
          <w:tcPr>
            <w:tcW w:w="2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6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Derivative liability</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6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2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00" w:type="dxa"/>
            <w:vAlign w:val="bottom"/>
          </w:tcPr>
          <w:p>
            <w:pPr>
              <w:spacing w:after="0" w:line="193" w:lineRule="exact"/>
              <w:rPr>
                <w:sz w:val="20"/>
                <w:szCs w:val="20"/>
                <w:color w:val="auto"/>
              </w:rPr>
            </w:pPr>
            <w:r>
              <w:rPr>
                <w:rFonts w:ascii="Arial" w:cs="Arial" w:eastAsia="Arial" w:hAnsi="Arial"/>
                <w:sz w:val="18"/>
                <w:szCs w:val="18"/>
                <w:color w:val="auto"/>
              </w:rPr>
              <w:t>Convertible preferred stock, $0.0001 par value per share;</w:t>
            </w: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2,797,464 shares authorized; 2,617,386 issued and</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outstanding at December 31, 2018 and 2019; aggregate</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160"/>
              <w:spacing w:after="0"/>
              <w:rPr>
                <w:sz w:val="20"/>
                <w:szCs w:val="20"/>
                <w:color w:val="auto"/>
              </w:rPr>
            </w:pPr>
            <w:r>
              <w:rPr>
                <w:rFonts w:ascii="Arial" w:cs="Arial" w:eastAsia="Arial" w:hAnsi="Arial"/>
                <w:sz w:val="18"/>
                <w:szCs w:val="18"/>
                <w:color w:val="auto"/>
              </w:rPr>
              <w:t>liquidation preference of $16,288 at December 31, 2018 and 2019</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00" w:type="dxa"/>
            <w:vAlign w:val="bottom"/>
          </w:tcPr>
          <w:p>
            <w:pPr>
              <w:ind w:left="260"/>
              <w:spacing w:after="0" w:line="193" w:lineRule="exact"/>
              <w:rPr>
                <w:sz w:val="20"/>
                <w:szCs w:val="20"/>
                <w:color w:val="auto"/>
              </w:rPr>
            </w:pPr>
            <w:r>
              <w:rPr>
                <w:rFonts w:ascii="Arial" w:cs="Arial" w:eastAsia="Arial" w:hAnsi="Arial"/>
                <w:sz w:val="18"/>
                <w:szCs w:val="18"/>
                <w:color w:val="auto"/>
              </w:rPr>
              <w:t>Common stock, $0.0001 par value per share, 10,088,017 shares</w:t>
            </w: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authorized; 3,559,484 and 3,641,449 shares issued and</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400"/>
              <w:spacing w:after="0"/>
              <w:rPr>
                <w:sz w:val="20"/>
                <w:szCs w:val="20"/>
                <w:color w:val="auto"/>
              </w:rPr>
            </w:pPr>
            <w:r>
              <w:rPr>
                <w:rFonts w:ascii="Arial" w:cs="Arial" w:eastAsia="Arial" w:hAnsi="Arial"/>
                <w:sz w:val="18"/>
                <w:szCs w:val="18"/>
                <w:color w:val="auto"/>
              </w:rPr>
              <w:t>outstanding at December 31, 2018 and 2019, respectively</w:t>
            </w:r>
          </w:p>
        </w:tc>
        <w:tc>
          <w:tcPr>
            <w:tcW w:w="9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9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(15,926)</w:t>
            </w:r>
          </w:p>
        </w:tc>
        <w:tc>
          <w:tcPr>
            <w:tcW w:w="5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(21,087)</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deficit</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(14,887)</w:t>
            </w:r>
          </w:p>
        </w:tc>
        <w:tc>
          <w:tcPr>
            <w:tcW w:w="26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700" w:type="dxa"/>
            <w:vAlign w:val="bottom"/>
          </w:tcPr>
          <w:p>
            <w:pPr>
              <w:ind w:left="500"/>
              <w:spacing w:after="0" w:line="187" w:lineRule="exact"/>
              <w:rPr>
                <w:sz w:val="20"/>
                <w:szCs w:val="20"/>
                <w:color w:val="auto"/>
              </w:rPr>
            </w:pPr>
            <w:r>
              <w:rPr>
                <w:rFonts w:ascii="Arial" w:cs="Arial" w:eastAsia="Arial" w:hAnsi="Arial"/>
                <w:sz w:val="18"/>
                <w:szCs w:val="18"/>
                <w:color w:val="auto"/>
              </w:rPr>
              <w:t>Total liabilities, convertible preferred stock and stockholders'</w:t>
            </w: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660"/>
              <w:spacing w:after="0"/>
              <w:rPr>
                <w:sz w:val="20"/>
                <w:szCs w:val="20"/>
                <w:color w:val="auto"/>
              </w:rPr>
            </w:pPr>
            <w:r>
              <w:rPr>
                <w:rFonts w:ascii="Arial" w:cs="Arial" w:eastAsia="Arial" w:hAnsi="Arial"/>
                <w:sz w:val="18"/>
                <w:szCs w:val="18"/>
                <w:color w:val="auto"/>
              </w:rPr>
              <w:t>deficit</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3,589</w:t>
            </w:r>
          </w:p>
        </w:tc>
        <w:tc>
          <w:tcPr>
            <w:tcW w:w="180" w:type="dxa"/>
            <w:vAlign w:val="bottom"/>
          </w:tcPr>
          <w:p>
            <w:pPr>
              <w:spacing w:after="0"/>
              <w:rPr>
                <w:sz w:val="18"/>
                <w:szCs w:val="18"/>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net loss per share</w:t>
            </w: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3,469,153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3,566,849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basic and diluted (unaudited)</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pro forma net loss per</w:t>
            </w:r>
          </w:p>
        </w:tc>
        <w:tc>
          <w:tcPr>
            <w:tcW w:w="360" w:type="dxa"/>
            <w:vAlign w:val="bottom"/>
            <w:tcBorders>
              <w:top w:val="single" w:sz="8" w:color="CFF0FC"/>
            </w:tcBorders>
            <w:shd w:val="clear" w:color="auto" w:fill="CFF0FC"/>
          </w:tcPr>
          <w:p>
            <w:pPr>
              <w:spacing w:after="0"/>
              <w:rPr>
                <w:sz w:val="15"/>
                <w:szCs w:val="15"/>
                <w:color w:val="auto"/>
              </w:rPr>
            </w:pPr>
          </w:p>
        </w:tc>
        <w:tc>
          <w:tcPr>
            <w:tcW w:w="1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share attributable to common stockholders, basic and diluted</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(unaudited)</w:t>
            </w: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6,186,544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ectPr>
          <w:pgSz w:w="11900" w:h="16838" w:orient="portrait"/>
          <w:cols w:equalWidth="0" w:num="1">
            <w:col w:w="11220"/>
          </w:cols>
          <w:pgMar w:left="320" w:top="574" w:right="35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940" w:type="dxa"/>
            <w:vAlign w:val="bottom"/>
            <w:gridSpan w:val="5"/>
          </w:tcPr>
          <w:p>
            <w:pPr>
              <w:jc w:val="right"/>
              <w:ind w:right="49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194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2017</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0"/>
        </w:trPr>
        <w:tc>
          <w:tcPr>
            <w:tcW w:w="3680" w:type="dxa"/>
            <w:vAlign w:val="bottom"/>
            <w:vMerge w:val="continue"/>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2,607,298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16,951</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 exercise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convertible preferred stock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for cash</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of $1.25 per share</w:t>
            </w:r>
          </w:p>
        </w:tc>
        <w:tc>
          <w:tcPr>
            <w:tcW w:w="940" w:type="dxa"/>
            <w:vAlign w:val="bottom"/>
          </w:tcPr>
          <w:p>
            <w:pPr>
              <w:jc w:val="right"/>
              <w:spacing w:after="0"/>
              <w:rPr>
                <w:sz w:val="20"/>
                <w:szCs w:val="20"/>
                <w:color w:val="auto"/>
              </w:rPr>
            </w:pPr>
            <w:r>
              <w:rPr>
                <w:rFonts w:ascii="Arial" w:cs="Arial" w:eastAsia="Arial" w:hAnsi="Arial"/>
                <w:sz w:val="18"/>
                <w:szCs w:val="18"/>
                <w:color w:val="auto"/>
              </w:rPr>
              <w:t>10,088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restricted stock awards for</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advisory</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services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3680" w:type="dxa"/>
            <w:vAlign w:val="bottom"/>
          </w:tcPr>
          <w:p>
            <w:pPr>
              <w:spacing w:after="0" w:line="201" w:lineRule="exact"/>
              <w:rPr>
                <w:sz w:val="20"/>
                <w:szCs w:val="20"/>
                <w:color w:val="auto"/>
              </w:rPr>
            </w:pPr>
            <w:r>
              <w:rPr>
                <w:rFonts w:ascii="Arial" w:cs="Arial" w:eastAsia="Arial" w:hAnsi="Arial"/>
                <w:sz w:val="18"/>
                <w:szCs w:val="18"/>
                <w:b w:val="1"/>
                <w:bCs w:val="1"/>
                <w:color w:val="auto"/>
              </w:rPr>
              <w:t>Balance as of December 31, 2018</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 exercise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-2922270</wp:posOffset>
            </wp:positionV>
            <wp:extent cx="7132320" cy="2922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2922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177"/>
        </w:trPr>
        <w:tc>
          <w:tcPr>
            <w:tcW w:w="19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96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Deficit</w:t>
            </w:r>
          </w:p>
        </w:tc>
      </w:tr>
      <w:tr>
        <w:trPr>
          <w:trHeight w:val="236"/>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3,243,291</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(10,098)</w:t>
            </w:r>
          </w:p>
        </w:tc>
        <w:tc>
          <w:tcPr>
            <w:tcW w:w="60" w:type="dxa"/>
            <w:vAlign w:val="bottom"/>
          </w:tcPr>
          <w:p>
            <w:pPr>
              <w:spacing w:after="0"/>
              <w:rPr>
                <w:sz w:val="20"/>
                <w:szCs w:val="20"/>
                <w:color w:val="auto"/>
              </w:rPr>
            </w:pPr>
          </w:p>
        </w:tc>
      </w:tr>
      <w:tr>
        <w:trPr>
          <w:trHeight w:val="612"/>
        </w:trPr>
        <w:tc>
          <w:tcPr>
            <w:tcW w:w="920" w:type="dxa"/>
            <w:vAlign w:val="bottom"/>
          </w:tcPr>
          <w:p>
            <w:pPr>
              <w:jc w:val="right"/>
              <w:spacing w:after="0"/>
              <w:rPr>
                <w:sz w:val="20"/>
                <w:szCs w:val="20"/>
                <w:color w:val="auto"/>
              </w:rPr>
            </w:pPr>
            <w:r>
              <w:rPr>
                <w:rFonts w:ascii="Arial" w:cs="Arial" w:eastAsia="Arial" w:hAnsi="Arial"/>
                <w:sz w:val="18"/>
                <w:szCs w:val="18"/>
                <w:color w:val="auto"/>
              </w:rPr>
              <w:t>303,583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4"/>
                <w:szCs w:val="24"/>
                <w:color w:val="auto"/>
              </w:rPr>
            </w:pPr>
          </w:p>
        </w:tc>
      </w:tr>
      <w:tr>
        <w:trPr>
          <w:trHeight w:val="621"/>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594"/>
        </w:trPr>
        <w:tc>
          <w:tcPr>
            <w:tcW w:w="920" w:type="dxa"/>
            <w:vAlign w:val="bottom"/>
          </w:tcPr>
          <w:p>
            <w:pPr>
              <w:jc w:val="right"/>
              <w:spacing w:after="0"/>
              <w:rPr>
                <w:sz w:val="20"/>
                <w:szCs w:val="20"/>
                <w:color w:val="auto"/>
              </w:rPr>
            </w:pPr>
            <w:r>
              <w:rPr>
                <w:rFonts w:ascii="Arial" w:cs="Arial" w:eastAsia="Arial" w:hAnsi="Arial"/>
                <w:sz w:val="18"/>
                <w:szCs w:val="18"/>
                <w:color w:val="auto"/>
              </w:rPr>
              <w:t>12,610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r>
      <w:tr>
        <w:trPr>
          <w:trHeight w:val="225"/>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(5,097)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(5,097)</w:t>
            </w:r>
          </w:p>
        </w:tc>
      </w:tr>
      <w:tr>
        <w:trPr>
          <w:trHeight w:val="236"/>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3,559,484</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(14,887)</w:t>
            </w:r>
          </w:p>
        </w:tc>
        <w:tc>
          <w:tcPr>
            <w:tcW w:w="60" w:type="dxa"/>
            <w:vAlign w:val="bottom"/>
          </w:tcPr>
          <w:p>
            <w:pPr>
              <w:spacing w:after="0"/>
              <w:rPr>
                <w:sz w:val="20"/>
                <w:szCs w:val="20"/>
                <w:color w:val="auto"/>
              </w:rPr>
            </w:pPr>
          </w:p>
        </w:tc>
      </w:tr>
      <w:tr>
        <w:trPr>
          <w:trHeight w:val="585"/>
        </w:trPr>
        <w:tc>
          <w:tcPr>
            <w:tcW w:w="920" w:type="dxa"/>
            <w:vAlign w:val="bottom"/>
          </w:tcPr>
          <w:p>
            <w:pPr>
              <w:jc w:val="right"/>
              <w:spacing w:after="0"/>
              <w:rPr>
                <w:sz w:val="20"/>
                <w:szCs w:val="20"/>
                <w:color w:val="auto"/>
              </w:rPr>
            </w:pPr>
            <w:r>
              <w:rPr>
                <w:rFonts w:ascii="Arial" w:cs="Arial" w:eastAsia="Arial" w:hAnsi="Arial"/>
                <w:sz w:val="18"/>
                <w:szCs w:val="18"/>
                <w:color w:val="auto"/>
              </w:rPr>
              <w:t>81,965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4"/>
                <w:szCs w:val="24"/>
                <w:color w:val="auto"/>
              </w:rPr>
            </w:pPr>
          </w:p>
        </w:tc>
      </w:tr>
      <w:tr>
        <w:trPr>
          <w:trHeight w:val="21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r>
      <w:tr>
        <w:trPr>
          <w:trHeight w:val="225"/>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(5,161)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(5,161)</w:t>
            </w:r>
          </w:p>
        </w:tc>
      </w:tr>
      <w:tr>
        <w:trPr>
          <w:trHeight w:val="209"/>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3,641,449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5620" w:space="320"/>
            <w:col w:w="5280"/>
          </w:cols>
          <w:pgMar w:left="320" w:top="574"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type w:val="continuous"/>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187"/>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(5,097)</w:t>
            </w:r>
          </w:p>
        </w:tc>
        <w:tc>
          <w:tcPr>
            <w:tcW w:w="980" w:type="dxa"/>
            <w:vAlign w:val="bottom"/>
            <w:gridSpan w:val="2"/>
          </w:tcPr>
          <w:p>
            <w:pPr>
              <w:jc w:val="right"/>
              <w:ind w:right="807"/>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(5,161)</w:t>
            </w:r>
          </w:p>
        </w:tc>
      </w:tr>
      <w:tr>
        <w:trPr>
          <w:trHeight w:val="193"/>
        </w:trPr>
        <w:tc>
          <w:tcPr>
            <w:tcW w:w="770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Adjustments to reconcile net loss to net cash used in operating</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 on convertible notes</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Accretion of discounts on convertible notes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derivative liability</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Change in fair value of grant liability</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620"/>
              <w:spacing w:after="0"/>
              <w:rPr>
                <w:sz w:val="20"/>
                <w:szCs w:val="20"/>
                <w:color w:val="auto"/>
              </w:rPr>
            </w:pPr>
            <w:r>
              <w:rPr>
                <w:rFonts w:ascii="Arial" w:cs="Arial" w:eastAsia="Arial" w:hAnsi="Arial"/>
                <w:sz w:val="18"/>
                <w:szCs w:val="18"/>
                <w:color w:val="auto"/>
              </w:rPr>
              <w:t>Prepaid expenses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77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(4,483)</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(3,713)</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Purchases of available-for-sale securities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(5,250)</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(995)</w:t>
            </w: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available-for-sale securities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Principal payments received on related party note receivable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Net cash provided by investing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common stock options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8"/>
                <w:szCs w:val="18"/>
                <w:color w:val="auto"/>
              </w:rPr>
            </w:pPr>
          </w:p>
        </w:tc>
      </w:tr>
      <w:tr>
        <w:trPr>
          <w:trHeight w:val="193"/>
        </w:trPr>
        <w:tc>
          <w:tcPr>
            <w:tcW w:w="7700" w:type="dxa"/>
            <w:vAlign w:val="bottom"/>
          </w:tcPr>
          <w:p>
            <w:pPr>
              <w:ind w:left="260"/>
              <w:spacing w:after="0" w:line="193" w:lineRule="exact"/>
              <w:rPr>
                <w:sz w:val="20"/>
                <w:szCs w:val="20"/>
                <w:color w:val="auto"/>
              </w:rPr>
            </w:pPr>
            <w:r>
              <w:rPr>
                <w:rFonts w:ascii="Arial" w:cs="Arial" w:eastAsia="Arial" w:hAnsi="Arial"/>
                <w:sz w:val="18"/>
                <w:szCs w:val="18"/>
                <w:color w:val="auto"/>
              </w:rPr>
              <w:t>Proceeds from sales of convertible preferred stock, net of</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7700" w:type="dxa"/>
            <w:vAlign w:val="bottom"/>
          </w:tcPr>
          <w:p>
            <w:pPr>
              <w:ind w:left="400"/>
              <w:spacing w:after="0"/>
              <w:rPr>
                <w:sz w:val="20"/>
                <w:szCs w:val="20"/>
                <w:color w:val="auto"/>
              </w:rPr>
            </w:pPr>
            <w:r>
              <w:rPr>
                <w:rFonts w:ascii="Arial" w:cs="Arial" w:eastAsia="Arial" w:hAnsi="Arial"/>
                <w:sz w:val="18"/>
                <w:szCs w:val="18"/>
                <w:color w:val="auto"/>
              </w:rPr>
              <w:t>issuance costs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93"/>
        </w:trPr>
        <w:tc>
          <w:tcPr>
            <w:tcW w:w="770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Proceeds from issuance of convertible notes, including</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derivative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FF0FC"/>
          </w:tcPr>
          <w:p>
            <w:pPr>
              <w:spacing w:after="0"/>
              <w:rPr>
                <w:sz w:val="19"/>
                <w:szCs w:val="19"/>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Issuance costs of convertible notes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0"/>
        </w:trPr>
        <w:tc>
          <w:tcPr>
            <w:tcW w:w="770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(1,261)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08" w:name="page209"/>
    <w:bookmarkEnd w:id="208"/>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96" w:lineRule="exact"/>
        <w:rPr>
          <w:sz w:val="20"/>
          <w:szCs w:val="20"/>
          <w:color w:val="auto"/>
        </w:rPr>
      </w:pPr>
    </w:p>
    <w:p>
      <w:pPr>
        <w:ind w:left="580" w:hanging="572"/>
        <w:spacing w:after="0"/>
        <w:tabs>
          <w:tab w:leader="none" w:pos="5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Financial Condition</w:t>
      </w:r>
    </w:p>
    <w:p>
      <w:pPr>
        <w:spacing w:after="0" w:line="106"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Washington. The Company is a late clinical-stage biopharmaceutical company focused on developing small molecules to restore neuronal health and stop neurodegradation.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The Company is subject to a number of inherent risks which include, but are not limited to, the need to obtain adequate additional funding, possible failure of clinical trials or other events demonstrating a lack of clinical safety or efficacy of its product candidates, dependence on key personnel, reliance on third-party service providers for manufacturing or drug product and conduct of clinical trials, the ability to successfully secure its proprietary technology, and risks related to the regulatory approval and commercialization of a product candidate. Additionally, the development and commercialization of new drug products is highly competitive. There are a number of large pharmaceutical and biotechnology companies developing products for the treatment of neurodegenerative diseases that may have significantly greater financial resources and expertise in drug product development. Products or technologies developed by competitors may diminish or render obsolete the Company’s existing products under development.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incurred net operating losses since its inception and had an accumulated deficit of $21.1 million as of December 31, 2019. The Company had cash and cash equivalents of $2.1 million as of December 31, 2019 and has not generated positive cash flows from operations. To date, the Company has been able to fund its operations primarily through the issuance of convertible notes and convertible preferred stock. In the second quarter of 2020, the Company received an aggregate of $ 81.8 million in net proceeds from the issuance of Series B convertible preferred stock. The Company’s currently available cash and cash equivalents as of December 31, 2019, together with the proceeds received from the Series B convertible preferred stock financing in the second quarter of 2020, will be sufficient to meet its anticipated cash requirements and management considers that there are no conditions or events, in the aggregate, that raise substantial doubt about the entity’s ability to continue as a going concern for a period of at least one year from the date the financial statements are issued.</w:t>
      </w:r>
    </w:p>
    <w:p>
      <w:pPr>
        <w:spacing w:after="0" w:line="180"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Management expects operating losses to continue for the foreseeable future. There can be no assurance that the Company will ever earn revenues or achieve profitability, or if achieved, that they will be sustained on a continuing basis. In addition, the manufacturing, clinical and preclinical development activities as well as the commercialization of the Company’s therapies, if approved, will require significant additional financing. The Company may be unable to secure such financing when needed, or if available, such financings may be under terms that are unfavorable to the Company or the current stockholders. If the Company is unable to raise additional funds when needed, it may be required to delay, reduce the scope of, or eliminate development programs, which may adversely affect its business and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09" w:name="page210"/>
    <w:bookmarkEnd w:id="209"/>
    <w:p>
      <w:pPr>
        <w:ind w:right="7900" w:firstLine="8"/>
        <w:spacing w:after="0" w:line="361" w:lineRule="auto"/>
        <w:tabs>
          <w:tab w:leader="none" w:pos="567"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have been prepared in conformity with U.S. generally accepted accounting principles (“U.S. GAAP”).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considers highly liquid investments with original maturities of three months or less to be cash equivalents.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04"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Short-term investments consist entirely of fixed income certificates of deposit with original maturities of greater than 90 days but not more than one year. These securities are classified as available-for-sale and reported at estimated fair value with unrealized gains and losses, if any, included in accumulated other comprehensive loss in stockholders’ deficit. The cost of investments for purposes of computing realized and unrealized gains and losses is based on the specific identification method.</w:t>
      </w:r>
    </w:p>
    <w:p>
      <w:pPr>
        <w:spacing w:after="0" w:line="170"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If the estimated fair value of a security is below its carrying value, the Company evaluates whether it is more likely than not that it will sell the security before its anticipated recover in market value and whether evidence indicating that the cost of the investment is recoverable within a reasonable period of time outweighs the evidence to the contrary. Realized gains, realized losses and declines in the value of investments judged to be other than temporary, are included in other income (expense), net.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ind w:right="440" w:firstLine="576"/>
        <w:spacing w:after="0" w:line="276" w:lineRule="auto"/>
        <w:rPr>
          <w:sz w:val="20"/>
          <w:szCs w:val="20"/>
          <w:color w:val="auto"/>
        </w:rPr>
      </w:pPr>
      <w:r>
        <w:rPr>
          <w:rFonts w:ascii="Arial" w:cs="Arial" w:eastAsia="Arial" w:hAnsi="Arial"/>
          <w:sz w:val="18"/>
          <w:szCs w:val="18"/>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jc w:val="both"/>
        <w:ind w:right="280" w:firstLine="576"/>
        <w:spacing w:after="0" w:line="255" w:lineRule="auto"/>
        <w:rPr>
          <w:sz w:val="20"/>
          <w:szCs w:val="20"/>
          <w:color w:val="auto"/>
        </w:rPr>
      </w:pPr>
      <w:r>
        <w:rPr>
          <w:rFonts w:ascii="Arial" w:cs="Arial" w:eastAsia="Arial" w:hAnsi="Arial"/>
          <w:sz w:val="18"/>
          <w:szCs w:val="18"/>
          <w:color w:val="auto"/>
        </w:rPr>
        <w:t>The carrying amounts of certain financial instruments, including cash and cash equivalents, short-term investments, and accounts payable and accrued expenses approximate their fair values due to the short-term nature of those amounts. The fair values of the grant liability to Life Services Discovery Fund (“LSDF”) and the derivative liability were estimated using Level 3 unobservable inputs.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 xml:space="preserve">The grant liability associated with the grants from the Washington LSDF is accounted for under Accounting Standards Codification (“ASC”) 825-10, </w:t>
      </w:r>
      <w:r>
        <w:rPr>
          <w:rFonts w:ascii="Arial" w:cs="Arial" w:eastAsia="Arial" w:hAnsi="Arial"/>
          <w:sz w:val="18"/>
          <w:szCs w:val="18"/>
          <w:i w:val="1"/>
          <w:iCs w:val="1"/>
          <w:color w:val="auto"/>
        </w:rPr>
        <w:t>Financial Instruments − Overall</w:t>
      </w:r>
      <w:r>
        <w:rPr>
          <w:rFonts w:ascii="Arial" w:cs="Arial" w:eastAsia="Arial" w:hAnsi="Arial"/>
          <w:sz w:val="18"/>
          <w:szCs w:val="18"/>
          <w:color w:val="auto"/>
        </w:rPr>
        <w:t>. The estimated fair value of the grant liability is reassessed at each balance sheet date, with changes in fair value reflected in other income (expense), net. The Company estimates the fair value of the grant liability by using a</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82" w:right="419" w:bottom="1440" w:gutter="0" w:footer="0" w:header="0"/>
        </w:sectPr>
      </w:pPr>
    </w:p>
    <w:bookmarkStart w:id="210" w:name="page211"/>
    <w:bookmarkEnd w:id="210"/>
    <w:p>
      <w:pPr>
        <w:ind w:right="200"/>
        <w:spacing w:after="0" w:line="248" w:lineRule="auto"/>
        <w:rPr>
          <w:sz w:val="20"/>
          <w:szCs w:val="20"/>
          <w:color w:val="auto"/>
        </w:rPr>
      </w:pPr>
      <w:r>
        <w:rPr>
          <w:rFonts w:ascii="Arial" w:cs="Arial" w:eastAsia="Arial" w:hAnsi="Arial"/>
          <w:sz w:val="18"/>
          <w:szCs w:val="18"/>
          <w:color w:val="auto"/>
        </w:rPr>
        <w:t>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04"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The Company’s convertible notes (see Note 8)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the statements of operations and comprehensive loss. The derivative liability related to these features is recorded at estimated fair value on a recurring basis. Any changes in fair value are reflected in other income (expense), net in the statements of operations and comprehensive loss at each period end while such instruments are outstanding. The derivative liability was settled in May 2020 upon conversion of the underlying convertible notes into Series B-1 convertible preferred stock. See Note 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In January 2019, the Alzheimer’s Association awarded the Company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the Company’s ATH-1017 product candidate in the Alzheimer’s disease setting. Reporting of expenses incurred supported by the grant as well as research updates are sent to the Alzheimer’s Association semi-annually. Under the terms of the agreement, the Company received $776,000 in 2019 and may potentially receive the remaining $224,000 in 2020 upon the completion of certain development milestones. The Company recognizes income related to the grant as qualifying expenses under the grant agreement are incurred. As of December 31, 2019, the Company had recognized $ 754,000 in grant income, which is included in other income (expense), net in the statement of operations and comprehensive loss, and had cash received in excess of qualifying expenses of approximately $22,000, which is included in accrued expenses on the balance sheets.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74"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170"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170"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Stock-based payments issued to non-employees are recorded at their fair values, subject to periodic adjustments as the underlying equity instruments vest. Compensation expense is recognized over the vesting term on a straight-line basis, which reflects the service period. Options granted to non-employee service providers are valued at estimated fair value using the Black-Scholes option-pricing model and are remeasured over the vesting term as earned. Awards of restricted stock to non-employees are adjusted through stock-based compensation expense at each reporting period end until the shares vest to reflect the current fair value of such awards.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w:t>
      </w:r>
    </w:p>
    <w:p>
      <w:pPr>
        <w:spacing w:after="0" w:line="1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720" w:firstLine="576"/>
        <w:spacing w:after="0" w:line="276" w:lineRule="auto"/>
        <w:rPr>
          <w:sz w:val="20"/>
          <w:szCs w:val="20"/>
          <w:color w:val="auto"/>
        </w:rPr>
      </w:pPr>
      <w:r>
        <w:rPr>
          <w:rFonts w:ascii="Arial" w:cs="Arial" w:eastAsia="Arial" w:hAnsi="Arial"/>
          <w:sz w:val="18"/>
          <w:szCs w:val="18"/>
          <w:color w:val="auto"/>
        </w:rPr>
        <w:t>Comprehensive loss consists of net loss and other gains and losses affecting stockholders’ deficit that, under U.S. GAAP, are excluded from net loss. The Company has no items of other comprehensive loss. As such, net loss equals comprehensive loss.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04" w:lineRule="exact"/>
        <w:rPr>
          <w:sz w:val="20"/>
          <w:szCs w:val="20"/>
          <w:color w:val="auto"/>
        </w:rPr>
      </w:pPr>
    </w:p>
    <w:p>
      <w:pPr>
        <w:ind w:right="400" w:firstLine="576"/>
        <w:spacing w:after="0" w:line="24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0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unaudited pro forma basic and diluted net loss per share attributable to common stockholders has been computed to give effect to the conversion of all shares of convertible preferred stock into common stock, the net exercise of outstanding warrants for shares of common stock, and the repayment of the grant liability upon the closing of a firm-commitment underwritten public offering (“IPO”) resulting in at least $50.0 million in gross proceeds. The unaudited pro forma net loss per share attributable to common stockholders does not include the shares to be sold from the proposed IPO.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0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As of December 31, 2018 and 2019, the Company had an unsecured note receivable outstanding from its chief executive officer of approximately $ 42,000 and $36,000, respectively. The note bears interest at 1.45% and requires monthly payments with final repayment in April 2025. The note is included in current portion of unsecured related party note receivable and unsecured related party note receivable in the accompanying balance sheets. Interest income is recognized using the effective interest method, and is included in other income (expense), net in the statements of operations and comprehensive loss.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4" w:lineRule="exact"/>
        <w:rPr>
          <w:sz w:val="20"/>
          <w:szCs w:val="20"/>
          <w:color w:val="auto"/>
        </w:rPr>
      </w:pPr>
    </w:p>
    <w:p>
      <w:pPr>
        <w:ind w:right="640" w:firstLine="576"/>
        <w:spacing w:after="0" w:line="276"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The ASU requires entities to recognize in the balance sheet a liability 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3" w:name="page214"/>
    <w:bookmarkEnd w:id="213"/>
    <w:p>
      <w:pPr>
        <w:ind w:right="180"/>
        <w:spacing w:after="0" w:line="245" w:lineRule="auto"/>
        <w:rPr>
          <w:sz w:val="20"/>
          <w:szCs w:val="20"/>
          <w:color w:val="auto"/>
        </w:rPr>
      </w:pPr>
      <w:r>
        <w:rPr>
          <w:rFonts w:ascii="Arial" w:cs="Arial" w:eastAsia="Arial" w:hAnsi="Arial"/>
          <w:sz w:val="18"/>
          <w:szCs w:val="18"/>
          <w:color w:val="auto"/>
        </w:rPr>
        <w:t>make lease payments and a right-of-use asset representing its right to use the underlying asset for the lease term. The Company will adopt the standard on January 1, 2021 using the modified retrospective method in the year of adoption and electing certain transition practical expedients. The Company is currently evaluating the guidance to determine the potential impact on its financial condition, results of operations and cash flows, and financial statement disclosures, and expects that the adoption of the ASU will increase assets and liabilities related to the Company’s operating leases in the balance sheets.</w:t>
      </w:r>
    </w:p>
    <w:p>
      <w:pPr>
        <w:spacing w:after="0" w:line="172"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and ASU 2019-05.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statements.</w:t>
      </w:r>
    </w:p>
    <w:p>
      <w:pPr>
        <w:spacing w:after="0" w:line="172"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 − Goodwill and Others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objective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ASU is to align the requirements for capitalizing implementation costs incurred in a hosting arrangement that is a service contract with the requirements for capitalizing implementation costs incurred to develop or obtain internal-use software. The ASU will become effective beginning January 1, 2021, with early adoption permitted. The Company does not expect the adoption of this ASU to have a significant impact on its financial condition, results of operations, cash flows and financial statement disclosures. In August 2018, the FASB issued ASU No.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which eliminates certain disclosure requirements for fair value measurements for all entities, requires public entities to disclose certain new information and modifies some disclosure requirements. The Company adopted this standard on January 1, 2020 and it did not have a material impact on its financial statements.</w:t>
      </w:r>
    </w:p>
    <w:p>
      <w:pPr>
        <w:spacing w:after="0" w:line="180"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326)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new ASU simplifies the accounting for share-based payments to non-employees by aligning it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share-based payments to employees, with certain exceptions. The Company adopted the standard on January 1, 2020 and it did not have a material impact on the Company’s financial condition, results of operations and cash flows.</w:t>
      </w:r>
    </w:p>
    <w:p>
      <w:pPr>
        <w:spacing w:after="0" w:line="276" w:lineRule="exact"/>
        <w:rPr>
          <w:sz w:val="20"/>
          <w:szCs w:val="20"/>
          <w:color w:val="auto"/>
        </w:rPr>
      </w:pPr>
    </w:p>
    <w:p>
      <w:pPr>
        <w:ind w:left="580" w:hanging="572"/>
        <w:spacing w:after="0"/>
        <w:tabs>
          <w:tab w:leader="none" w:pos="5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Short-term investments consisted of available-for-sale securities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r>
      <w:tr>
        <w:trPr>
          <w:trHeight w:val="177"/>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5"/>
                <w:szCs w:val="15"/>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Losses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3"/>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short-term investments had contractual maturities of less than one year.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14" w:name="page215"/>
    <w:bookmarkEnd w:id="214"/>
    <w:p>
      <w:pPr>
        <w:ind w:left="580" w:hanging="572"/>
        <w:spacing w:after="0"/>
        <w:tabs>
          <w:tab w:leader="none" w:pos="5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06" w:lineRule="exact"/>
        <w:rPr>
          <w:sz w:val="20"/>
          <w:szCs w:val="20"/>
          <w:color w:val="auto"/>
        </w:rPr>
      </w:pPr>
    </w:p>
    <w:p>
      <w:pPr>
        <w:ind w:right="80" w:firstLine="576"/>
        <w:spacing w:after="0" w:line="306" w:lineRule="auto"/>
        <w:rPr>
          <w:sz w:val="20"/>
          <w:szCs w:val="20"/>
          <w:color w:val="auto"/>
        </w:rPr>
      </w:pPr>
      <w:r>
        <w:rPr>
          <w:rFonts w:ascii="Arial" w:cs="Arial" w:eastAsia="Arial" w:hAnsi="Arial"/>
          <w:sz w:val="17"/>
          <w:szCs w:val="17"/>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15" w:lineRule="exact"/>
        <w:rPr>
          <w:sz w:val="20"/>
          <w:szCs w:val="20"/>
          <w:color w:val="auto"/>
        </w:rPr>
      </w:pPr>
    </w:p>
    <w:p>
      <w:pPr>
        <w:ind w:left="580" w:right="60"/>
        <w:spacing w:after="0" w:line="276"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37" w:lineRule="exact"/>
        <w:rPr>
          <w:sz w:val="20"/>
          <w:szCs w:val="20"/>
          <w:color w:val="auto"/>
        </w:rPr>
      </w:pPr>
    </w:p>
    <w:p>
      <w:pPr>
        <w:ind w:left="580" w:right="340"/>
        <w:spacing w:after="0" w:line="27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37" w:lineRule="exact"/>
        <w:rPr>
          <w:sz w:val="20"/>
          <w:szCs w:val="20"/>
          <w:color w:val="auto"/>
        </w:rPr>
      </w:pPr>
    </w:p>
    <w:p>
      <w:pPr>
        <w:ind w:left="580" w:right="20"/>
        <w:spacing w:after="0" w:line="25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64" w:lineRule="exact"/>
        <w:rPr>
          <w:sz w:val="20"/>
          <w:szCs w:val="20"/>
          <w:color w:val="auto"/>
        </w:rPr>
      </w:pPr>
    </w:p>
    <w:p>
      <w:pPr>
        <w:jc w:val="both"/>
        <w:ind w:right="80" w:firstLine="576"/>
        <w:spacing w:after="0" w:line="24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170" w:lineRule="exact"/>
        <w:rPr>
          <w:sz w:val="20"/>
          <w:szCs w:val="20"/>
          <w:color w:val="auto"/>
        </w:rPr>
      </w:pPr>
    </w:p>
    <w:p>
      <w:pPr>
        <w:jc w:val="both"/>
        <w:ind w:right="60" w:firstLine="576"/>
        <w:spacing w:after="0" w:line="276" w:lineRule="auto"/>
        <w:rPr>
          <w:sz w:val="20"/>
          <w:szCs w:val="20"/>
          <w:color w:val="auto"/>
        </w:rPr>
      </w:pPr>
      <w:r>
        <w:rPr>
          <w:rFonts w:ascii="Arial" w:cs="Arial" w:eastAsia="Arial" w:hAnsi="Arial"/>
          <w:sz w:val="18"/>
          <w:szCs w:val="18"/>
          <w:color w:val="auto"/>
        </w:rPr>
        <w:t>The fair value hierarchy of the Company’s assets and liabilities carried at fair value and measured on a recurring basis was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As of December 31, 2018</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Short-term investments – Certificates of Deposit</w:t>
            </w:r>
          </w:p>
        </w:tc>
        <w:tc>
          <w:tcPr>
            <w:tcW w:w="92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Grant liability</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0"/>
        </w:trPr>
        <w:tc>
          <w:tcPr>
            <w:tcW w:w="5780" w:type="dxa"/>
            <w:vAlign w:val="bottom"/>
          </w:tcPr>
          <w:p>
            <w:pPr>
              <w:ind w:left="26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57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5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r>
      <w:tr>
        <w:trPr>
          <w:trHeight w:val="210"/>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Grant liability</w:t>
            </w:r>
          </w:p>
        </w:tc>
        <w:tc>
          <w:tcPr>
            <w:tcW w:w="920" w:type="dxa"/>
            <w:vAlign w:val="bottom"/>
            <w:gridSpan w:val="2"/>
          </w:tcPr>
          <w:p>
            <w:pPr>
              <w:jc w:val="right"/>
              <w:ind w:right="739"/>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18"/>
                <w:szCs w:val="18"/>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FF0FC"/>
          </w:tcPr>
          <w:p>
            <w:pPr>
              <w:spacing w:after="0"/>
              <w:rPr>
                <w:sz w:val="18"/>
                <w:szCs w:val="18"/>
                <w:color w:val="auto"/>
              </w:rPr>
            </w:pPr>
          </w:p>
        </w:tc>
      </w:tr>
      <w:tr>
        <w:trPr>
          <w:trHeight w:val="210"/>
        </w:trPr>
        <w:tc>
          <w:tcPr>
            <w:tcW w:w="5780" w:type="dxa"/>
            <w:vAlign w:val="bottom"/>
          </w:tcPr>
          <w:p>
            <w:pPr>
              <w:ind w:left="26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gridSpan w:val="2"/>
          </w:tcPr>
          <w:p>
            <w:pPr>
              <w:jc w:val="right"/>
              <w:ind w:right="73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ind w:left="7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2,035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2,035</w:t>
            </w:r>
          </w:p>
        </w:tc>
        <w:tc>
          <w:tcPr>
            <w:tcW w:w="8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activity for grant liability for the years ended December 31, 2018 and 2019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3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presents the activity for derivative liability for the years ended December 31, 2018 and 2019 (in thousands):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287"/>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Derivative liability recorded upon issuance of convertible notes</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1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Fair value at end of period</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The losses resulting from the change in fair value of the grant liability and the bifurcated conversion and redemption features related to the derivative liability are classified as other income (expense), net in the accompanying statements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276" w:lineRule="exact"/>
        <w:rPr>
          <w:sz w:val="20"/>
          <w:szCs w:val="20"/>
          <w:color w:val="auto"/>
        </w:rPr>
      </w:pPr>
    </w:p>
    <w:p>
      <w:pPr>
        <w:ind w:left="580" w:hanging="572"/>
        <w:spacing w:after="0"/>
        <w:tabs>
          <w:tab w:leader="none" w:pos="5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380" w:type="dxa"/>
            <w:vAlign w:val="bottom"/>
            <w:tcBorders>
              <w:bottom w:val="single" w:sz="8" w:color="CFF0FC"/>
            </w:tcBorders>
          </w:tcPr>
          <w:p>
            <w:pPr>
              <w:spacing w:after="0"/>
              <w:rPr>
                <w:sz w:val="14"/>
                <w:szCs w:val="14"/>
                <w:color w:val="auto"/>
              </w:rPr>
            </w:pPr>
          </w:p>
        </w:tc>
        <w:tc>
          <w:tcPr>
            <w:tcW w:w="23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236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8"/>
                <w:szCs w:val="18"/>
                <w:color w:val="auto"/>
              </w:rPr>
            </w:pPr>
          </w:p>
        </w:tc>
      </w:tr>
      <w:tr>
        <w:trPr>
          <w:trHeight w:val="210"/>
        </w:trPr>
        <w:tc>
          <w:tcPr>
            <w:tcW w:w="538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2360" w:type="dxa"/>
            <w:vAlign w:val="bottom"/>
          </w:tcPr>
          <w:p>
            <w:pPr>
              <w:spacing w:after="0"/>
              <w:rPr>
                <w:sz w:val="18"/>
                <w:szCs w:val="18"/>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6" w:lineRule="exact"/>
        <w:rPr>
          <w:sz w:val="20"/>
          <w:szCs w:val="20"/>
          <w:color w:val="auto"/>
        </w:rPr>
      </w:pPr>
    </w:p>
    <w:p>
      <w:pPr>
        <w:ind w:left="580" w:hanging="572"/>
        <w:spacing w:after="0"/>
        <w:tabs>
          <w:tab w:leader="none" w:pos="5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1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Other income (expense), net consisted of the following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267"/>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60" w:type="dxa"/>
            <w:vAlign w:val="bottom"/>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 xml:space="preserve">Part the Cloud </w:t>
            </w:r>
            <w:r>
              <w:rPr>
                <w:rFonts w:ascii="Arial" w:cs="Arial" w:eastAsia="Arial" w:hAnsi="Arial"/>
                <w:sz w:val="18"/>
                <w:szCs w:val="18"/>
                <w:color w:val="auto"/>
              </w:rPr>
              <w:t>research grant</w:t>
            </w:r>
          </w:p>
        </w:tc>
        <w:tc>
          <w:tcPr>
            <w:tcW w:w="1060" w:type="dxa"/>
            <w:vAlign w:val="bottom"/>
            <w:tcBorders>
              <w:top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10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grant liability</w:t>
            </w:r>
          </w:p>
        </w:tc>
        <w:tc>
          <w:tcPr>
            <w:tcW w:w="10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r>
      <w:tr>
        <w:trPr>
          <w:trHeight w:val="210"/>
        </w:trPr>
        <w:tc>
          <w:tcPr>
            <w:tcW w:w="7700" w:type="dxa"/>
            <w:vAlign w:val="bottom"/>
          </w:tcPr>
          <w:p>
            <w:pPr>
              <w:ind w:left="260"/>
              <w:spacing w:after="0"/>
              <w:rPr>
                <w:sz w:val="20"/>
                <w:szCs w:val="20"/>
                <w:color w:val="auto"/>
              </w:rPr>
            </w:pPr>
            <w:r>
              <w:rPr>
                <w:rFonts w:ascii="Arial" w:cs="Arial" w:eastAsia="Arial" w:hAnsi="Arial"/>
                <w:sz w:val="18"/>
                <w:szCs w:val="18"/>
                <w:color w:val="auto"/>
              </w:rPr>
              <w:t>Total other income (expense), net</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6" w:lineRule="exact"/>
        <w:rPr>
          <w:sz w:val="20"/>
          <w:szCs w:val="20"/>
          <w:color w:val="auto"/>
        </w:rPr>
      </w:pPr>
    </w:p>
    <w:p>
      <w:pPr>
        <w:ind w:left="580" w:hanging="572"/>
        <w:spacing w:after="0"/>
        <w:tabs>
          <w:tab w:leader="none" w:pos="5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WSU in 2015. Under this agreement, the Company has an exclusive license to make, use, sell, and offer for sale a chemical compound that forms the underlying technology of the drug therapies being developed by the Company.</w:t>
      </w:r>
    </w:p>
    <w:p>
      <w:pPr>
        <w:spacing w:after="0" w:line="172" w:lineRule="exact"/>
        <w:rPr>
          <w:sz w:val="20"/>
          <w:szCs w:val="20"/>
          <w:color w:val="auto"/>
        </w:rPr>
      </w:pPr>
    </w:p>
    <w:p>
      <w:pPr>
        <w:ind w:right="820" w:firstLine="576"/>
        <w:spacing w:after="0" w:line="27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December 31, 2019.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216" w:name="page217"/>
    <w:bookmarkEnd w:id="216"/>
    <w:p>
      <w:pPr>
        <w:ind w:left="58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800" w:hanging="225"/>
        <w:spacing w:after="0"/>
        <w:tabs>
          <w:tab w:leader="none" w:pos="800" w:val="left"/>
        </w:tabs>
        <w:numPr>
          <w:ilvl w:val="0"/>
          <w:numId w:val="136"/>
        </w:numPr>
        <w:rPr>
          <w:rFonts w:ascii="Times New Roman" w:cs="Times New Roman" w:eastAsia="Times New Roman" w:hAnsi="Times New Roman"/>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6"/>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6"/>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2019, none of these milestones had been reached.</w:t>
      </w:r>
    </w:p>
    <w:p>
      <w:pPr>
        <w:spacing w:after="0" w:line="212" w:lineRule="exact"/>
        <w:rPr>
          <w:sz w:val="20"/>
          <w:szCs w:val="20"/>
          <w:color w:val="auto"/>
        </w:rPr>
      </w:pPr>
    </w:p>
    <w:p>
      <w:pPr>
        <w:jc w:val="both"/>
        <w:ind w:right="240" w:firstLine="576"/>
        <w:spacing w:after="0" w:line="255"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December 31, 2019, the Company had not incurred a royalty obligation under this agreement.</w:t>
      </w:r>
    </w:p>
    <w:p>
      <w:pPr>
        <w:spacing w:after="0" w:line="164"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mid-tens of any non -sales based payments received, and low twenties of net sales based sublicense royalties. As of December 31, 2019, the Company had not entered into or incurred any liability from a sublicense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jc w:val="both"/>
        <w:ind w:right="160" w:firstLine="576"/>
        <w:spacing w:after="0" w:line="255" w:lineRule="auto"/>
        <w:rPr>
          <w:sz w:val="20"/>
          <w:szCs w:val="20"/>
          <w:color w:val="auto"/>
        </w:rPr>
      </w:pPr>
      <w:r>
        <w:rPr>
          <w:rFonts w:ascii="Arial" w:cs="Arial" w:eastAsia="Arial" w:hAnsi="Arial"/>
          <w:sz w:val="18"/>
          <w:szCs w:val="18"/>
          <w:color w:val="auto"/>
        </w:rPr>
        <w:t>In 2014 and 2015, the Company received $250,000 and $500,000, respectively, from the Washington LSDF under the terms of two matching grant award agreements. In connection with the agreements, LSDF retained the right to receive cash payments of up to 2.0 times the amounts received, or $1.5 million, upon the occurrence of specified triggering events, including:</w:t>
      </w:r>
    </w:p>
    <w:p>
      <w:pPr>
        <w:spacing w:after="0" w:line="56" w:lineRule="exact"/>
        <w:rPr>
          <w:sz w:val="20"/>
          <w:szCs w:val="20"/>
          <w:color w:val="auto"/>
        </w:rPr>
      </w:pPr>
    </w:p>
    <w:p>
      <w:pPr>
        <w:ind w:left="800" w:hanging="225"/>
        <w:spacing w:after="0"/>
        <w:tabs>
          <w:tab w:leader="none" w:pos="800" w:val="left"/>
        </w:tabs>
        <w:numPr>
          <w:ilvl w:val="0"/>
          <w:numId w:val="137"/>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7"/>
        </w:numPr>
        <w:rPr>
          <w:rFonts w:ascii="Times New Roman" w:cs="Times New Roman" w:eastAsia="Times New Roman" w:hAnsi="Times New Roman"/>
          <w:sz w:val="18"/>
          <w:szCs w:val="18"/>
          <w:color w:val="auto"/>
        </w:rPr>
      </w:pPr>
      <w:r>
        <w:rPr>
          <w:rFonts w:ascii="Arial" w:cs="Arial" w:eastAsia="Arial" w:hAnsi="Arial"/>
          <w:sz w:val="18"/>
          <w:szCs w:val="18"/>
          <w:color w:val="auto"/>
        </w:rPr>
        <w:t>transfers the underlying IP without receiving consideration;</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7"/>
        </w:numPr>
        <w:rPr>
          <w:rFonts w:ascii="Times New Roman" w:cs="Times New Roman" w:eastAsia="Times New Roman" w:hAnsi="Times New Roman"/>
          <w:sz w:val="18"/>
          <w:szCs w:val="18"/>
          <w:color w:val="auto"/>
        </w:rPr>
      </w:pPr>
      <w:r>
        <w:rPr>
          <w:rFonts w:ascii="Arial" w:cs="Arial" w:eastAsia="Arial" w:hAnsi="Arial"/>
          <w:sz w:val="18"/>
          <w:szCs w:val="18"/>
          <w:color w:val="auto"/>
        </w:rPr>
        <w:t>relocation of the Company from Washington state;</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7"/>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an initial public offering;</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7"/>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acquisition of a controlling interest in the Company, and;</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7"/>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the agreements.</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2019, no triggering events have occurred and no payments to LSDF have been made.</w:t>
      </w:r>
    </w:p>
    <w:p>
      <w:pPr>
        <w:spacing w:after="0" w:line="21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ASC 825-10,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−Overall</w:t>
      </w:r>
      <w:r>
        <w:rPr>
          <w:rFonts w:ascii="Arial" w:cs="Arial" w:eastAsia="Arial" w:hAnsi="Arial"/>
          <w:sz w:val="18"/>
          <w:szCs w:val="18"/>
          <w:color w:val="auto"/>
        </w:rPr>
        <w:t>. The estimated fair value of the grant liability is reassessed at each balance sheet date,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other income (expense), net. To determine the estimated fair value of the grant liability at December 31, 2018 and 2019,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17" w:name="page218"/>
    <w:bookmarkEnd w:id="217"/>
    <w:p>
      <w:pPr>
        <w:ind w:right="340" w:firstLine="576"/>
        <w:spacing w:after="0" w:line="277" w:lineRule="auto"/>
        <w:rPr>
          <w:sz w:val="20"/>
          <w:szCs w:val="20"/>
          <w:color w:val="auto"/>
        </w:rPr>
      </w:pPr>
      <w:r>
        <w:rPr>
          <w:rFonts w:ascii="Arial" w:cs="Arial" w:eastAsia="Arial" w:hAnsi="Arial"/>
          <w:sz w:val="17"/>
          <w:szCs w:val="17"/>
          <w:color w:val="auto"/>
        </w:rPr>
        <w:t>The estimated fair value of the grant liability was $936,000 and $1.0 million as of December 31, 2018 and 2019, respectively. The changes in the fair value of the liability resulted in losses of $164,000 and $100,000 for the years ended December 31, 2018 and 2019, respectively, which were included in other income (expense), net in the accompanying statements of operations and comprehensive loss.</w:t>
      </w:r>
    </w:p>
    <w:p>
      <w:pPr>
        <w:spacing w:after="0" w:line="253" w:lineRule="exact"/>
        <w:rPr>
          <w:sz w:val="20"/>
          <w:szCs w:val="20"/>
          <w:color w:val="auto"/>
        </w:rPr>
      </w:pPr>
    </w:p>
    <w:p>
      <w:pPr>
        <w:ind w:left="580" w:hanging="572"/>
        <w:spacing w:after="0"/>
        <w:tabs>
          <w:tab w:leader="none" w:pos="5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06"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The Company issued unsecured convertible notes with aggregate principal amounts of $ 1.3 million and $884,000 in 2018 and 2019, respectively. The notes accrue interest at a rate of 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180"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179"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In May 2020, the outstanding principal balance of the convertible notes of $2.2 million and accrued interest of $131,000 converted into 294,197 shares of Series B-1 convertible preferred stock. See Note 17.</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carrying value of the convertible notes as of December 31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 principal and accrued interest</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Less: unamortized discount for issuance costs</w:t>
            </w: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discount related to derivative liability</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(532)</w:t>
            </w: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(670)</w:t>
            </w:r>
          </w:p>
        </w:tc>
      </w:tr>
      <w:tr>
        <w:trPr>
          <w:trHeight w:val="210"/>
        </w:trPr>
        <w:tc>
          <w:tcPr>
            <w:tcW w:w="7700" w:type="dxa"/>
            <w:vAlign w:val="bottom"/>
          </w:tcPr>
          <w:p>
            <w:pPr>
              <w:ind w:left="260"/>
              <w:spacing w:after="0"/>
              <w:rPr>
                <w:sz w:val="20"/>
                <w:szCs w:val="20"/>
                <w:color w:val="auto"/>
              </w:rPr>
            </w:pPr>
            <w:r>
              <w:rPr>
                <w:rFonts w:ascii="Arial" w:cs="Arial" w:eastAsia="Arial" w:hAnsi="Arial"/>
                <w:sz w:val="18"/>
                <w:szCs w:val="18"/>
                <w:color w:val="auto"/>
              </w:rPr>
              <w:t>Net carrying value, convertible notes</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right="7800" w:firstLine="8"/>
        <w:spacing w:after="0" w:line="361" w:lineRule="auto"/>
        <w:tabs>
          <w:tab w:leader="none" w:pos="567"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ind w:right="180" w:firstLine="576"/>
        <w:spacing w:after="0" w:line="248" w:lineRule="auto"/>
        <w:rPr>
          <w:sz w:val="20"/>
          <w:szCs w:val="20"/>
          <w:color w:val="auto"/>
        </w:rPr>
      </w:pPr>
      <w:r>
        <w:rPr>
          <w:rFonts w:ascii="Arial" w:cs="Arial" w:eastAsia="Arial" w:hAnsi="Arial"/>
          <w:sz w:val="18"/>
          <w:szCs w:val="18"/>
          <w:color w:val="auto"/>
        </w:rPr>
        <w:t xml:space="preserve">The Company leases office and laboratory space with a one-year lease term. Rent is expensed as incurred. The Company incurred rent expense of approximately $82,000 and $97,000 for the years ended December 31, 2018 and 2019, respectively. The Company will continue to account for its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until it adopts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discussed further under </w:t>
      </w:r>
      <w:r>
        <w:rPr>
          <w:rFonts w:ascii="Arial" w:cs="Arial" w:eastAsia="Arial" w:hAnsi="Arial"/>
          <w:sz w:val="18"/>
          <w:szCs w:val="18"/>
          <w:i w:val="1"/>
          <w:iCs w:val="1"/>
          <w:color w:val="auto"/>
        </w:rPr>
        <w:t>Recent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Not Yet Adopted </w:t>
      </w:r>
      <w:r>
        <w:rPr>
          <w:rFonts w:ascii="Arial" w:cs="Arial" w:eastAsia="Arial" w:hAnsi="Arial"/>
          <w:sz w:val="18"/>
          <w:szCs w:val="18"/>
          <w:color w:val="auto"/>
        </w:rPr>
        <w:t>in Note 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8" w:name="page219"/>
    <w:bookmarkEnd w:id="218"/>
    <w:p>
      <w:pPr>
        <w:ind w:right="20"/>
        <w:spacing w:after="0" w:line="276" w:lineRule="auto"/>
        <w:rPr>
          <w:sz w:val="20"/>
          <w:szCs w:val="20"/>
          <w:color w:val="auto"/>
        </w:rPr>
      </w:pPr>
      <w:r>
        <w:rPr>
          <w:rFonts w:ascii="Arial" w:cs="Arial" w:eastAsia="Arial" w:hAnsi="Arial"/>
          <w:sz w:val="18"/>
          <w:szCs w:val="18"/>
          <w:color w:val="auto"/>
        </w:rPr>
        <w:t>future expenditures will be made and that such expenditures can be reasonably estimated. Significant judgment is required to determine both probability and the estimated amount.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04"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intends to enter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286" w:lineRule="exact"/>
        <w:rPr>
          <w:sz w:val="20"/>
          <w:szCs w:val="20"/>
          <w:color w:val="auto"/>
        </w:rPr>
      </w:pPr>
    </w:p>
    <w:p>
      <w:pPr>
        <w:ind w:left="580" w:hanging="572"/>
        <w:spacing w:after="0"/>
        <w:tabs>
          <w:tab w:leader="none" w:pos="5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Convertible preferred stock as of December 31, 2018 and 2019 consisted of the following (in thousands,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Carrying Value at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Aggregate</w:t>
            </w:r>
          </w:p>
        </w:tc>
      </w:tr>
      <w:tr>
        <w:trPr>
          <w:trHeight w:val="177"/>
        </w:trPr>
        <w:tc>
          <w:tcPr>
            <w:tcW w:w="3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Issued and</w:t>
            </w: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Liquidation</w:t>
            </w:r>
          </w:p>
        </w:tc>
      </w:tr>
      <w:tr>
        <w:trPr>
          <w:trHeight w:val="169"/>
        </w:trPr>
        <w:tc>
          <w:tcPr>
            <w:tcW w:w="3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 Stock</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Authorized</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4"/>
                <w:szCs w:val="14"/>
                <w:color w:val="auto"/>
              </w:rPr>
            </w:pPr>
          </w:p>
        </w:tc>
        <w:tc>
          <w:tcPr>
            <w:tcW w:w="10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Preference</w:t>
            </w:r>
          </w:p>
        </w:tc>
      </w:tr>
      <w:tr>
        <w:trPr>
          <w:trHeight w:val="209"/>
        </w:trPr>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6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1,714,963</w:t>
            </w:r>
          </w:p>
        </w:tc>
        <w:tc>
          <w:tcPr>
            <w:tcW w:w="26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60" w:type="dxa"/>
            <w:vAlign w:val="bottom"/>
            <w:tcBorders>
              <w:bottom w:val="single" w:sz="8" w:color="CFF0F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FF0FC"/>
            </w:tcBorders>
          </w:tcPr>
          <w:p>
            <w:pPr>
              <w:spacing w:after="0"/>
              <w:rPr>
                <w:sz w:val="18"/>
                <w:szCs w:val="18"/>
                <w:color w:val="auto"/>
              </w:rPr>
            </w:pPr>
          </w:p>
        </w:tc>
      </w:tr>
      <w:tr>
        <w:trPr>
          <w:trHeight w:val="210"/>
        </w:trPr>
        <w:tc>
          <w:tcPr>
            <w:tcW w:w="37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2,797,464</w:t>
            </w:r>
          </w:p>
        </w:tc>
        <w:tc>
          <w:tcPr>
            <w:tcW w:w="2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20" w:firstLine="576"/>
        <w:spacing w:after="0" w:line="276" w:lineRule="auto"/>
        <w:rPr>
          <w:sz w:val="20"/>
          <w:szCs w:val="20"/>
          <w:color w:val="auto"/>
        </w:rPr>
      </w:pPr>
      <w:r>
        <w:rPr>
          <w:rFonts w:ascii="Arial" w:cs="Arial" w:eastAsia="Arial" w:hAnsi="Arial"/>
          <w:sz w:val="18"/>
          <w:szCs w:val="18"/>
          <w:color w:val="auto"/>
        </w:rPr>
        <w:t>The rights, preferences, and privileges of the Series A and Series A-1 convertible preferred stock (collectively, Preferred Stock) are as follows: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holders of shares of Series A and Series A-1 Preferred Stock are entitled to receive non-cumulative dividends and non-dividend distributions in preference to any dividend or non-dividend distribution on the common stock, when, and if declared by the Company’s board of directors. Such dividend and non-dividend distribution preference survives until the holders of the Series A Preferred Stock and Series A-1 Preferred Stock have received a per share amount equal to: (a) in the case of dividends, 1.32 times the Series A Purchase Price or Series A-1 Purchase Price, as applicable, or (b) in the case of non-dividend distributions, the Series A Purchase Price or Series A-1 Purchase Price, as applicable.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jc w:val="both"/>
        <w:ind w:right="60" w:firstLine="576"/>
        <w:spacing w:after="0" w:line="243" w:lineRule="auto"/>
        <w:rPr>
          <w:sz w:val="20"/>
          <w:szCs w:val="20"/>
          <w:color w:val="auto"/>
        </w:rPr>
      </w:pPr>
      <w:r>
        <w:rPr>
          <w:rFonts w:ascii="Arial" w:cs="Arial" w:eastAsia="Arial" w:hAnsi="Arial"/>
          <w:sz w:val="18"/>
          <w:szCs w:val="18"/>
          <w:color w:val="auto"/>
        </w:rPr>
        <w:t>Preferred Stock will automatically convert into shares of common stock on a 1:1 basis upon the earlier to occur: (a) after the payment of the distribution preference to the holders of the Series A and Series A-1 Preferred Stock, and (b) upon the closing of a firmly underwritten public offering pursuant to an effective registration statement covering the offer and sale of common stock in which the gross proceeds to the Company are at least $50.0 million. The conversion ratio will be adjusted in the case of specified changes to the Company’s capitalization as a result of stock splits, combinations, common stock dividends and distributions, reclassifications, exchanges, substitutions, reorganizations, mergers or consolidations.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19" w:name="page220"/>
    <w:bookmarkEnd w:id="219"/>
    <w:p>
      <w:pPr>
        <w:ind w:right="60" w:firstLine="576"/>
        <w:spacing w:after="0" w:line="255" w:lineRule="auto"/>
        <w:rPr>
          <w:sz w:val="20"/>
          <w:szCs w:val="20"/>
          <w:color w:val="auto"/>
        </w:rPr>
      </w:pPr>
      <w:r>
        <w:rPr>
          <w:rFonts w:ascii="Arial" w:cs="Arial" w:eastAsia="Arial" w:hAnsi="Arial"/>
          <w:sz w:val="18"/>
          <w:szCs w:val="18"/>
          <w:color w:val="auto"/>
        </w:rPr>
        <w:t>In addition to the automatic conversion, the holders of Series A and Series A-1 Preferred Stock have the right to convert such shares, at any time, into shares of common stock. The initial conversion rate shall be 1:1, subject to any adjustments for stock splits, combinations, common stock dividends and distributions, reclassifications, exchanges, substitutions, reorganizations, mergers or consolidations.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 After Conversion</w:t>
      </w:r>
    </w:p>
    <w:p>
      <w:pPr>
        <w:spacing w:after="0" w:line="104" w:lineRule="exact"/>
        <w:rPr>
          <w:sz w:val="20"/>
          <w:szCs w:val="20"/>
          <w:color w:val="auto"/>
        </w:rPr>
      </w:pPr>
    </w:p>
    <w:p>
      <w:pPr>
        <w:jc w:val="both"/>
        <w:ind w:right="80" w:firstLine="576"/>
        <w:spacing w:after="0" w:line="255" w:lineRule="auto"/>
        <w:rPr>
          <w:sz w:val="20"/>
          <w:szCs w:val="20"/>
          <w:color w:val="auto"/>
        </w:rPr>
      </w:pPr>
      <w:r>
        <w:rPr>
          <w:rFonts w:ascii="Arial" w:cs="Arial" w:eastAsia="Arial" w:hAnsi="Arial"/>
          <w:sz w:val="18"/>
          <w:szCs w:val="18"/>
          <w:color w:val="auto"/>
        </w:rPr>
        <w:t>After such conversions, the holders of common stock (including the holders of common stock issued upon conversion of the Series A and Series A-1 Preferred Stock) are entitled to participate pro rata in any dividends or non-dividend distributions paid on the Common Stock, when, as and if declared by the 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Acquisition or Asset Sale</w:t>
      </w:r>
    </w:p>
    <w:p>
      <w:pPr>
        <w:spacing w:after="0" w:line="10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In the event of any liquidation or winding up of the Company, or upon an acquisition of the Company or the sale or other disposition of substantially all of the Company’s assets, the proceeds shall be paid first to the holders of the Series A and Series A-1 Preferred Stock equal to their purchase price, less any declared and paid dividends or non-dividend distributions. Any remaining amounts shall be distributed to the holders of the common stock, Series A Preferred Stock and Series A-1 Preferred Stock on a pro rata basis. The liquidation preference is less than the carrying value of the Series A-1 preferred stock as a portion of the carrying value originated from an $815,000 beneficial conversion feature recorded upon issuance of the underlying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holder has one vote for each share of Series A or Series A-1 Preferred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Upon the occurrence of certain change in control events that are outside the Company’s control, including liquidation, sale or transfer of the Company, holders of the convertible preferred stock can effectively cause redemption for cash. As a result, the Company has classified the convertible preferred stock as mezzanine equity on the balance sheets as the stock is contingently redeemable.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285" w:lineRule="exact"/>
        <w:rPr>
          <w:sz w:val="20"/>
          <w:szCs w:val="20"/>
          <w:color w:val="auto"/>
        </w:rPr>
      </w:pPr>
    </w:p>
    <w:p>
      <w:pPr>
        <w:ind w:left="580" w:hanging="572"/>
        <w:spacing w:after="0"/>
        <w:tabs>
          <w:tab w:leader="none" w:pos="5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0" w:name="page221"/>
    <w:bookmarkEnd w:id="220"/>
    <w:p>
      <w:pPr>
        <w:ind w:left="58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33"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As of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1,263,831</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1,514,770</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220,675</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4,105,202</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4,535,203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warrants are exercisable at a price of $7.93 per share through April 8, 2021.</w:t>
      </w:r>
    </w:p>
    <w:p>
      <w:pPr>
        <w:spacing w:after="0" w:line="318" w:lineRule="exact"/>
        <w:rPr>
          <w:sz w:val="20"/>
          <w:szCs w:val="20"/>
          <w:color w:val="auto"/>
        </w:rPr>
      </w:pPr>
    </w:p>
    <w:p>
      <w:pPr>
        <w:ind w:left="580" w:hanging="572"/>
        <w:spacing w:after="0"/>
        <w:tabs>
          <w:tab w:leader="none" w:pos="5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06" w:lineRule="exact"/>
        <w:rPr>
          <w:sz w:val="20"/>
          <w:szCs w:val="20"/>
          <w:color w:val="auto"/>
        </w:rPr>
      </w:pPr>
    </w:p>
    <w:p>
      <w:pPr>
        <w:jc w:val="both"/>
        <w:ind w:right="340" w:firstLine="576"/>
        <w:spacing w:after="0" w:line="248" w:lineRule="auto"/>
        <w:rPr>
          <w:sz w:val="20"/>
          <w:szCs w:val="20"/>
          <w:color w:val="auto"/>
        </w:rPr>
      </w:pPr>
      <w:r>
        <w:rPr>
          <w:rFonts w:ascii="Arial" w:cs="Arial" w:eastAsia="Arial" w:hAnsi="Arial"/>
          <w:sz w:val="18"/>
          <w:szCs w:val="18"/>
          <w:color w:val="auto"/>
        </w:rPr>
        <w:t>The Company maintains the 2014 Equity Incentive Plan (“2014 Plan”), as amended in August 2016, which allows for the grant of incentive stock options, non-statutory stock options, stock appreciation rights, restricted stock awards, and restricted stock unit awards to employees, officers, non-employee directors, consultants and advisors. As of December 31, 2019, the Company has reserved 3,076,214 shares of common stock for issuance under the 2014 Plan.</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The Company grants stock options with exercise prices equal to the estimated fair value of common stock on the date of the grant as determined by the board of directors based on the most recent third-party valuation of the common stock. Terms of stock award agreements, including vesting requirements, are determined by the board of directors, subject to the provisions of the plan, and typically have a contractual term of ten years from the date of grant. In the case of options granted to holders of more than 10% of the voting power of the Company, the exercise price may not be less than 110% of the fair market value of the common stock on the date the option is granted, and the term of the option may not exceed five years. Stock options granted have multiple vesting schedules ranging from immediate 100% vesting to cliff vesting ratably over four years.</w:t>
      </w:r>
    </w:p>
    <w:p>
      <w:pPr>
        <w:spacing w:after="0" w:line="179" w:lineRule="exact"/>
        <w:rPr>
          <w:sz w:val="20"/>
          <w:szCs w:val="20"/>
          <w:color w:val="auto"/>
        </w:rPr>
      </w:pPr>
    </w:p>
    <w:p>
      <w:pPr>
        <w:ind w:right="340" w:firstLine="576"/>
        <w:spacing w:after="0" w:line="276" w:lineRule="auto"/>
        <w:rPr>
          <w:sz w:val="20"/>
          <w:szCs w:val="20"/>
          <w:color w:val="auto"/>
        </w:rPr>
      </w:pPr>
      <w:r>
        <w:rPr>
          <w:rFonts w:ascii="Arial" w:cs="Arial" w:eastAsia="Arial" w:hAnsi="Arial"/>
          <w:sz w:val="18"/>
          <w:szCs w:val="18"/>
          <w:color w:val="auto"/>
        </w:rPr>
        <w:t>Restricted stock awards are awards of a specific number of shares of the Company’s common stock, and are subject to continued service and vesting conditions.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79" w:lineRule="exact"/>
        <w:rPr>
          <w:sz w:val="20"/>
          <w:szCs w:val="20"/>
          <w:color w:val="auto"/>
        </w:rPr>
      </w:pPr>
    </w:p>
    <w:p>
      <w:pPr>
        <w:ind w:left="5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04"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37" w:lineRule="exact"/>
        <w:rPr>
          <w:sz w:val="20"/>
          <w:szCs w:val="20"/>
          <w:color w:val="auto"/>
        </w:rPr>
      </w:pPr>
    </w:p>
    <w:p>
      <w:pPr>
        <w:ind w:left="800" w:hanging="225"/>
        <w:spacing w:after="0" w:line="244" w:lineRule="auto"/>
        <w:tabs>
          <w:tab w:leader="none" w:pos="800" w:val="left"/>
        </w:tabs>
        <w:numPr>
          <w:ilvl w:val="0"/>
          <w:numId w:val="14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there has been no public market for the Company’s common stock, the board of directors exercises reasonable judgment and considers a number of objective and subjective factors to determine the best estimate of the fair market value, which include contemporaneous valuations performed by an independent third-party, important developments in the Company’s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1" w:name="page222"/>
    <w:bookmarkEnd w:id="221"/>
    <w:p>
      <w:pPr>
        <w:ind w:left="800" w:right="40"/>
        <w:spacing w:after="0" w:line="245" w:lineRule="auto"/>
        <w:rPr>
          <w:sz w:val="20"/>
          <w:szCs w:val="20"/>
          <w:color w:val="auto"/>
        </w:rPr>
      </w:pPr>
      <w:r>
        <w:rPr>
          <w:rFonts w:ascii="Arial" w:cs="Arial" w:eastAsia="Arial" w:hAnsi="Arial"/>
          <w:sz w:val="18"/>
          <w:szCs w:val="18"/>
          <w:color w:val="auto"/>
        </w:rPr>
        <w:t>operations, sales of convertible preferred stock, the rights, preferences and privileges of the Company’s convertible preferred stock relative to those of its common stock, lack of marketability of its common stock, actual operating results, financial performance, the progress of clinical development, the likelihood of achieving a liquidity event for the Company’s security holders, the trends, development and conditions in the life sciences and biotechnology sectors, the economy in general, the stock price performance and volatility of comparable public companies.</w:t>
      </w:r>
    </w:p>
    <w:p>
      <w:pPr>
        <w:spacing w:after="0" w:line="64" w:lineRule="exact"/>
        <w:rPr>
          <w:sz w:val="20"/>
          <w:szCs w:val="20"/>
          <w:color w:val="auto"/>
        </w:rPr>
      </w:pPr>
    </w:p>
    <w:p>
      <w:pPr>
        <w:ind w:left="800" w:right="140" w:hanging="225"/>
        <w:spacing w:after="0" w:line="275" w:lineRule="auto"/>
        <w:tabs>
          <w:tab w:leader="none" w:pos="800" w:val="left"/>
        </w:tabs>
        <w:numPr>
          <w:ilvl w:val="0"/>
          <w:numId w:val="14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periods corresponding with the expected term of the option.</w:t>
      </w:r>
    </w:p>
    <w:p>
      <w:pPr>
        <w:spacing w:after="0" w:line="37" w:lineRule="exact"/>
        <w:rPr>
          <w:rFonts w:ascii="Times New Roman" w:cs="Times New Roman" w:eastAsia="Times New Roman" w:hAnsi="Times New Roman"/>
          <w:sz w:val="18"/>
          <w:szCs w:val="18"/>
          <w:color w:val="auto"/>
        </w:rPr>
      </w:pPr>
    </w:p>
    <w:p>
      <w:pPr>
        <w:ind w:left="800" w:right="80" w:hanging="225"/>
        <w:spacing w:after="0" w:line="244" w:lineRule="auto"/>
        <w:tabs>
          <w:tab w:leader="none" w:pos="800" w:val="left"/>
        </w:tabs>
        <w:numPr>
          <w:ilvl w:val="0"/>
          <w:numId w:val="14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has been privately held and does not have any trading history for its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67" w:lineRule="exact"/>
        <w:rPr>
          <w:rFonts w:ascii="Times New Roman" w:cs="Times New Roman" w:eastAsia="Times New Roman" w:hAnsi="Times New Roman"/>
          <w:sz w:val="18"/>
          <w:szCs w:val="18"/>
          <w:color w:val="auto"/>
        </w:rPr>
      </w:pPr>
    </w:p>
    <w:p>
      <w:pPr>
        <w:ind w:left="800" w:right="180" w:hanging="225"/>
        <w:spacing w:after="0" w:line="255" w:lineRule="auto"/>
        <w:tabs>
          <w:tab w:leader="none" w:pos="800" w:val="left"/>
        </w:tabs>
        <w:numPr>
          <w:ilvl w:val="0"/>
          <w:numId w:val="14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54" w:lineRule="exact"/>
        <w:rPr>
          <w:rFonts w:ascii="Times New Roman" w:cs="Times New Roman" w:eastAsia="Times New Roman" w:hAnsi="Times New Roman"/>
          <w:sz w:val="18"/>
          <w:szCs w:val="18"/>
          <w:color w:val="auto"/>
        </w:rPr>
      </w:pPr>
    </w:p>
    <w:p>
      <w:pPr>
        <w:ind w:left="800" w:right="200" w:hanging="225"/>
        <w:spacing w:after="0" w:line="275" w:lineRule="auto"/>
        <w:tabs>
          <w:tab w:leader="none" w:pos="800" w:val="left"/>
        </w:tabs>
        <w:numPr>
          <w:ilvl w:val="0"/>
          <w:numId w:val="14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it used an expected dividend yield of zero.</w:t>
      </w:r>
    </w:p>
    <w:p>
      <w:pPr>
        <w:spacing w:after="0" w:line="122" w:lineRule="exact"/>
        <w:rPr>
          <w:sz w:val="20"/>
          <w:szCs w:val="20"/>
          <w:color w:val="auto"/>
        </w:rPr>
      </w:pPr>
    </w:p>
    <w:p>
      <w:pPr>
        <w:ind w:right="160" w:firstLine="576"/>
        <w:spacing w:after="0" w:line="235"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197"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r>
      <w:tr>
        <w:trPr>
          <w:trHeight w:val="216"/>
        </w:trPr>
        <w:tc>
          <w:tcPr>
            <w:tcW w:w="8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FF0FC"/>
          </w:tcPr>
          <w:p>
            <w:pPr>
              <w:spacing w:after="0"/>
              <w:rPr>
                <w:sz w:val="18"/>
                <w:szCs w:val="18"/>
                <w:color w:val="auto"/>
              </w:rPr>
            </w:pPr>
          </w:p>
        </w:tc>
      </w:tr>
      <w:tr>
        <w:trPr>
          <w:trHeight w:val="243"/>
        </w:trPr>
        <w:tc>
          <w:tcPr>
            <w:tcW w:w="86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7"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The weighted-average grant-date fair value of options granted to employees and directors during the years ended December 31, 2018 and 2019 were $0.79 and $ 0.89, respectively. The re-measured weighted-average fair value of options granted to advisors during the years ended December 31, 2018 and 2019 were $1.08 and $1.06, respectively.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option activity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Available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for Grant</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220,675</w:t>
            </w: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1,263,831</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511,966</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(351,819)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351,819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(81,965)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18,915</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(18,915)</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399,737</w:t>
            </w:r>
          </w:p>
        </w:tc>
        <w:tc>
          <w:tcPr>
            <w:tcW w:w="20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1,514,770</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7.16</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593,093</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8.79</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0.83</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6.11</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921,677</w:t>
            </w: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year ended December 31, 2018 was $160,000, which included $115,000 for options granted to employees and directors and $45,000 for options granted to advisors. The total fair value of options that vested during the year ended December 31, 2019 was $183,000, which included $104,000 for options granted to employees and directors and $79,000 for options granted to advisors.</w:t>
      </w:r>
    </w:p>
    <w:p>
      <w:pPr>
        <w:spacing w:after="0" w:line="170"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for all options that were in-the-money at December 31, 2019. The aggregate intrinsic value of options exercised was $297,000 during 2018 and $38,500 during 2019, determined as of the date of option exercise. As of December 31, 2019, there was $374,000 of total unrecognized compensation cost related to unvested stock options. The Company expects to recognize this cost over a remaining weighted-average period of 1.41 years. The Company utilizes newly issued shares to satisfy option exercises.</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 options outstanding and exercisable consisted of the following at December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4"/>
          </w:tcPr>
          <w:p>
            <w:pPr>
              <w:ind w:left="380"/>
              <w:spacing w:after="0"/>
              <w:rPr>
                <w:sz w:val="20"/>
                <w:szCs w:val="20"/>
                <w:color w:val="auto"/>
              </w:rPr>
            </w:pPr>
            <w:r>
              <w:rPr>
                <w:rFonts w:ascii="Arial" w:cs="Arial" w:eastAsia="Arial" w:hAnsi="Arial"/>
                <w:sz w:val="14"/>
                <w:szCs w:val="14"/>
                <w:b w:val="1"/>
                <w:bCs w:val="1"/>
                <w:color w:val="auto"/>
              </w:rPr>
              <w:t>Employees and Directors</w:t>
            </w:r>
          </w:p>
        </w:tc>
        <w:tc>
          <w:tcPr>
            <w:tcW w:w="2640" w:type="dxa"/>
            <w:vAlign w:val="bottom"/>
            <w:gridSpan w:val="4"/>
          </w:tcPr>
          <w:p>
            <w:pPr>
              <w:ind w:left="720"/>
              <w:spacing w:after="0"/>
              <w:rPr>
                <w:sz w:val="20"/>
                <w:szCs w:val="20"/>
                <w:color w:val="auto"/>
              </w:rPr>
            </w:pPr>
            <w:r>
              <w:rPr>
                <w:rFonts w:ascii="Arial" w:cs="Arial" w:eastAsia="Arial" w:hAnsi="Arial"/>
                <w:sz w:val="14"/>
                <w:szCs w:val="14"/>
                <w:b w:val="1"/>
                <w:bCs w:val="1"/>
                <w:color w:val="auto"/>
              </w:rPr>
              <w:t>Non-employees</w:t>
            </w:r>
          </w:p>
        </w:tc>
      </w:tr>
      <w:tr>
        <w:trPr>
          <w:trHeight w:val="154"/>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w:t>
            </w:r>
          </w:p>
        </w:tc>
        <w:tc>
          <w:tcPr>
            <w:tcW w:w="11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w:t>
            </w:r>
          </w:p>
        </w:tc>
        <w:tc>
          <w:tcPr>
            <w:tcW w:w="116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3"/>
                <w:szCs w:val="13"/>
                <w:color w:val="auto"/>
              </w:rPr>
            </w:pPr>
          </w:p>
        </w:tc>
      </w:tr>
      <w:tr>
        <w:trPr>
          <w:trHeight w:val="162"/>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r>
      <w:tr>
        <w:trPr>
          <w:trHeight w:val="177"/>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Exercise Price ($)</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Exercisable</w:t>
            </w:r>
          </w:p>
        </w:tc>
      </w:tr>
      <w:tr>
        <w:trPr>
          <w:trHeight w:val="209"/>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0.16</w:t>
            </w:r>
          </w:p>
        </w:tc>
        <w:tc>
          <w:tcPr>
            <w:tcW w:w="1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15,762</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0.48</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288,453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288,453</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241,164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194,139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81,965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81,964</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66,517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47,392</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414,237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60,684</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8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1,180,606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690,760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334,164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230,917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0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 directors. If continued service terminates for any reason, the Company has the right to repurchase the unvested shares for no consideration. As of December 31, 2019, there were 8,407 shares subject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3" w:name="page224"/>
    <w:bookmarkEnd w:id="223"/>
    <w:p>
      <w:pPr>
        <w:ind w:right="780"/>
        <w:spacing w:after="0" w:line="276" w:lineRule="auto"/>
        <w:rPr>
          <w:sz w:val="20"/>
          <w:szCs w:val="20"/>
          <w:color w:val="auto"/>
        </w:rPr>
      </w:pPr>
      <w:r>
        <w:rPr>
          <w:rFonts w:ascii="Arial" w:cs="Arial" w:eastAsia="Arial" w:hAnsi="Arial"/>
          <w:sz w:val="18"/>
          <w:szCs w:val="18"/>
          <w:color w:val="auto"/>
        </w:rPr>
        <w:t>repurchase, all of which were related to non-employee RSAs and have been excluded from the weighted-average number of shares outstanding for the purposes of calculating earnings per share.</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RSA activity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r>
      <w:tr>
        <w:trPr>
          <w:trHeight w:val="177"/>
        </w:trPr>
        <w:tc>
          <w:tcPr>
            <w:tcW w:w="772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Equivalent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2018</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12,610</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(4,203)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As of December 31, 2019, there was approximately $6,000 of total unrecognized compensation cost related to non-vested restricted stock awards that will be recognized as expense over a weighted-average period of 1.23 years.</w:t>
      </w:r>
    </w:p>
    <w:p>
      <w:pPr>
        <w:spacing w:after="0" w:line="251" w:lineRule="exact"/>
        <w:rPr>
          <w:sz w:val="20"/>
          <w:szCs w:val="20"/>
          <w:color w:val="auto"/>
        </w:rPr>
      </w:pPr>
    </w:p>
    <w:p>
      <w:pPr>
        <w:ind w:left="580" w:hanging="572"/>
        <w:spacing w:after="0"/>
        <w:tabs>
          <w:tab w:leader="none" w:pos="5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Income and Income Tax</w:t>
      </w:r>
    </w:p>
    <w:p>
      <w:pPr>
        <w:spacing w:after="0" w:line="104" w:lineRule="exact"/>
        <w:rPr>
          <w:sz w:val="20"/>
          <w:szCs w:val="20"/>
          <w:color w:val="auto"/>
        </w:rPr>
      </w:pPr>
    </w:p>
    <w:p>
      <w:pPr>
        <w:ind w:right="500" w:firstLine="576"/>
        <w:spacing w:after="0" w:line="276" w:lineRule="auto"/>
        <w:rPr>
          <w:sz w:val="20"/>
          <w:szCs w:val="20"/>
          <w:color w:val="auto"/>
        </w:rPr>
      </w:pPr>
      <w:r>
        <w:rPr>
          <w:rFonts w:ascii="Arial" w:cs="Arial" w:eastAsia="Arial" w:hAnsi="Arial"/>
          <w:sz w:val="18"/>
          <w:szCs w:val="18"/>
          <w:color w:val="auto"/>
        </w:rPr>
        <w:t>All components of net loss before the effects of the income tax provision are related to losses incurred in the United States. The Company did not record a provision (benefit) for income taxes for the years ended December 31, 2018 and 2019.</w:t>
      </w:r>
    </w:p>
    <w:p>
      <w:pPr>
        <w:spacing w:after="0" w:line="145"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provision for income taxes differs from the amount expected by applying the federal statutory rates to the net loss before taxes as follows:</w:t>
      </w:r>
    </w:p>
    <w:p>
      <w:pPr>
        <w:spacing w:after="0" w:line="166"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expenses and others</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640" w:type="dxa"/>
            <w:vAlign w:val="bottom"/>
            <w:gridSpan w:val="2"/>
            <w:shd w:val="clear" w:color="auto" w:fill="CFF0FC"/>
          </w:tcPr>
          <w:p>
            <w:pPr>
              <w:spacing w:after="0" w:line="193" w:lineRule="exact"/>
              <w:rPr>
                <w:sz w:val="20"/>
                <w:szCs w:val="20"/>
                <w:color w:val="auto"/>
              </w:rPr>
            </w:pPr>
            <w:r>
              <w:rPr>
                <w:rFonts w:ascii="Arial" w:cs="Arial" w:eastAsia="Arial" w:hAnsi="Arial"/>
                <w:sz w:val="18"/>
                <w:szCs w:val="18"/>
                <w:color w:val="auto"/>
              </w:rPr>
              <w:t>Non-deductible expense related to the convertible notes and</w:t>
            </w:r>
          </w:p>
        </w:tc>
        <w:tc>
          <w:tcPr>
            <w:tcW w:w="5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derivative liability</w:t>
            </w:r>
          </w:p>
        </w:tc>
        <w:tc>
          <w:tcPr>
            <w:tcW w:w="8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 related to the grant liability</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5"/>
        </w:trPr>
        <w:tc>
          <w:tcPr>
            <w:tcW w:w="7600" w:type="dxa"/>
            <w:vAlign w:val="bottom"/>
          </w:tcPr>
          <w:p>
            <w:pPr>
              <w:ind w:left="5440"/>
              <w:spacing w:after="0"/>
              <w:rPr>
                <w:sz w:val="20"/>
                <w:szCs w:val="20"/>
                <w:color w:val="auto"/>
              </w:rPr>
            </w:pPr>
            <w:r>
              <w:rPr>
                <w:rFonts w:ascii="Arial" w:cs="Arial" w:eastAsia="Arial" w:hAnsi="Arial"/>
                <w:sz w:val="18"/>
                <w:szCs w:val="18"/>
                <w:color w:val="auto"/>
              </w:rPr>
              <w:t>F-22</w:t>
            </w:r>
          </w:p>
        </w:tc>
        <w:tc>
          <w:tcPr>
            <w:tcW w:w="10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6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68" w:right="31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i w:val="1"/>
          <w:iCs w:val="1"/>
          <w:color w:val="auto"/>
        </w:rPr>
        <w:t>Significant Components of Deferred Taxes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the Company’s deferred tax assets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3,032</w:t>
            </w:r>
          </w:p>
        </w:tc>
        <w:tc>
          <w:tcPr>
            <w:tcW w:w="180" w:type="dxa"/>
            <w:vAlign w:val="bottom"/>
          </w:tcPr>
          <w:p>
            <w:pPr>
              <w:spacing w:after="0"/>
              <w:rPr>
                <w:sz w:val="18"/>
                <w:szCs w:val="18"/>
                <w:color w:val="auto"/>
              </w:rPr>
            </w:pP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 carryforwards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Accrued liabilities and other</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assets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Prepaid expenses and other</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0"/>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valuation allowance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(3,726)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(4,790)</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deferred tax assets</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2019, the Company has recorded a full valuation allowance on its net deferred tax assets as the Company has concluded that it is not more likely than not that such losses or credits will be utilized. The valuation allowance increased by $1.2 million and $1.1 million during 2018 and 2019, respectively.</w:t>
      </w:r>
    </w:p>
    <w:p>
      <w:pPr>
        <w:spacing w:after="0" w:line="179" w:lineRule="exact"/>
        <w:rPr>
          <w:sz w:val="20"/>
          <w:szCs w:val="20"/>
          <w:color w:val="auto"/>
        </w:rPr>
      </w:pPr>
    </w:p>
    <w:p>
      <w:pPr>
        <w:ind w:right="260" w:firstLine="576"/>
        <w:spacing w:after="0" w:line="255" w:lineRule="auto"/>
        <w:rPr>
          <w:sz w:val="20"/>
          <w:szCs w:val="20"/>
          <w:color w:val="auto"/>
        </w:rPr>
      </w:pPr>
      <w:r>
        <w:rPr>
          <w:rFonts w:ascii="Arial" w:cs="Arial" w:eastAsia="Arial" w:hAnsi="Arial"/>
          <w:sz w:val="18"/>
          <w:szCs w:val="18"/>
          <w:color w:val="auto"/>
        </w:rPr>
        <w:t>At December 31, 2019, the Company has federal net operating loss and tax credit carryforwards of $9.4 million and $1.0 million, respectively, which expire over a period of 11 to 20 years. Net operating loss carryforwards of $9.2 million were generated after 2017, and therefore do not expire.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04" w:lineRule="exact"/>
        <w:rPr>
          <w:sz w:val="20"/>
          <w:szCs w:val="20"/>
          <w:color w:val="auto"/>
        </w:rPr>
      </w:pPr>
    </w:p>
    <w:p>
      <w:pPr>
        <w:jc w:val="both"/>
        <w:ind w:right="80" w:firstLine="576"/>
        <w:spacing w:after="0" w:line="248" w:lineRule="auto"/>
        <w:rPr>
          <w:sz w:val="20"/>
          <w:szCs w:val="20"/>
          <w:color w:val="auto"/>
        </w:rPr>
      </w:pPr>
      <w:r>
        <w:rPr>
          <w:rFonts w:ascii="Arial" w:cs="Arial" w:eastAsia="Arial" w:hAnsi="Arial"/>
          <w:sz w:val="18"/>
          <w:szCs w:val="18"/>
          <w:color w:val="auto"/>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 were generated and carried forward and may make adjustments to the amount of the net operating loss or credit carryforward amount. The Company is not currently under examination in any jurisdiction.</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reconciliation of the beginning and ending amount of unrecognized tax benefits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Additions for tax positions taken in the current year</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If the unrecognized tax benefits for uncertain tax positions as of December 31, 2019 are recognized, there will be no impact to the effective tax rate due to the valuation allowance. The Company recognizes interest and penalties related to unrecognized tax benefits within the income tax expense line in the accompanying financial statements. At December 31, 2019, there were no material interest and penalties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t>on uncertain tax benefits. The Company does not anticipate any significant changes to its unrecognized tax benefits in the next 12 months.</w:t>
      </w:r>
    </w:p>
    <w:p>
      <w:pPr>
        <w:spacing w:after="0" w:line="318" w:lineRule="exact"/>
        <w:rPr>
          <w:sz w:val="20"/>
          <w:szCs w:val="20"/>
          <w:color w:val="auto"/>
        </w:rPr>
      </w:pPr>
    </w:p>
    <w:p>
      <w:pPr>
        <w:ind w:left="580" w:hanging="572"/>
        <w:spacing w:after="0"/>
        <w:tabs>
          <w:tab w:leader="none" w:pos="5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06" w:lineRule="exact"/>
        <w:rPr>
          <w:sz w:val="20"/>
          <w:szCs w:val="20"/>
          <w:color w:val="auto"/>
        </w:rPr>
      </w:pPr>
    </w:p>
    <w:p>
      <w:pPr>
        <w:jc w:val="both"/>
        <w:ind w:right="580" w:firstLine="576"/>
        <w:spacing w:after="0" w:line="255" w:lineRule="auto"/>
        <w:rPr>
          <w:sz w:val="20"/>
          <w:szCs w:val="20"/>
          <w:color w:val="auto"/>
        </w:rPr>
      </w:pPr>
      <w:r>
        <w:rPr>
          <w:rFonts w:ascii="Arial" w:cs="Arial" w:eastAsia="Arial" w:hAnsi="Arial"/>
          <w:sz w:val="18"/>
          <w:szCs w:val="18"/>
          <w:color w:val="auto"/>
        </w:rPr>
        <w:t>The Company has a 401(k) Plan for all of its employees. The 401(k) Plan allows eligible employees to defer, at the employee’s discretion, up to 100% of their pretax compensation up to the Internal Revenue Service annual limit. The Company did not make any matching contributions for the years ended December 31, 2018 or 2019.</w:t>
      </w:r>
    </w:p>
    <w:p>
      <w:pPr>
        <w:spacing w:after="0" w:line="270" w:lineRule="exact"/>
        <w:rPr>
          <w:sz w:val="20"/>
          <w:szCs w:val="20"/>
          <w:color w:val="auto"/>
        </w:rPr>
      </w:pPr>
    </w:p>
    <w:p>
      <w:pPr>
        <w:ind w:left="580" w:hanging="572"/>
        <w:spacing w:after="0"/>
        <w:tabs>
          <w:tab w:leader="none" w:pos="5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06"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15"/>
                <w:szCs w:val="15"/>
                <w:color w:val="auto"/>
              </w:rPr>
            </w:pPr>
          </w:p>
        </w:tc>
        <w:tc>
          <w:tcPr>
            <w:tcW w:w="3520" w:type="dxa"/>
            <w:vAlign w:val="bottom"/>
            <w:gridSpan w:val="4"/>
          </w:tcPr>
          <w:p>
            <w:pPr>
              <w:ind w:left="8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Unvested RSAs</w:t>
            </w:r>
          </w:p>
        </w:tc>
        <w:tc>
          <w:tcPr>
            <w:tcW w:w="1560" w:type="dxa"/>
            <w:vAlign w:val="bottom"/>
          </w:tcPr>
          <w:p>
            <w:pPr>
              <w:jc w:val="right"/>
              <w:spacing w:after="0"/>
              <w:rPr>
                <w:sz w:val="20"/>
                <w:szCs w:val="20"/>
                <w:color w:val="auto"/>
              </w:rPr>
            </w:pPr>
            <w:r>
              <w:rPr>
                <w:rFonts w:ascii="Arial" w:cs="Arial" w:eastAsia="Arial" w:hAnsi="Arial"/>
                <w:sz w:val="18"/>
                <w:szCs w:val="18"/>
                <w:color w:val="auto"/>
              </w:rPr>
              <w:t>12,610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8,407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1,263,831</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1,514,770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3,897,137</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4,143,873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6" w:lineRule="exact"/>
        <w:rPr>
          <w:sz w:val="20"/>
          <w:szCs w:val="20"/>
          <w:color w:val="auto"/>
        </w:rPr>
      </w:pPr>
    </w:p>
    <w:p>
      <w:pPr>
        <w:ind w:left="580" w:hanging="572"/>
        <w:spacing w:after="0"/>
        <w:tabs>
          <w:tab w:leader="none" w:pos="5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Net Loss Per Share Attributable to Common Stockholders</w:t>
      </w:r>
    </w:p>
    <w:p>
      <w:pPr>
        <w:spacing w:after="0" w:line="119" w:lineRule="exact"/>
        <w:rPr>
          <w:sz w:val="20"/>
          <w:szCs w:val="20"/>
          <w:color w:val="auto"/>
        </w:rPr>
      </w:pPr>
    </w:p>
    <w:p>
      <w:pPr>
        <w:ind w:right="300" w:firstLine="576"/>
        <w:spacing w:after="0" w:line="255" w:lineRule="auto"/>
        <w:rPr>
          <w:sz w:val="20"/>
          <w:szCs w:val="20"/>
          <w:color w:val="auto"/>
        </w:rPr>
      </w:pPr>
      <w:r>
        <w:rPr>
          <w:rFonts w:ascii="Arial" w:cs="Arial" w:eastAsia="Arial" w:hAnsi="Arial"/>
          <w:sz w:val="18"/>
          <w:szCs w:val="18"/>
          <w:color w:val="auto"/>
        </w:rPr>
        <w:t>Pro forma basic and diluted net loss per share has been computed to give effect to the assumed conversion of all outstanding convertible preferred stock into shares of common stock, the net exercise of the outstanding warrants for shares of common stock and the repayment of the grant liability upon completion of a qualifying IPO of the Company’s common stock.</w:t>
      </w:r>
    </w:p>
    <w:p>
      <w:pPr>
        <w:spacing w:after="0" w:line="16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The following table sets forth the computation of the unaudited pro forma basic and diluted net loss per share attributable to common stockholders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jc w:val="center"/>
              <w:ind w:right="216"/>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Loss on remeasurement of grant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tcPr>
          <w:p>
            <w:pPr>
              <w:spacing w:after="0" w:line="187" w:lineRule="exact"/>
              <w:rPr>
                <w:sz w:val="20"/>
                <w:szCs w:val="20"/>
                <w:color w:val="auto"/>
              </w:rPr>
            </w:pPr>
            <w:r>
              <w:rPr>
                <w:rFonts w:ascii="Arial" w:cs="Arial" w:eastAsia="Arial" w:hAnsi="Arial"/>
                <w:sz w:val="18"/>
                <w:szCs w:val="18"/>
                <w:color w:val="auto"/>
              </w:rPr>
              <w:t>Net loss used in computing pro forma net loss per share attributable to common</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924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280" w:type="dxa"/>
            <w:vAlign w:val="bottom"/>
          </w:tcPr>
          <w:p>
            <w:pPr>
              <w:spacing w:after="0"/>
              <w:rPr>
                <w:sz w:val="23"/>
                <w:szCs w:val="23"/>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(5,061)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92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28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240" w:type="dxa"/>
            <w:vAlign w:val="bottom"/>
          </w:tcPr>
          <w:p>
            <w:pPr>
              <w:spacing w:after="0" w:line="193" w:lineRule="exact"/>
              <w:rPr>
                <w:sz w:val="20"/>
                <w:szCs w:val="20"/>
                <w:color w:val="auto"/>
              </w:rPr>
            </w:pPr>
            <w:r>
              <w:rPr>
                <w:rFonts w:ascii="Arial" w:cs="Arial" w:eastAsia="Arial" w:hAnsi="Arial"/>
                <w:sz w:val="18"/>
                <w:szCs w:val="18"/>
                <w:color w:val="auto"/>
              </w:rPr>
              <w:t>Weighted-average shares of common stock used in computing net loss per share</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Pr>
          <w:p>
            <w:pPr>
              <w:ind w:left="160"/>
              <w:spacing w:after="0"/>
              <w:rPr>
                <w:sz w:val="20"/>
                <w:szCs w:val="20"/>
                <w:color w:val="auto"/>
              </w:rPr>
            </w:pPr>
            <w:r>
              <w:rPr>
                <w:rFonts w:ascii="Arial" w:cs="Arial" w:eastAsia="Arial" w:hAnsi="Arial"/>
                <w:sz w:val="18"/>
                <w:szCs w:val="18"/>
                <w:color w:val="auto"/>
              </w:rPr>
              <w:t>attributable to common stockholders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3,566,849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Pro forma adjustment to reflect conversion of convertible preferred stock</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 forma adjustment to reflect net exercise of common stock warrants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Weighted-average shares of common stock used in computing pro forma net loss</w:t>
            </w:r>
          </w:p>
        </w:tc>
        <w:tc>
          <w:tcPr>
            <w:tcW w:w="2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per share attributable to common stockholders, basic and diluted</w:t>
            </w:r>
          </w:p>
        </w:tc>
        <w:tc>
          <w:tcPr>
            <w:tcW w:w="2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6,186,544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40" w:type="dxa"/>
            <w:vAlign w:val="bottom"/>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ind w:left="5440"/>
              <w:spacing w:after="0"/>
              <w:rPr>
                <w:sz w:val="20"/>
                <w:szCs w:val="20"/>
                <w:color w:val="auto"/>
              </w:rPr>
            </w:pPr>
            <w:r>
              <w:rPr>
                <w:rFonts w:ascii="Arial" w:cs="Arial" w:eastAsia="Arial" w:hAnsi="Arial"/>
                <w:sz w:val="18"/>
                <w:szCs w:val="18"/>
                <w:color w:val="auto"/>
              </w:rPr>
              <w:t>F-24</w:t>
            </w: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9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9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sectPr>
      </w:pPr>
    </w:p>
    <w:bookmarkStart w:id="226" w:name="page227"/>
    <w:bookmarkEnd w:id="226"/>
    <w:p>
      <w:pPr>
        <w:ind w:left="900" w:hanging="892"/>
        <w:spacing w:after="0"/>
        <w:tabs>
          <w:tab w:leader="none" w:pos="9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6" w:lineRule="exact"/>
        <w:rPr>
          <w:sz w:val="20"/>
          <w:szCs w:val="20"/>
          <w:color w:val="auto"/>
        </w:rPr>
      </w:pPr>
    </w:p>
    <w:p>
      <w:pPr>
        <w:jc w:val="both"/>
        <w:ind w:right="100" w:firstLine="576"/>
        <w:spacing w:after="0" w:line="255" w:lineRule="auto"/>
        <w:rPr>
          <w:sz w:val="20"/>
          <w:szCs w:val="20"/>
          <w:color w:val="auto"/>
        </w:rPr>
      </w:pPr>
      <w:r>
        <w:rPr>
          <w:rFonts w:ascii="Arial" w:cs="Arial" w:eastAsia="Arial" w:hAnsi="Arial"/>
          <w:sz w:val="18"/>
          <w:szCs w:val="18"/>
          <w:color w:val="auto"/>
        </w:rPr>
        <w:t>For the year ended December 31, 2019, management evaluated subsequent events through July 24, 2020, the date these financial statements were issued, and September 14, 2020, the date the revised financial statements were issued. The Company has concluded that no events or transactions have occurred that require disclosure in the accompanying financial statements, other than the following.</w:t>
      </w:r>
    </w:p>
    <w:p>
      <w:pPr>
        <w:spacing w:after="0" w:line="270" w:lineRule="exact"/>
        <w:rPr>
          <w:sz w:val="20"/>
          <w:szCs w:val="20"/>
          <w:color w:val="auto"/>
        </w:rPr>
      </w:pPr>
    </w:p>
    <w:p>
      <w:pPr>
        <w:ind w:left="1000" w:hanging="425"/>
        <w:spacing w:after="0"/>
        <w:tabs>
          <w:tab w:leader="none" w:pos="10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Grants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Subsequent to December 31, 2019, the Company granted 44,765 stock options with an exercise price of $1.35 per share.</w:t>
      </w:r>
    </w:p>
    <w:p>
      <w:pPr>
        <w:spacing w:after="0" w:line="212" w:lineRule="exact"/>
        <w:rPr>
          <w:sz w:val="20"/>
          <w:szCs w:val="20"/>
          <w:color w:val="auto"/>
        </w:rPr>
      </w:pPr>
    </w:p>
    <w:p>
      <w:pPr>
        <w:ind w:right="160" w:firstLine="576"/>
        <w:spacing w:after="0" w:line="245" w:lineRule="auto"/>
        <w:rPr>
          <w:sz w:val="20"/>
          <w:szCs w:val="20"/>
          <w:color w:val="auto"/>
        </w:rPr>
      </w:pPr>
      <w:r>
        <w:rPr>
          <w:rFonts w:ascii="Arial" w:cs="Arial" w:eastAsia="Arial" w:hAnsi="Arial"/>
          <w:sz w:val="18"/>
          <w:szCs w:val="18"/>
          <w:color w:val="auto"/>
        </w:rPr>
        <w:t>In September 2020, the board of directors of the Company approved option awards to purchase an aggregate of 943,223 shares of common stock to certain executives, employees, advisors and non-employee directors of the Company. These awards will be issued under the 2020 Equity Incentive Plan and are subject to and will become effective upon the effectiveness of the Company’s registration statement. The exercise price of each option will be equal to the initial price of a share of the Company’s common stock to the public as of the effective date of the registration statement.</w:t>
      </w:r>
    </w:p>
    <w:p>
      <w:pPr>
        <w:spacing w:after="0" w:line="278" w:lineRule="exact"/>
        <w:rPr>
          <w:sz w:val="20"/>
          <w:szCs w:val="20"/>
          <w:color w:val="auto"/>
        </w:rPr>
      </w:pPr>
    </w:p>
    <w:p>
      <w:pPr>
        <w:ind w:left="1000" w:hanging="425"/>
        <w:spacing w:after="0"/>
        <w:tabs>
          <w:tab w:leader="none" w:pos="10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19"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The Company issued $1.7 million of additional convertible notes during January 2020, including $250,000 of convertible notes to the Company’s chief operating officer and affiliates, which the Company has determined to be related parties.</w:t>
      </w:r>
    </w:p>
    <w:p>
      <w:pPr>
        <w:spacing w:after="0" w:line="251" w:lineRule="exact"/>
        <w:rPr>
          <w:sz w:val="20"/>
          <w:szCs w:val="20"/>
          <w:color w:val="auto"/>
        </w:rPr>
      </w:pPr>
    </w:p>
    <w:p>
      <w:pPr>
        <w:ind w:left="1000" w:hanging="425"/>
        <w:spacing w:after="0"/>
        <w:tabs>
          <w:tab w:leader="none" w:pos="10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Paycheck Protection Program</w:t>
      </w:r>
    </w:p>
    <w:p>
      <w:pPr>
        <w:spacing w:after="0" w:line="119"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Company received a loan of $215,000 from the U.S. Small Business Administration Paycheck Protection Program (“PPP”) in April 2020. The PPP loans are intended to assist companies impacted by the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280" w:lineRule="exact"/>
        <w:rPr>
          <w:sz w:val="20"/>
          <w:szCs w:val="20"/>
          <w:color w:val="auto"/>
        </w:rPr>
      </w:pPr>
    </w:p>
    <w:p>
      <w:pPr>
        <w:ind w:left="1000" w:hanging="425"/>
        <w:spacing w:after="0"/>
        <w:tabs>
          <w:tab w:leader="none" w:pos="10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COVID-19</w:t>
      </w:r>
    </w:p>
    <w:p>
      <w:pPr>
        <w:spacing w:after="0" w:line="119"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Management continues to evaluate the potential impacts of the COVID-19 pandemic on the development of its product candidates, and business. The Company is working closely with its manufacturing vendors to maintain adequate product supply and with healthcare providers as future studies are planned to mitigate risk to patients while adhering to regulatory, institutional and government guidance and policies. The Company remains committed to its development plans and acknowledges the potential risk for delays in the product supply chain and in anticipated timelines for its preclinical studies and clinical trials.</w:t>
      </w:r>
    </w:p>
    <w:p>
      <w:pPr>
        <w:spacing w:after="0" w:line="278" w:lineRule="exact"/>
        <w:rPr>
          <w:sz w:val="20"/>
          <w:szCs w:val="20"/>
          <w:color w:val="auto"/>
        </w:rPr>
      </w:pPr>
    </w:p>
    <w:p>
      <w:pPr>
        <w:ind w:left="1000" w:hanging="425"/>
        <w:spacing w:after="0"/>
        <w:tabs>
          <w:tab w:leader="none" w:pos="10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19"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In May and June 2020, the Company issued an aggregate of 9,372,765 shares of Series B convertible preferred stock at a purchase price of $9.12 per share for proceeds of $81.8 million, net of offering costs. The Company issued warrants to purchase 2,343,168 shares of its common stock, of which 688,067 shares were exercised concurrently with the Series B convertible preferred stock issuance for net proceeds of $55,000. In addition, the Company issued warrants to purchase 127,481 shares of its Series B convertible preferred stock at $9.12 per share. The Series B convertible preferred stock financing triggered the automatic conversion of the Company’s then outstanding convertible promissory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06" w:right="379" w:bottom="1440" w:gutter="0" w:footer="0" w:header="0"/>
        </w:sectPr>
      </w:pPr>
    </w:p>
    <w:bookmarkStart w:id="227" w:name="page228"/>
    <w:bookmarkEnd w:id="227"/>
    <w:p>
      <w:pPr>
        <w:ind w:right="100"/>
        <w:spacing w:after="0" w:line="276" w:lineRule="auto"/>
        <w:rPr>
          <w:sz w:val="20"/>
          <w:szCs w:val="20"/>
          <w:color w:val="auto"/>
        </w:rPr>
      </w:pPr>
      <w:r>
        <w:rPr>
          <w:rFonts w:ascii="Arial" w:cs="Arial" w:eastAsia="Arial" w:hAnsi="Arial"/>
          <w:sz w:val="18"/>
          <w:szCs w:val="18"/>
          <w:color w:val="auto"/>
        </w:rPr>
        <w:t>notes into an aggregate of 512,858 shares of Series B-1 convertible preferred stock based on a price of $7.752 per share (85% of the $9.12 original issuance price of the Series B convertible preferred stock).</w:t>
      </w:r>
    </w:p>
    <w:p>
      <w:pPr>
        <w:spacing w:after="0" w:line="251" w:lineRule="exact"/>
        <w:rPr>
          <w:sz w:val="20"/>
          <w:szCs w:val="20"/>
          <w:color w:val="auto"/>
        </w:rPr>
      </w:pPr>
    </w:p>
    <w:p>
      <w:pPr>
        <w:ind w:left="1000" w:hanging="425"/>
        <w:spacing w:after="0"/>
        <w:tabs>
          <w:tab w:leader="none" w:pos="10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Athira Pharma Australia PTY LTD</w:t>
      </w:r>
    </w:p>
    <w:p>
      <w:pPr>
        <w:spacing w:after="0" w:line="119"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In July 2020, the Company established Athira Pharma Australia PTY LTD, a subsidiary, to facilitate clinical trials in Australia. As of the date hereof, research and development operations have not commenced in Australia.</w:t>
      </w:r>
    </w:p>
    <w:p>
      <w:pPr>
        <w:spacing w:after="0" w:line="251" w:lineRule="exact"/>
        <w:rPr>
          <w:sz w:val="20"/>
          <w:szCs w:val="20"/>
          <w:color w:val="auto"/>
        </w:rPr>
      </w:pPr>
    </w:p>
    <w:p>
      <w:pPr>
        <w:ind w:left="1000" w:hanging="425"/>
        <w:spacing w:after="0"/>
        <w:tabs>
          <w:tab w:leader="none" w:pos="100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119"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In September 2020, the board of directors of the Company approved the Employee Stock Purchase Plan (the “ESPP”). The ESPP will become effective on the date immediately prior to the effectiveness of the Company’s registration statement on Form S-1 for its proposed IPO. The ESPP provides for the issuance of up to 323,000 shares of common stock.</w:t>
      </w:r>
    </w:p>
    <w:p>
      <w:pPr>
        <w:spacing w:after="0" w:line="270" w:lineRule="exact"/>
        <w:rPr>
          <w:sz w:val="20"/>
          <w:szCs w:val="20"/>
          <w:color w:val="auto"/>
        </w:rPr>
      </w:pPr>
    </w:p>
    <w:p>
      <w:pPr>
        <w:ind w:left="1000" w:hanging="425"/>
        <w:spacing w:after="0"/>
        <w:tabs>
          <w:tab w:leader="none" w:pos="100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Spilt</w:t>
      </w:r>
    </w:p>
    <w:p>
      <w:pPr>
        <w:spacing w:after="0" w:line="119" w:lineRule="exact"/>
        <w:rPr>
          <w:sz w:val="20"/>
          <w:szCs w:val="20"/>
          <w:color w:val="auto"/>
        </w:rPr>
      </w:pPr>
    </w:p>
    <w:p>
      <w:pPr>
        <w:ind w:firstLine="576"/>
        <w:spacing w:after="0" w:line="263" w:lineRule="auto"/>
        <w:rPr>
          <w:sz w:val="20"/>
          <w:szCs w:val="20"/>
          <w:color w:val="auto"/>
        </w:rPr>
      </w:pPr>
      <w:r>
        <w:rPr>
          <w:rFonts w:ascii="Arial" w:cs="Arial" w:eastAsia="Arial" w:hAnsi="Arial"/>
          <w:sz w:val="17"/>
          <w:szCs w:val="17"/>
          <w:color w:val="auto"/>
        </w:rPr>
        <w:t>In September 2020, the board of directors of the Company approved an amendment to the Company’s certificate of incorporation to effect a reverse split of shares of the Company’s common stock and preferred stock on a 7.9302-for-one basis, which was effected on September 11, 2020. All references to convertible preferred stock, common stock, warrants to purchase convertible preferred stock, warrants to purchase common stock, options to purchase common stock, restricted stock awards, per share amounts and related information contained in the financial statements have been retroactively adjusted to reflect the effect of the reverse stock split for all periods presented.</w:t>
      </w:r>
    </w:p>
    <w:p>
      <w:pPr>
        <w:spacing w:after="0" w:line="263" w:lineRule="exact"/>
        <w:rPr>
          <w:sz w:val="20"/>
          <w:szCs w:val="20"/>
          <w:color w:val="auto"/>
        </w:rPr>
      </w:pPr>
    </w:p>
    <w:p>
      <w:pPr>
        <w:ind w:left="1000" w:hanging="425"/>
        <w:spacing w:after="0"/>
        <w:tabs>
          <w:tab w:leader="none" w:pos="10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National Institutes of Health Grant</w:t>
      </w:r>
    </w:p>
    <w:p>
      <w:pPr>
        <w:spacing w:after="0" w:line="119"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In September 2020, the Company was awarded a $7.8 million grant from the National Institute on Aging of the National Institutes of Health under award R01AG068268 for the period September 15, 2020 through May 31, 2021.</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t>ATHIRA PHARMA, INC</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8"/>
              </w:rPr>
              <w:t>As of</w:t>
            </w:r>
          </w:p>
        </w:tc>
        <w:tc>
          <w:tcPr>
            <w:tcW w:w="22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4"/>
              </w:rPr>
              <w:t>December 31,</w:t>
            </w:r>
          </w:p>
        </w:tc>
        <w:tc>
          <w:tcPr>
            <w:tcW w:w="220" w:type="dxa"/>
            <w:vAlign w:val="bottom"/>
          </w:tcPr>
          <w:p>
            <w:pPr>
              <w:spacing w:after="0"/>
              <w:rPr>
                <w:sz w:val="12"/>
                <w:szCs w:val="12"/>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September 30,</w:t>
            </w:r>
          </w:p>
        </w:tc>
        <w:tc>
          <w:tcPr>
            <w:tcW w:w="0" w:type="dxa"/>
            <w:vAlign w:val="bottom"/>
          </w:tcPr>
          <w:p>
            <w:pPr>
              <w:spacing w:after="0"/>
              <w:rPr>
                <w:sz w:val="1"/>
                <w:szCs w:val="1"/>
                <w:color w:val="auto"/>
              </w:rPr>
            </w:pPr>
          </w:p>
        </w:tc>
      </w:tr>
      <w:tr>
        <w:trPr>
          <w:trHeight w:val="159"/>
        </w:trPr>
        <w:tc>
          <w:tcPr>
            <w:tcW w:w="77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69"/>
              <w:spacing w:after="0"/>
              <w:rPr>
                <w:sz w:val="20"/>
                <w:szCs w:val="20"/>
                <w:color w:val="auto"/>
              </w:rPr>
            </w:pPr>
            <w:r>
              <w:rPr>
                <w:rFonts w:ascii="Arial" w:cs="Arial" w:eastAsia="Arial" w:hAnsi="Arial"/>
                <w:sz w:val="13"/>
                <w:szCs w:val="13"/>
                <w:b w:val="1"/>
                <w:bCs w:val="1"/>
                <w:color w:val="auto"/>
                <w:w w:val="96"/>
              </w:rPr>
              <w:t>2019</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49"/>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165,725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4"/>
                <w:szCs w:val="14"/>
                <w:color w:val="auto"/>
              </w:rPr>
              <w:t>Short-term investments</w:t>
            </w:r>
          </w:p>
        </w:tc>
        <w:tc>
          <w:tcPr>
            <w:tcW w:w="24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60,547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Current portion of unsecured related party note receivable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2,160</w:t>
            </w:r>
          </w:p>
        </w:tc>
        <w:tc>
          <w:tcPr>
            <w:tcW w:w="28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232,266</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Operating lease right-of-use asset</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Long-term investments</w:t>
            </w:r>
          </w:p>
        </w:tc>
        <w:tc>
          <w:tcPr>
            <w:tcW w:w="24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33,656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Unsecured related party note receivable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2,189</w:t>
            </w:r>
          </w:p>
        </w:tc>
        <w:tc>
          <w:tcPr>
            <w:tcW w:w="28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267,939</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720" w:type="dxa"/>
            <w:vAlign w:val="bottom"/>
          </w:tcPr>
          <w:p>
            <w:pPr>
              <w:ind w:left="12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421</w:t>
            </w:r>
          </w:p>
        </w:tc>
        <w:tc>
          <w:tcPr>
            <w:tcW w:w="2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3,872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4"/>
                <w:szCs w:val="14"/>
                <w:color w:val="auto"/>
              </w:rPr>
              <w:t>Current operating lease liability</w:t>
            </w:r>
          </w:p>
        </w:tc>
        <w:tc>
          <w:tcPr>
            <w:tcW w:w="24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Grant liability</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1,273</w:t>
            </w: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Operating lease liability, less current portion</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4"/>
                <w:szCs w:val="14"/>
                <w:color w:val="auto"/>
              </w:rPr>
              <w:t>Grant liability</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1,036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Derivative liability</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Convertible notes, net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1,553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4,861</w:t>
            </w:r>
          </w:p>
        </w:tc>
        <w:tc>
          <w:tcPr>
            <w:tcW w:w="28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8,469</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20"/>
                <w:szCs w:val="20"/>
                <w:color w:val="auto"/>
              </w:rPr>
            </w:pPr>
            <w:r>
              <w:rPr>
                <w:rFonts w:ascii="Arial" w:cs="Arial" w:eastAsia="Arial" w:hAnsi="Arial"/>
                <w:sz w:val="14"/>
                <w:szCs w:val="14"/>
                <w:color w:val="auto"/>
              </w:rPr>
              <w:t>Commitments and contingencies (Note 8)</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Convertible preferred stock, $0.0001 par value; 2,797,464 and 0 shares</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authorized at December 31, 2019 and September 30, 2020, respectively;</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2,617,386 and 0 shares issued and outstanding at December 31, 2019</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and September 30, 2020, respectively</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17,051</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4"/>
                <w:szCs w:val="14"/>
                <w:color w:val="auto"/>
              </w:rPr>
              <w:t>Stockholders' equity (deficit):</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$0.0001 par value; 10,088,017 and 900,000,000</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shares authorized at December 31, 2019 and September 30,</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2020, respectively; 3,641,449 and 31,087,395 shares issued and</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outstanding at December 31, 2019 and September 30, 2020,</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respectively</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1,364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292,800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income</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(21,087)</w:t>
            </w:r>
          </w:p>
        </w:tc>
        <w:tc>
          <w:tcPr>
            <w:tcW w:w="220" w:type="dxa"/>
            <w:vAlign w:val="bottom"/>
          </w:tcPr>
          <w:p>
            <w:pPr>
              <w:spacing w:after="0"/>
              <w:rPr>
                <w:sz w:val="15"/>
                <w:szCs w:val="15"/>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(33,340)</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500"/>
              <w:spacing w:after="0"/>
              <w:rPr>
                <w:sz w:val="20"/>
                <w:szCs w:val="20"/>
                <w:color w:val="auto"/>
              </w:rPr>
            </w:pPr>
            <w:r>
              <w:rPr>
                <w:rFonts w:ascii="Arial" w:cs="Arial" w:eastAsia="Arial" w:hAnsi="Arial"/>
                <w:sz w:val="14"/>
                <w:szCs w:val="14"/>
                <w:color w:val="auto"/>
              </w:rPr>
              <w:t>Total stockholders' equity (deficit)</w:t>
            </w: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(19,723)</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259,470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Pr>
          <w:p>
            <w:pPr>
              <w:ind w:left="500"/>
              <w:spacing w:after="0" w:line="156" w:lineRule="exact"/>
              <w:rPr>
                <w:sz w:val="20"/>
                <w:szCs w:val="20"/>
                <w:color w:val="auto"/>
              </w:rPr>
            </w:pPr>
            <w:r>
              <w:rPr>
                <w:rFonts w:ascii="Arial" w:cs="Arial" w:eastAsia="Arial" w:hAnsi="Arial"/>
                <w:sz w:val="14"/>
                <w:szCs w:val="14"/>
                <w:color w:val="auto"/>
              </w:rPr>
              <w:t>Total liabilities, convertible preferred stock and stockholders' equity</w:t>
            </w: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620"/>
              <w:spacing w:after="0"/>
              <w:rPr>
                <w:sz w:val="20"/>
                <w:szCs w:val="20"/>
                <w:color w:val="auto"/>
              </w:rPr>
            </w:pPr>
            <w:r>
              <w:rPr>
                <w:rFonts w:ascii="Arial" w:cs="Arial" w:eastAsia="Arial" w:hAnsi="Arial"/>
                <w:sz w:val="14"/>
                <w:szCs w:val="14"/>
                <w:color w:val="auto"/>
              </w:rPr>
              <w:t>(deficit)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2,189</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267,939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24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82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4"/>
                <w:szCs w:val="14"/>
                <w:color w:val="auto"/>
              </w:rPr>
            </w:pPr>
          </w:p>
        </w:tc>
        <w:tc>
          <w:tcPr>
            <w:tcW w:w="8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4"/>
                <w:szCs w:val="14"/>
                <w:color w:val="auto"/>
              </w:rPr>
            </w:pPr>
          </w:p>
        </w:tc>
        <w:tc>
          <w:tcPr>
            <w:tcW w:w="8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5,830</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3,135</w:t>
            </w:r>
          </w:p>
        </w:tc>
        <w:tc>
          <w:tcPr>
            <w:tcW w:w="16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(1,059)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09"/>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Unrealized gain (loss) on available-for-sale</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82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82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8"/>
                <w:szCs w:val="18"/>
                <w:color w:val="auto"/>
              </w:rPr>
              <w:t>Comprehensive loss attributable to common</w:t>
            </w:r>
          </w:p>
        </w:tc>
        <w:tc>
          <w:tcPr>
            <w:tcW w:w="2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stockholders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(1,530)</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(8,449)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(4,187)</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82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74"/>
        </w:trPr>
        <w:tc>
          <w:tcPr>
            <w:tcW w:w="582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w:t>
            </w:r>
          </w:p>
        </w:tc>
        <w:tc>
          <w:tcPr>
            <w:tcW w:w="2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net loss per share attributable to common</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stockholders,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3,554,345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7,564,538</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3,551,586</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5,155,338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Convertible Preferred Stock and Stockholders’ Deficit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September 30, 2019 and 2020</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20"/>
          </w:cols>
          <w:pgMar w:left="320" w:top="574" w:right="359" w:bottom="1440" w:gutter="0" w:footer="0" w:header="0"/>
        </w:sect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380" w:type="dxa"/>
            <w:vAlign w:val="bottom"/>
            <w:gridSpan w:val="3"/>
          </w:tcPr>
          <w:p>
            <w:pPr>
              <w:jc w:val="center"/>
              <w:ind w:left="351"/>
              <w:spacing w:after="0"/>
              <w:rPr>
                <w:sz w:val="20"/>
                <w:szCs w:val="20"/>
                <w:color w:val="auto"/>
              </w:rPr>
            </w:pPr>
            <w:r>
              <w:rPr>
                <w:rFonts w:ascii="Arial" w:cs="Arial" w:eastAsia="Arial" w:hAnsi="Arial"/>
                <w:sz w:val="13"/>
                <w:szCs w:val="13"/>
                <w:b w:val="1"/>
                <w:bCs w:val="1"/>
                <w:color w:val="auto"/>
                <w:w w:val="95"/>
              </w:rPr>
              <w:t>Convertible</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1380" w:type="dxa"/>
            <w:vAlign w:val="bottom"/>
            <w:tcBorders>
              <w:bottom w:val="single" w:sz="8" w:color="auto"/>
            </w:tcBorders>
            <w:gridSpan w:val="3"/>
          </w:tcPr>
          <w:p>
            <w:pPr>
              <w:jc w:val="center"/>
              <w:ind w:left="371"/>
              <w:spacing w:after="0"/>
              <w:rPr>
                <w:sz w:val="20"/>
                <w:szCs w:val="20"/>
                <w:color w:val="auto"/>
              </w:rPr>
            </w:pPr>
            <w:r>
              <w:rPr>
                <w:rFonts w:ascii="Arial" w:cs="Arial" w:eastAsia="Arial" w:hAnsi="Arial"/>
                <w:sz w:val="13"/>
                <w:szCs w:val="13"/>
                <w:b w:val="1"/>
                <w:bCs w:val="1"/>
                <w:color w:val="auto"/>
                <w:w w:val="97"/>
              </w:rPr>
              <w:t>Preferred Stock</w:t>
            </w: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June 30, 2019</w:t>
            </w: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jc w:val="right"/>
              <w:ind w:right="48"/>
              <w:spacing w:after="0" w:line="142"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40" w:type="dxa"/>
            <w:vAlign w:val="bottom"/>
            <w:vMerge w:val="continue"/>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2,617,386</w:t>
            </w:r>
          </w:p>
        </w:tc>
        <w:tc>
          <w:tcPr>
            <w:tcW w:w="220" w:type="dxa"/>
            <w:vAlign w:val="bottom"/>
          </w:tcPr>
          <w:p>
            <w:pPr>
              <w:spacing w:after="0"/>
              <w:rPr>
                <w:sz w:val="14"/>
                <w:szCs w:val="14"/>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17,051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80"/>
              <w:spacing w:after="0"/>
              <w:rPr>
                <w:sz w:val="20"/>
                <w:szCs w:val="20"/>
                <w:color w:val="auto"/>
              </w:rPr>
            </w:pPr>
            <w:r>
              <w:rPr>
                <w:rFonts w:ascii="Arial" w:cs="Arial" w:eastAsia="Arial" w:hAnsi="Arial"/>
                <w:sz w:val="14"/>
                <w:szCs w:val="14"/>
                <w:color w:val="auto"/>
              </w:rPr>
              <w:t>common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September 30,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2,617,386</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17,051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040" w:type="dxa"/>
            <w:vAlign w:val="bottom"/>
          </w:tcPr>
          <w:p>
            <w:pPr>
              <w:spacing w:after="0"/>
              <w:rPr>
                <w:sz w:val="24"/>
                <w:szCs w:val="24"/>
                <w:color w:val="auto"/>
              </w:rPr>
            </w:pPr>
          </w:p>
        </w:tc>
        <w:tc>
          <w:tcPr>
            <w:tcW w:w="1380" w:type="dxa"/>
            <w:vAlign w:val="bottom"/>
            <w:gridSpan w:val="3"/>
          </w:tcPr>
          <w:p>
            <w:pPr>
              <w:jc w:val="center"/>
              <w:ind w:left="351"/>
              <w:spacing w:after="0"/>
              <w:rPr>
                <w:sz w:val="20"/>
                <w:szCs w:val="20"/>
                <w:color w:val="auto"/>
              </w:rPr>
            </w:pPr>
            <w:r>
              <w:rPr>
                <w:rFonts w:ascii="Arial" w:cs="Arial" w:eastAsia="Arial" w:hAnsi="Arial"/>
                <w:sz w:val="13"/>
                <w:szCs w:val="13"/>
                <w:b w:val="1"/>
                <w:bCs w:val="1"/>
                <w:color w:val="auto"/>
                <w:w w:val="95"/>
              </w:rPr>
              <w:t>Convertible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1380" w:type="dxa"/>
            <w:vAlign w:val="bottom"/>
            <w:tcBorders>
              <w:bottom w:val="single" w:sz="8" w:color="auto"/>
            </w:tcBorders>
            <w:gridSpan w:val="3"/>
          </w:tcPr>
          <w:p>
            <w:pPr>
              <w:jc w:val="center"/>
              <w:ind w:left="371"/>
              <w:spacing w:after="0"/>
              <w:rPr>
                <w:sz w:val="20"/>
                <w:szCs w:val="20"/>
                <w:color w:val="auto"/>
              </w:rPr>
            </w:pPr>
            <w:r>
              <w:rPr>
                <w:rFonts w:ascii="Arial" w:cs="Arial" w:eastAsia="Arial" w:hAnsi="Arial"/>
                <w:sz w:val="13"/>
                <w:szCs w:val="13"/>
                <w:b w:val="1"/>
                <w:bCs w:val="1"/>
                <w:color w:val="auto"/>
                <w:w w:val="97"/>
              </w:rPr>
              <w:t>Preferred Stock</w:t>
            </w: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June 30, 2020</w:t>
            </w: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jc w:val="right"/>
              <w:ind w:right="48"/>
              <w:spacing w:after="0" w:line="142"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40" w:type="dxa"/>
            <w:vAlign w:val="bottom"/>
            <w:vMerge w:val="continue"/>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12,503,009</w:t>
            </w:r>
          </w:p>
        </w:tc>
        <w:tc>
          <w:tcPr>
            <w:tcW w:w="220" w:type="dxa"/>
            <w:vAlign w:val="bottom"/>
          </w:tcPr>
          <w:p>
            <w:pPr>
              <w:spacing w:after="0"/>
              <w:rPr>
                <w:sz w:val="14"/>
                <w:szCs w:val="14"/>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92,537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80"/>
              <w:spacing w:after="0"/>
              <w:rPr>
                <w:sz w:val="20"/>
                <w:szCs w:val="20"/>
                <w:color w:val="auto"/>
              </w:rPr>
            </w:pPr>
            <w:r>
              <w:rPr>
                <w:rFonts w:ascii="Arial" w:cs="Arial" w:eastAsia="Arial" w:hAnsi="Arial"/>
                <w:sz w:val="14"/>
                <w:szCs w:val="14"/>
                <w:color w:val="auto"/>
              </w:rPr>
              <w:t>common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Proceeds from initial public offering, net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380"/>
              <w:spacing w:after="0"/>
              <w:rPr>
                <w:sz w:val="20"/>
                <w:szCs w:val="20"/>
                <w:color w:val="auto"/>
              </w:rPr>
            </w:pPr>
            <w:r>
              <w:rPr>
                <w:rFonts w:ascii="Arial" w:cs="Arial" w:eastAsia="Arial" w:hAnsi="Arial"/>
                <w:sz w:val="14"/>
                <w:szCs w:val="14"/>
                <w:color w:val="auto"/>
              </w:rPr>
              <w:t>underwriters' discounts and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commissions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380"/>
              <w:spacing w:after="0"/>
              <w:rPr>
                <w:sz w:val="20"/>
                <w:szCs w:val="20"/>
                <w:color w:val="auto"/>
              </w:rPr>
            </w:pPr>
            <w:r>
              <w:rPr>
                <w:rFonts w:ascii="Arial" w:cs="Arial" w:eastAsia="Arial" w:hAnsi="Arial"/>
                <w:sz w:val="14"/>
                <w:szCs w:val="14"/>
                <w:color w:val="auto"/>
              </w:rPr>
              <w:t>and issuance costs of $3.3 million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Conversion of convertible preferred stock</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(12,503,009)</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(92,537)</w:t>
            </w:r>
          </w:p>
        </w:tc>
        <w:tc>
          <w:tcPr>
            <w:tcW w:w="0" w:type="dxa"/>
            <w:vAlign w:val="bottom"/>
          </w:tcPr>
          <w:p>
            <w:pPr>
              <w:spacing w:after="0"/>
              <w:rPr>
                <w:sz w:val="1"/>
                <w:szCs w:val="1"/>
                <w:color w:val="auto"/>
              </w:rPr>
            </w:pPr>
          </w:p>
        </w:tc>
      </w:tr>
      <w:tr>
        <w:trPr>
          <w:trHeight w:val="176"/>
        </w:trPr>
        <w:tc>
          <w:tcPr>
            <w:tcW w:w="3040" w:type="dxa"/>
            <w:vAlign w:val="bottom"/>
          </w:tcPr>
          <w:p>
            <w:pPr>
              <w:ind w:left="260"/>
              <w:spacing w:after="0"/>
              <w:rPr>
                <w:sz w:val="20"/>
                <w:szCs w:val="20"/>
                <w:color w:val="auto"/>
              </w:rPr>
            </w:pPr>
            <w:r>
              <w:rPr>
                <w:rFonts w:ascii="Arial" w:cs="Arial" w:eastAsia="Arial" w:hAnsi="Arial"/>
                <w:sz w:val="14"/>
                <w:szCs w:val="14"/>
                <w:color w:val="auto"/>
              </w:rPr>
              <w:t>Exercise of common stock warrants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September 30, 2020</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780" w:type="dxa"/>
            <w:vAlign w:val="bottom"/>
            <w:gridSpan w:val="4"/>
            <w:vMerge w:val="restart"/>
          </w:tcPr>
          <w:p>
            <w:pPr>
              <w:jc w:val="right"/>
              <w:ind w:right="36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1"/>
                <w:szCs w:val="11"/>
                <w:color w:val="auto"/>
              </w:rPr>
            </w:pPr>
          </w:p>
        </w:tc>
        <w:tc>
          <w:tcPr>
            <w:tcW w:w="9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Other</w:t>
            </w:r>
          </w:p>
        </w:tc>
        <w:tc>
          <w:tcPr>
            <w:tcW w:w="1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64"/>
        </w:trPr>
        <w:tc>
          <w:tcPr>
            <w:tcW w:w="17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42"/>
        </w:trPr>
        <w:tc>
          <w:tcPr>
            <w:tcW w:w="84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50"/>
              <w:spacing w:after="0" w:line="142" w:lineRule="exact"/>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10"/>
              <w:spacing w:after="0" w:line="142" w:lineRule="exact"/>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9"/>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1"/>
              <w:spacing w:after="0" w:line="142" w:lineRule="exact"/>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40" w:type="dxa"/>
            <w:vAlign w:val="bottom"/>
          </w:tcPr>
          <w:p>
            <w:pPr>
              <w:jc w:val="right"/>
              <w:spacing w:after="0"/>
              <w:rPr>
                <w:sz w:val="20"/>
                <w:szCs w:val="20"/>
                <w:color w:val="auto"/>
              </w:rPr>
            </w:pPr>
            <w:r>
              <w:rPr>
                <w:rFonts w:ascii="Arial" w:cs="Arial" w:eastAsia="Arial" w:hAnsi="Arial"/>
                <w:sz w:val="14"/>
                <w:szCs w:val="14"/>
                <w:color w:val="auto"/>
              </w:rPr>
              <w:t>3,565,789</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1,166</w:t>
            </w:r>
          </w:p>
        </w:tc>
        <w:tc>
          <w:tcPr>
            <w:tcW w:w="2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(18,583)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(17,417)</w:t>
            </w:r>
          </w:p>
        </w:tc>
        <w:tc>
          <w:tcPr>
            <w:tcW w:w="0" w:type="dxa"/>
            <w:vAlign w:val="bottom"/>
          </w:tcPr>
          <w:p>
            <w:pPr>
              <w:spacing w:after="0"/>
              <w:rPr>
                <w:sz w:val="1"/>
                <w:szCs w:val="1"/>
                <w:color w:val="auto"/>
              </w:rPr>
            </w:pPr>
          </w:p>
        </w:tc>
      </w:tr>
      <w:tr>
        <w:trPr>
          <w:trHeight w:val="481"/>
        </w:trPr>
        <w:tc>
          <w:tcPr>
            <w:tcW w:w="840" w:type="dxa"/>
            <w:vAlign w:val="bottom"/>
          </w:tcPr>
          <w:p>
            <w:pPr>
              <w:jc w:val="right"/>
              <w:spacing w:after="0"/>
              <w:rPr>
                <w:sz w:val="20"/>
                <w:szCs w:val="20"/>
                <w:color w:val="auto"/>
              </w:rPr>
            </w:pPr>
            <w:r>
              <w:rPr>
                <w:rFonts w:ascii="Arial" w:cs="Arial" w:eastAsia="Arial" w:hAnsi="Arial"/>
                <w:sz w:val="14"/>
                <w:szCs w:val="14"/>
                <w:color w:val="auto"/>
              </w:rPr>
              <w:t>6,305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(1,530)</w:t>
            </w:r>
          </w:p>
        </w:tc>
        <w:tc>
          <w:tcPr>
            <w:tcW w:w="1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3,572,094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1,241</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(20,113)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(18,872)</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780" w:type="dxa"/>
            <w:vAlign w:val="bottom"/>
            <w:gridSpan w:val="4"/>
            <w:vMerge w:val="restart"/>
          </w:tcPr>
          <w:p>
            <w:pPr>
              <w:jc w:val="right"/>
              <w:ind w:right="36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1"/>
                <w:szCs w:val="11"/>
                <w:color w:val="auto"/>
              </w:rPr>
            </w:pPr>
          </w:p>
        </w:tc>
        <w:tc>
          <w:tcPr>
            <w:tcW w:w="9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Other</w:t>
            </w:r>
          </w:p>
        </w:tc>
        <w:tc>
          <w:tcPr>
            <w:tcW w:w="1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64"/>
        </w:trPr>
        <w:tc>
          <w:tcPr>
            <w:tcW w:w="17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42"/>
        </w:trPr>
        <w:tc>
          <w:tcPr>
            <w:tcW w:w="84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50"/>
              <w:spacing w:after="0" w:line="142" w:lineRule="exact"/>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10"/>
              <w:spacing w:after="0" w:line="142" w:lineRule="exact"/>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9"/>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1"/>
              <w:spacing w:after="0" w:line="142" w:lineRule="exact"/>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40" w:type="dxa"/>
            <w:vAlign w:val="bottom"/>
          </w:tcPr>
          <w:p>
            <w:pPr>
              <w:jc w:val="right"/>
              <w:spacing w:after="0"/>
              <w:rPr>
                <w:sz w:val="20"/>
                <w:szCs w:val="20"/>
                <w:color w:val="auto"/>
              </w:rPr>
            </w:pPr>
            <w:r>
              <w:rPr>
                <w:rFonts w:ascii="Arial" w:cs="Arial" w:eastAsia="Arial" w:hAnsi="Arial"/>
                <w:sz w:val="14"/>
                <w:szCs w:val="14"/>
                <w:color w:val="auto"/>
              </w:rPr>
              <w:t>4,607,565</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12,355</w:t>
            </w:r>
          </w:p>
        </w:tc>
        <w:tc>
          <w:tcPr>
            <w:tcW w:w="2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(24,884)</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(12,529)</w:t>
            </w:r>
          </w:p>
        </w:tc>
        <w:tc>
          <w:tcPr>
            <w:tcW w:w="0" w:type="dxa"/>
            <w:vAlign w:val="bottom"/>
          </w:tcPr>
          <w:p>
            <w:pPr>
              <w:spacing w:after="0"/>
              <w:rPr>
                <w:sz w:val="1"/>
                <w:szCs w:val="1"/>
                <w:color w:val="auto"/>
              </w:rPr>
            </w:pPr>
          </w:p>
        </w:tc>
      </w:tr>
      <w:tr>
        <w:trPr>
          <w:trHeight w:val="499"/>
        </w:trPr>
        <w:tc>
          <w:tcPr>
            <w:tcW w:w="840" w:type="dxa"/>
            <w:vAlign w:val="bottom"/>
          </w:tcPr>
          <w:p>
            <w:pPr>
              <w:jc w:val="right"/>
              <w:spacing w:after="0"/>
              <w:rPr>
                <w:sz w:val="20"/>
                <w:szCs w:val="20"/>
                <w:color w:val="auto"/>
              </w:rPr>
            </w:pPr>
            <w:r>
              <w:rPr>
                <w:rFonts w:ascii="Arial" w:cs="Arial" w:eastAsia="Arial" w:hAnsi="Arial"/>
                <w:sz w:val="14"/>
                <w:szCs w:val="14"/>
                <w:color w:val="auto"/>
              </w:rPr>
              <w:t>262,285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5"/>
        </w:trPr>
        <w:tc>
          <w:tcPr>
            <w:tcW w:w="840" w:type="dxa"/>
            <w:vAlign w:val="bottom"/>
          </w:tcPr>
          <w:p>
            <w:pPr>
              <w:jc w:val="right"/>
              <w:spacing w:after="0"/>
              <w:rPr>
                <w:sz w:val="20"/>
                <w:szCs w:val="20"/>
                <w:color w:val="auto"/>
              </w:rPr>
            </w:pPr>
            <w:r>
              <w:rPr>
                <w:rFonts w:ascii="Arial" w:cs="Arial" w:eastAsia="Arial" w:hAnsi="Arial"/>
                <w:sz w:val="14"/>
                <w:szCs w:val="14"/>
                <w:color w:val="auto"/>
              </w:rPr>
              <w:t>12,000,000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186,445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186,446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12,503,009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92,535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92,537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4"/>
                <w:szCs w:val="14"/>
                <w:color w:val="auto"/>
              </w:rPr>
              <w:t>1,714,536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1,050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(8,456)</w:t>
            </w:r>
          </w:p>
        </w:tc>
        <w:tc>
          <w:tcPr>
            <w:tcW w:w="1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(8,456)</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31,087,395</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292,800</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(33,340)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259,470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-3239770</wp:posOffset>
            </wp:positionV>
            <wp:extent cx="7132320" cy="32404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324040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920" w:space="280"/>
            <w:col w:w="6020"/>
          </w:cols>
          <w:pgMar w:left="320" w:top="574" w:right="359" w:bottom="1440" w:gutter="0" w:footer="0" w:header="0"/>
          <w:type w:val="continuous"/>
        </w:sectPr>
      </w:pPr>
    </w:p>
    <w:p>
      <w:pPr>
        <w:jc w:val="center"/>
        <w:ind w:right="-39"/>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type w:val="continuous"/>
        </w:sectPr>
      </w:pPr>
    </w:p>
    <w:bookmarkStart w:id="231" w:name="page232"/>
    <w:bookmarkEnd w:id="231"/>
    <w:p>
      <w:pPr>
        <w:jc w:val="center"/>
        <w:ind w:right="-19"/>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Convertible Preferred Stock and Stockholders’ Deficit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 Months Ended September 30, 2019 and 2020</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20"/>
          </w:cols>
          <w:pgMar w:left="320" w:top="358" w:right="359" w:bottom="1440" w:gutter="0" w:footer="0" w:header="0"/>
        </w:sect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380" w:type="dxa"/>
            <w:vAlign w:val="bottom"/>
            <w:gridSpan w:val="3"/>
          </w:tcPr>
          <w:p>
            <w:pPr>
              <w:jc w:val="center"/>
              <w:ind w:left="350"/>
              <w:spacing w:after="0"/>
              <w:rPr>
                <w:sz w:val="20"/>
                <w:szCs w:val="20"/>
                <w:color w:val="auto"/>
              </w:rPr>
            </w:pPr>
            <w:r>
              <w:rPr>
                <w:rFonts w:ascii="Arial" w:cs="Arial" w:eastAsia="Arial" w:hAnsi="Arial"/>
                <w:sz w:val="13"/>
                <w:szCs w:val="13"/>
                <w:b w:val="1"/>
                <w:bCs w:val="1"/>
                <w:color w:val="auto"/>
                <w:w w:val="95"/>
              </w:rPr>
              <w:t>Convertible</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138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3"/>
                <w:szCs w:val="13"/>
                <w:b w:val="1"/>
                <w:bCs w:val="1"/>
                <w:color w:val="auto"/>
                <w:w w:val="97"/>
              </w:rPr>
              <w:t>Preferred Stock</w:t>
            </w: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2018</w:t>
            </w: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jc w:val="right"/>
              <w:ind w:right="48"/>
              <w:spacing w:after="0" w:line="142"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40" w:type="dxa"/>
            <w:vAlign w:val="bottom"/>
            <w:vMerge w:val="continue"/>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2,617,386</w:t>
            </w:r>
          </w:p>
        </w:tc>
        <w:tc>
          <w:tcPr>
            <w:tcW w:w="220" w:type="dxa"/>
            <w:vAlign w:val="bottom"/>
          </w:tcPr>
          <w:p>
            <w:pPr>
              <w:spacing w:after="0"/>
              <w:rPr>
                <w:sz w:val="14"/>
                <w:szCs w:val="14"/>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17,051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80"/>
              <w:spacing w:after="0"/>
              <w:rPr>
                <w:sz w:val="20"/>
                <w:szCs w:val="20"/>
                <w:color w:val="auto"/>
              </w:rPr>
            </w:pPr>
            <w:r>
              <w:rPr>
                <w:rFonts w:ascii="Arial" w:cs="Arial" w:eastAsia="Arial" w:hAnsi="Arial"/>
                <w:sz w:val="14"/>
                <w:szCs w:val="14"/>
                <w:color w:val="auto"/>
              </w:rPr>
              <w:t>common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September 30,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2,617,386</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17,051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040" w:type="dxa"/>
            <w:vAlign w:val="bottom"/>
          </w:tcPr>
          <w:p>
            <w:pPr>
              <w:spacing w:after="0"/>
              <w:rPr>
                <w:sz w:val="24"/>
                <w:szCs w:val="24"/>
                <w:color w:val="auto"/>
              </w:rPr>
            </w:pPr>
          </w:p>
        </w:tc>
        <w:tc>
          <w:tcPr>
            <w:tcW w:w="1380" w:type="dxa"/>
            <w:vAlign w:val="bottom"/>
            <w:gridSpan w:val="3"/>
          </w:tcPr>
          <w:p>
            <w:pPr>
              <w:jc w:val="center"/>
              <w:ind w:left="350"/>
              <w:spacing w:after="0"/>
              <w:rPr>
                <w:sz w:val="20"/>
                <w:szCs w:val="20"/>
                <w:color w:val="auto"/>
              </w:rPr>
            </w:pPr>
            <w:r>
              <w:rPr>
                <w:rFonts w:ascii="Arial" w:cs="Arial" w:eastAsia="Arial" w:hAnsi="Arial"/>
                <w:sz w:val="13"/>
                <w:szCs w:val="13"/>
                <w:b w:val="1"/>
                <w:bCs w:val="1"/>
                <w:color w:val="auto"/>
                <w:w w:val="95"/>
              </w:rPr>
              <w:t>Convertible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138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3"/>
                <w:szCs w:val="13"/>
                <w:b w:val="1"/>
                <w:bCs w:val="1"/>
                <w:color w:val="auto"/>
                <w:w w:val="97"/>
              </w:rPr>
              <w:t>Preferred Stock</w:t>
            </w: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2019</w:t>
            </w: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jc w:val="right"/>
              <w:ind w:right="48"/>
              <w:spacing w:after="0" w:line="142"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40" w:type="dxa"/>
            <w:vAlign w:val="bottom"/>
            <w:vMerge w:val="continue"/>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2,617,386</w:t>
            </w:r>
          </w:p>
        </w:tc>
        <w:tc>
          <w:tcPr>
            <w:tcW w:w="220" w:type="dxa"/>
            <w:vAlign w:val="bottom"/>
          </w:tcPr>
          <w:p>
            <w:pPr>
              <w:spacing w:after="0"/>
              <w:rPr>
                <w:sz w:val="14"/>
                <w:szCs w:val="14"/>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17,051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80"/>
              <w:spacing w:after="0"/>
              <w:rPr>
                <w:sz w:val="20"/>
                <w:szCs w:val="20"/>
                <w:color w:val="auto"/>
              </w:rPr>
            </w:pPr>
            <w:r>
              <w:rPr>
                <w:rFonts w:ascii="Arial" w:cs="Arial" w:eastAsia="Arial" w:hAnsi="Arial"/>
                <w:sz w:val="14"/>
                <w:szCs w:val="14"/>
                <w:color w:val="auto"/>
              </w:rPr>
              <w:t>common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Series B convertible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preferred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380"/>
              <w:spacing w:after="0"/>
              <w:rPr>
                <w:sz w:val="20"/>
                <w:szCs w:val="20"/>
                <w:color w:val="auto"/>
              </w:rPr>
            </w:pPr>
            <w:r>
              <w:rPr>
                <w:rFonts w:ascii="Arial" w:cs="Arial" w:eastAsia="Arial" w:hAnsi="Arial"/>
                <w:sz w:val="14"/>
                <w:szCs w:val="14"/>
                <w:color w:val="auto"/>
              </w:rPr>
              <w:t>stock and common stock warrants, net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80"/>
              <w:spacing w:after="0"/>
              <w:rPr>
                <w:sz w:val="20"/>
                <w:szCs w:val="20"/>
                <w:color w:val="auto"/>
              </w:rPr>
            </w:pPr>
            <w:r>
              <w:rPr>
                <w:rFonts w:ascii="Arial" w:cs="Arial" w:eastAsia="Arial" w:hAnsi="Arial"/>
                <w:sz w:val="14"/>
                <w:szCs w:val="14"/>
                <w:color w:val="auto"/>
              </w:rPr>
              <w:t>of issuance costs of $3.5 million</w:t>
            </w:r>
          </w:p>
        </w:tc>
        <w:tc>
          <w:tcPr>
            <w:tcW w:w="880" w:type="dxa"/>
            <w:vAlign w:val="bottom"/>
          </w:tcPr>
          <w:p>
            <w:pPr>
              <w:jc w:val="right"/>
              <w:spacing w:after="0"/>
              <w:rPr>
                <w:sz w:val="20"/>
                <w:szCs w:val="20"/>
                <w:color w:val="auto"/>
              </w:rPr>
            </w:pPr>
            <w:r>
              <w:rPr>
                <w:rFonts w:ascii="Arial" w:cs="Arial" w:eastAsia="Arial" w:hAnsi="Arial"/>
                <w:sz w:val="14"/>
                <w:szCs w:val="14"/>
                <w:color w:val="auto"/>
              </w:rPr>
              <w:t>9,372,765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70,971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the Series B-1 convertible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380"/>
              <w:spacing w:after="0"/>
              <w:rPr>
                <w:sz w:val="20"/>
                <w:szCs w:val="20"/>
                <w:color w:val="auto"/>
              </w:rPr>
            </w:pPr>
            <w:r>
              <w:rPr>
                <w:rFonts w:ascii="Arial" w:cs="Arial" w:eastAsia="Arial" w:hAnsi="Arial"/>
                <w:sz w:val="14"/>
                <w:szCs w:val="14"/>
                <w:color w:val="auto"/>
              </w:rPr>
              <w:t>preferred stock upon conversion 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convertible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380"/>
              <w:spacing w:after="0"/>
              <w:rPr>
                <w:sz w:val="20"/>
                <w:szCs w:val="20"/>
                <w:color w:val="auto"/>
              </w:rPr>
            </w:pPr>
            <w:r>
              <w:rPr>
                <w:rFonts w:ascii="Arial" w:cs="Arial" w:eastAsia="Arial" w:hAnsi="Arial"/>
                <w:sz w:val="14"/>
                <w:szCs w:val="14"/>
                <w:color w:val="auto"/>
              </w:rPr>
              <w:t>notes</w:t>
            </w:r>
          </w:p>
        </w:tc>
        <w:tc>
          <w:tcPr>
            <w:tcW w:w="880" w:type="dxa"/>
            <w:vAlign w:val="bottom"/>
          </w:tcPr>
          <w:p>
            <w:pPr>
              <w:jc w:val="right"/>
              <w:spacing w:after="0"/>
              <w:rPr>
                <w:sz w:val="20"/>
                <w:szCs w:val="20"/>
                <w:color w:val="auto"/>
              </w:rPr>
            </w:pPr>
            <w:r>
              <w:rPr>
                <w:rFonts w:ascii="Arial" w:cs="Arial" w:eastAsia="Arial" w:hAnsi="Arial"/>
                <w:sz w:val="14"/>
                <w:szCs w:val="14"/>
                <w:color w:val="auto"/>
              </w:rPr>
              <w:t>512,858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4,515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Proceeds from initial public offering, net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380"/>
              <w:spacing w:after="0"/>
              <w:rPr>
                <w:sz w:val="20"/>
                <w:szCs w:val="20"/>
                <w:color w:val="auto"/>
              </w:rPr>
            </w:pPr>
            <w:r>
              <w:rPr>
                <w:rFonts w:ascii="Arial" w:cs="Arial" w:eastAsia="Arial" w:hAnsi="Arial"/>
                <w:sz w:val="14"/>
                <w:szCs w:val="14"/>
                <w:color w:val="auto"/>
              </w:rPr>
              <w:t>underwriters' discounts and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commissions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80"/>
              <w:spacing w:after="0"/>
              <w:rPr>
                <w:sz w:val="20"/>
                <w:szCs w:val="20"/>
                <w:color w:val="auto"/>
              </w:rPr>
            </w:pPr>
            <w:r>
              <w:rPr>
                <w:rFonts w:ascii="Arial" w:cs="Arial" w:eastAsia="Arial" w:hAnsi="Arial"/>
                <w:sz w:val="14"/>
                <w:szCs w:val="14"/>
                <w:color w:val="auto"/>
              </w:rPr>
              <w:t>and issuance costs of $3.3 million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Conversion of convertible preferred stock</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(12,503,009)</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(92,537)</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Exercise of common stock warrants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4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September 30, 2020</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780" w:type="dxa"/>
            <w:vAlign w:val="bottom"/>
            <w:gridSpan w:val="4"/>
            <w:vMerge w:val="restart"/>
          </w:tcPr>
          <w:p>
            <w:pPr>
              <w:jc w:val="right"/>
              <w:ind w:right="36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1"/>
                <w:szCs w:val="11"/>
                <w:color w:val="auto"/>
              </w:rPr>
            </w:pPr>
          </w:p>
        </w:tc>
        <w:tc>
          <w:tcPr>
            <w:tcW w:w="9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Other</w:t>
            </w:r>
          </w:p>
        </w:tc>
        <w:tc>
          <w:tcPr>
            <w:tcW w:w="1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64"/>
        </w:trPr>
        <w:tc>
          <w:tcPr>
            <w:tcW w:w="17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42"/>
        </w:trPr>
        <w:tc>
          <w:tcPr>
            <w:tcW w:w="84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50"/>
              <w:spacing w:after="0" w:line="142" w:lineRule="exact"/>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10"/>
              <w:spacing w:after="0" w:line="142" w:lineRule="exact"/>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9"/>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0"/>
              <w:spacing w:after="0" w:line="142" w:lineRule="exact"/>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40" w:type="dxa"/>
            <w:vAlign w:val="bottom"/>
          </w:tcPr>
          <w:p>
            <w:pPr>
              <w:jc w:val="right"/>
              <w:spacing w:after="0"/>
              <w:rPr>
                <w:sz w:val="20"/>
                <w:szCs w:val="20"/>
                <w:color w:val="auto"/>
              </w:rPr>
            </w:pPr>
            <w:r>
              <w:rPr>
                <w:rFonts w:ascii="Arial" w:cs="Arial" w:eastAsia="Arial" w:hAnsi="Arial"/>
                <w:sz w:val="14"/>
                <w:szCs w:val="14"/>
                <w:color w:val="auto"/>
              </w:rPr>
              <w:t>3,559,484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1,039</w:t>
            </w:r>
          </w:p>
        </w:tc>
        <w:tc>
          <w:tcPr>
            <w:tcW w:w="2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(15,926)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(14,887)</w:t>
            </w:r>
          </w:p>
        </w:tc>
        <w:tc>
          <w:tcPr>
            <w:tcW w:w="0" w:type="dxa"/>
            <w:vAlign w:val="bottom"/>
          </w:tcPr>
          <w:p>
            <w:pPr>
              <w:spacing w:after="0"/>
              <w:rPr>
                <w:sz w:val="1"/>
                <w:szCs w:val="1"/>
                <w:color w:val="auto"/>
              </w:rPr>
            </w:pPr>
          </w:p>
        </w:tc>
      </w:tr>
      <w:tr>
        <w:trPr>
          <w:trHeight w:val="481"/>
        </w:trPr>
        <w:tc>
          <w:tcPr>
            <w:tcW w:w="840" w:type="dxa"/>
            <w:vAlign w:val="bottom"/>
          </w:tcPr>
          <w:p>
            <w:pPr>
              <w:jc w:val="right"/>
              <w:spacing w:after="0"/>
              <w:rPr>
                <w:sz w:val="20"/>
                <w:szCs w:val="20"/>
                <w:color w:val="auto"/>
              </w:rPr>
            </w:pPr>
            <w:r>
              <w:rPr>
                <w:rFonts w:ascii="Arial" w:cs="Arial" w:eastAsia="Arial" w:hAnsi="Arial"/>
                <w:sz w:val="14"/>
                <w:szCs w:val="14"/>
                <w:color w:val="auto"/>
              </w:rPr>
              <w:t>12,610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(4,187)</w:t>
            </w:r>
          </w:p>
        </w:tc>
        <w:tc>
          <w:tcPr>
            <w:tcW w:w="1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(4,187)</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3,572,094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1,241</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(20,113)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(18,872)</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780" w:type="dxa"/>
            <w:vAlign w:val="bottom"/>
            <w:gridSpan w:val="4"/>
            <w:vMerge w:val="restart"/>
          </w:tcPr>
          <w:p>
            <w:pPr>
              <w:jc w:val="right"/>
              <w:ind w:right="36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1"/>
                <w:szCs w:val="11"/>
                <w:color w:val="auto"/>
              </w:rPr>
            </w:pPr>
          </w:p>
        </w:tc>
        <w:tc>
          <w:tcPr>
            <w:tcW w:w="9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Other</w:t>
            </w:r>
          </w:p>
        </w:tc>
        <w:tc>
          <w:tcPr>
            <w:tcW w:w="1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64"/>
        </w:trPr>
        <w:tc>
          <w:tcPr>
            <w:tcW w:w="17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42"/>
        </w:trPr>
        <w:tc>
          <w:tcPr>
            <w:tcW w:w="84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50"/>
              <w:spacing w:after="0" w:line="142" w:lineRule="exact"/>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10"/>
              <w:spacing w:after="0" w:line="142" w:lineRule="exact"/>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9"/>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0"/>
              <w:spacing w:after="0" w:line="142" w:lineRule="exact"/>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40" w:type="dxa"/>
            <w:vAlign w:val="bottom"/>
          </w:tcPr>
          <w:p>
            <w:pPr>
              <w:jc w:val="right"/>
              <w:spacing w:after="0"/>
              <w:rPr>
                <w:sz w:val="20"/>
                <w:szCs w:val="20"/>
                <w:color w:val="auto"/>
              </w:rPr>
            </w:pPr>
            <w:r>
              <w:rPr>
                <w:rFonts w:ascii="Arial" w:cs="Arial" w:eastAsia="Arial" w:hAnsi="Arial"/>
                <w:sz w:val="14"/>
                <w:szCs w:val="14"/>
                <w:color w:val="auto"/>
              </w:rPr>
              <w:t>3,641,449</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1,364</w:t>
            </w:r>
          </w:p>
        </w:tc>
        <w:tc>
          <w:tcPr>
            <w:tcW w:w="2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(21,087)</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(19,723)</w:t>
            </w:r>
          </w:p>
        </w:tc>
        <w:tc>
          <w:tcPr>
            <w:tcW w:w="0" w:type="dxa"/>
            <w:vAlign w:val="bottom"/>
          </w:tcPr>
          <w:p>
            <w:pPr>
              <w:spacing w:after="0"/>
              <w:rPr>
                <w:sz w:val="1"/>
                <w:szCs w:val="1"/>
                <w:color w:val="auto"/>
              </w:rPr>
            </w:pPr>
          </w:p>
        </w:tc>
      </w:tr>
      <w:tr>
        <w:trPr>
          <w:trHeight w:val="499"/>
        </w:trPr>
        <w:tc>
          <w:tcPr>
            <w:tcW w:w="840" w:type="dxa"/>
            <w:vAlign w:val="bottom"/>
          </w:tcPr>
          <w:p>
            <w:pPr>
              <w:jc w:val="right"/>
              <w:spacing w:after="0"/>
              <w:rPr>
                <w:sz w:val="20"/>
                <w:szCs w:val="20"/>
                <w:color w:val="auto"/>
              </w:rPr>
            </w:pPr>
            <w:r>
              <w:rPr>
                <w:rFonts w:ascii="Arial" w:cs="Arial" w:eastAsia="Arial" w:hAnsi="Arial"/>
                <w:sz w:val="14"/>
                <w:szCs w:val="14"/>
                <w:color w:val="auto"/>
              </w:rPr>
              <w:t>540,334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10,591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10,591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5"/>
        </w:trPr>
        <w:tc>
          <w:tcPr>
            <w:tcW w:w="840" w:type="dxa"/>
            <w:vAlign w:val="bottom"/>
          </w:tcPr>
          <w:p>
            <w:pPr>
              <w:jc w:val="right"/>
              <w:spacing w:after="0"/>
              <w:rPr>
                <w:sz w:val="20"/>
                <w:szCs w:val="20"/>
                <w:color w:val="auto"/>
              </w:rPr>
            </w:pPr>
            <w:r>
              <w:rPr>
                <w:rFonts w:ascii="Arial" w:cs="Arial" w:eastAsia="Arial" w:hAnsi="Arial"/>
                <w:sz w:val="14"/>
                <w:szCs w:val="14"/>
                <w:color w:val="auto"/>
              </w:rPr>
              <w:t>12,000,000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186,445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186,446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12,503,009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92,535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92,537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2,402,603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1,105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(12,253)</w:t>
            </w:r>
          </w:p>
        </w:tc>
        <w:tc>
          <w:tcPr>
            <w:tcW w:w="1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(12,253)</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31,087,395</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292,800</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(33,340)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259,470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-4079875</wp:posOffset>
            </wp:positionV>
            <wp:extent cx="7132320" cy="40805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920" w:space="280"/>
            <w:col w:w="6020"/>
          </w:cols>
          <w:pgMar w:left="320" w:top="358" w:right="359" w:bottom="1440" w:gutter="0" w:footer="0" w:header="0"/>
          <w:type w:val="continuous"/>
        </w:sectPr>
      </w:pPr>
    </w:p>
    <w:p>
      <w:pPr>
        <w:jc w:val="center"/>
        <w:ind w:right="-39"/>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type w:val="continuous"/>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3"/>
                <w:szCs w:val="13"/>
                <w:b w:val="1"/>
                <w:bCs w:val="1"/>
                <w:color w:val="auto"/>
              </w:rPr>
              <w:t>Nine Months Ended September 30,</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jc w:val="right"/>
              <w:ind w:right="50"/>
              <w:spacing w:after="0" w:line="142" w:lineRule="exact"/>
              <w:rPr>
                <w:sz w:val="20"/>
                <w:szCs w:val="20"/>
                <w:color w:val="auto"/>
              </w:rPr>
            </w:pPr>
            <w:r>
              <w:rPr>
                <w:rFonts w:ascii="Arial" w:cs="Arial" w:eastAsia="Arial" w:hAnsi="Arial"/>
                <w:sz w:val="13"/>
                <w:szCs w:val="13"/>
                <w:b w:val="1"/>
                <w:bCs w:val="1"/>
                <w:color w:val="auto"/>
              </w:rPr>
              <w:t>2019</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80"/>
              <w:spacing w:after="0" w:line="142" w:lineRule="exact"/>
              <w:rPr>
                <w:sz w:val="20"/>
                <w:szCs w:val="20"/>
                <w:color w:val="auto"/>
              </w:rPr>
            </w:pPr>
            <w:r>
              <w:rPr>
                <w:rFonts w:ascii="Arial" w:cs="Arial" w:eastAsia="Arial" w:hAnsi="Arial"/>
                <w:sz w:val="13"/>
                <w:szCs w:val="13"/>
                <w:b w:val="1"/>
                <w:bCs w:val="1"/>
                <w:color w:val="auto"/>
              </w:rPr>
              <w:t>2020</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114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2200" w:type="dxa"/>
            <w:vAlign w:val="bottom"/>
            <w:gridSpan w:val="2"/>
          </w:tcPr>
          <w:p>
            <w:pPr>
              <w:jc w:val="right"/>
              <w:ind w:right="91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(4,187)</w:t>
            </w: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(12,253)</w:t>
            </w: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Change in fair value of derivative liability</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500"/>
              <w:spacing w:after="0"/>
              <w:rPr>
                <w:sz w:val="20"/>
                <w:szCs w:val="20"/>
                <w:color w:val="auto"/>
              </w:rPr>
            </w:pPr>
            <w:r>
              <w:rPr>
                <w:rFonts w:ascii="Arial" w:cs="Arial" w:eastAsia="Arial" w:hAnsi="Arial"/>
                <w:sz w:val="14"/>
                <w:szCs w:val="14"/>
                <w:color w:val="auto"/>
              </w:rPr>
              <w:t>Change in fair value of convertible preferred stock warrant liability</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Change in fair value of grant liability</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500"/>
              <w:spacing w:after="0"/>
              <w:rPr>
                <w:sz w:val="20"/>
                <w:szCs w:val="20"/>
                <w:color w:val="auto"/>
              </w:rPr>
            </w:pPr>
            <w:r>
              <w:rPr>
                <w:rFonts w:ascii="Arial" w:cs="Arial" w:eastAsia="Arial" w:hAnsi="Arial"/>
                <w:sz w:val="14"/>
                <w:szCs w:val="14"/>
                <w:color w:val="auto"/>
              </w:rPr>
              <w:t>Accretion of discounts on convertible notes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Non-cash interest expense</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500"/>
              <w:spacing w:after="0"/>
              <w:rPr>
                <w:sz w:val="20"/>
                <w:szCs w:val="20"/>
                <w:color w:val="auto"/>
              </w:rPr>
            </w:pPr>
            <w:r>
              <w:rPr>
                <w:rFonts w:ascii="Arial" w:cs="Arial" w:eastAsia="Arial" w:hAnsi="Arial"/>
                <w:sz w:val="14"/>
                <w:szCs w:val="14"/>
                <w:color w:val="auto"/>
              </w:rPr>
              <w:t>Gain on extinguishment of convertible notes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available-for-sale securities</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620"/>
              <w:spacing w:after="0"/>
              <w:rPr>
                <w:sz w:val="20"/>
                <w:szCs w:val="20"/>
                <w:color w:val="auto"/>
              </w:rPr>
            </w:pPr>
            <w:r>
              <w:rPr>
                <w:rFonts w:ascii="Arial" w:cs="Arial" w:eastAsia="Arial" w:hAnsi="Arial"/>
                <w:sz w:val="14"/>
                <w:szCs w:val="14"/>
                <w:color w:val="auto"/>
              </w:rPr>
              <w:t>Prepaid expenses and other current assets</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(5,919)</w:t>
            </w:r>
          </w:p>
        </w:tc>
        <w:tc>
          <w:tcPr>
            <w:tcW w:w="0" w:type="dxa"/>
            <w:vAlign w:val="bottom"/>
          </w:tcPr>
          <w:p>
            <w:pPr>
              <w:spacing w:after="0"/>
              <w:rPr>
                <w:sz w:val="1"/>
                <w:szCs w:val="1"/>
                <w:color w:val="auto"/>
              </w:rPr>
            </w:pPr>
          </w:p>
        </w:tc>
      </w:tr>
      <w:tr>
        <w:trPr>
          <w:trHeight w:val="176"/>
        </w:trPr>
        <w:tc>
          <w:tcPr>
            <w:tcW w:w="6460" w:type="dxa"/>
            <w:vAlign w:val="bottom"/>
          </w:tcPr>
          <w:p>
            <w:pPr>
              <w:ind w:left="620"/>
              <w:spacing w:after="0"/>
              <w:rPr>
                <w:sz w:val="20"/>
                <w:szCs w:val="20"/>
                <w:color w:val="auto"/>
              </w:rPr>
            </w:pPr>
            <w:r>
              <w:rPr>
                <w:rFonts w:ascii="Arial" w:cs="Arial" w:eastAsia="Arial" w:hAnsi="Arial"/>
                <w:sz w:val="14"/>
                <w:szCs w:val="14"/>
                <w:color w:val="auto"/>
              </w:rPr>
              <w:t>Accounts payable and accrued expenses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927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Operating lease liability</w:t>
            </w:r>
          </w:p>
        </w:tc>
        <w:tc>
          <w:tcPr>
            <w:tcW w:w="114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tcPr>
          <w:p>
            <w:pPr>
              <w:ind w:left="880"/>
              <w:spacing w:after="0"/>
              <w:rPr>
                <w:sz w:val="20"/>
                <w:szCs w:val="20"/>
                <w:color w:val="auto"/>
              </w:rPr>
            </w:pPr>
            <w:r>
              <w:rPr>
                <w:rFonts w:ascii="Arial" w:cs="Arial" w:eastAsia="Arial" w:hAnsi="Arial"/>
                <w:sz w:val="14"/>
                <w:szCs w:val="14"/>
                <w:color w:val="auto"/>
              </w:rPr>
              <w:t>Net cash (used in) operating activities</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(2,684)</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(13,448)</w:t>
            </w:r>
          </w:p>
        </w:tc>
        <w:tc>
          <w:tcPr>
            <w:tcW w:w="0" w:type="dxa"/>
            <w:vAlign w:val="bottom"/>
          </w:tcPr>
          <w:p>
            <w:pPr>
              <w:spacing w:after="0"/>
              <w:rPr>
                <w:sz w:val="1"/>
                <w:szCs w:val="1"/>
                <w:color w:val="auto"/>
              </w:rPr>
            </w:pPr>
          </w:p>
        </w:tc>
      </w:tr>
      <w:tr>
        <w:trPr>
          <w:trHeight w:val="169"/>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Investing activities</w:t>
            </w:r>
          </w:p>
        </w:tc>
        <w:tc>
          <w:tcPr>
            <w:tcW w:w="114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260"/>
              <w:spacing w:after="0"/>
              <w:rPr>
                <w:sz w:val="20"/>
                <w:szCs w:val="20"/>
                <w:color w:val="auto"/>
              </w:rPr>
            </w:pPr>
            <w:r>
              <w:rPr>
                <w:rFonts w:ascii="Arial" w:cs="Arial" w:eastAsia="Arial" w:hAnsi="Arial"/>
                <w:sz w:val="14"/>
                <w:szCs w:val="14"/>
                <w:color w:val="auto"/>
              </w:rPr>
              <w:t>Purchases of available-for-sale securities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(995)</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(94,281)</w:t>
            </w: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Maturities of available-for-sale securities</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460" w:type="dxa"/>
            <w:vAlign w:val="bottom"/>
          </w:tcPr>
          <w:p>
            <w:pPr>
              <w:ind w:left="260"/>
              <w:spacing w:after="0"/>
              <w:rPr>
                <w:sz w:val="20"/>
                <w:szCs w:val="20"/>
                <w:color w:val="auto"/>
              </w:rPr>
            </w:pPr>
            <w:r>
              <w:rPr>
                <w:rFonts w:ascii="Arial" w:cs="Arial" w:eastAsia="Arial" w:hAnsi="Arial"/>
                <w:sz w:val="14"/>
                <w:szCs w:val="14"/>
                <w:color w:val="auto"/>
              </w:rPr>
              <w:t>Purchases of property and equipment</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Principal payments received on stockholder note receivable</w:t>
            </w:r>
          </w:p>
        </w:tc>
        <w:tc>
          <w:tcPr>
            <w:tcW w:w="114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tcPr>
          <w:p>
            <w:pPr>
              <w:ind w:left="880"/>
              <w:spacing w:after="0"/>
              <w:rPr>
                <w:sz w:val="20"/>
                <w:szCs w:val="20"/>
                <w:color w:val="auto"/>
              </w:rPr>
            </w:pPr>
            <w:r>
              <w:rPr>
                <w:rFonts w:ascii="Arial" w:cs="Arial" w:eastAsia="Arial" w:hAnsi="Arial"/>
                <w:sz w:val="14"/>
                <w:szCs w:val="14"/>
                <w:color w:val="auto"/>
              </w:rPr>
              <w:t>Net cash (used in) provided by investing activities</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(94,310)</w:t>
            </w:r>
          </w:p>
        </w:tc>
        <w:tc>
          <w:tcPr>
            <w:tcW w:w="0" w:type="dxa"/>
            <w:vAlign w:val="bottom"/>
          </w:tcPr>
          <w:p>
            <w:pPr>
              <w:spacing w:after="0"/>
              <w:rPr>
                <w:sz w:val="1"/>
                <w:szCs w:val="1"/>
                <w:color w:val="auto"/>
              </w:rPr>
            </w:pPr>
          </w:p>
        </w:tc>
      </w:tr>
      <w:tr>
        <w:trPr>
          <w:trHeight w:val="169"/>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Financing activities</w:t>
            </w:r>
          </w:p>
        </w:tc>
        <w:tc>
          <w:tcPr>
            <w:tcW w:w="114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260"/>
              <w:spacing w:after="0"/>
              <w:rPr>
                <w:sz w:val="20"/>
                <w:szCs w:val="20"/>
                <w:color w:val="auto"/>
              </w:rPr>
            </w:pPr>
            <w:r>
              <w:rPr>
                <w:rFonts w:ascii="Arial" w:cs="Arial" w:eastAsia="Arial" w:hAnsi="Arial"/>
                <w:sz w:val="14"/>
                <w:szCs w:val="14"/>
                <w:color w:val="auto"/>
              </w:rPr>
              <w:t>Proceeds from exercise of common stock options and common stock warrants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initial public offering, net of issuance costs</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187,224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60" w:type="dxa"/>
            <w:vAlign w:val="bottom"/>
          </w:tcPr>
          <w:p>
            <w:pPr>
              <w:ind w:left="260"/>
              <w:spacing w:after="0"/>
              <w:rPr>
                <w:sz w:val="20"/>
                <w:szCs w:val="20"/>
                <w:color w:val="auto"/>
              </w:rPr>
            </w:pPr>
            <w:r>
              <w:rPr>
                <w:rFonts w:ascii="Arial" w:cs="Arial" w:eastAsia="Arial" w:hAnsi="Arial"/>
                <w:sz w:val="14"/>
                <w:szCs w:val="14"/>
                <w:color w:val="auto"/>
              </w:rPr>
              <w:t>Proceeds from sales of convertible preferred stock and stock warrants, net of</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420"/>
              <w:spacing w:after="0"/>
              <w:rPr>
                <w:sz w:val="20"/>
                <w:szCs w:val="20"/>
                <w:color w:val="auto"/>
              </w:rPr>
            </w:pPr>
            <w:r>
              <w:rPr>
                <w:rFonts w:ascii="Arial" w:cs="Arial" w:eastAsia="Arial" w:hAnsi="Arial"/>
                <w:sz w:val="14"/>
                <w:szCs w:val="14"/>
                <w:color w:val="auto"/>
              </w:rPr>
              <w:t>issuance costs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81,926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issuance of convertible notes, including derivative</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60"/>
              <w:spacing w:after="0"/>
              <w:rPr>
                <w:sz w:val="20"/>
                <w:szCs w:val="20"/>
                <w:color w:val="auto"/>
              </w:rPr>
            </w:pPr>
            <w:r>
              <w:rPr>
                <w:rFonts w:ascii="Arial" w:cs="Arial" w:eastAsia="Arial" w:hAnsi="Arial"/>
                <w:sz w:val="14"/>
                <w:szCs w:val="14"/>
                <w:color w:val="auto"/>
              </w:rPr>
              <w:t>Issuance costs of convertible notes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Paycheck Protection Program loan</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60"/>
              <w:spacing w:after="0"/>
              <w:rPr>
                <w:sz w:val="20"/>
                <w:szCs w:val="20"/>
                <w:color w:val="auto"/>
              </w:rPr>
            </w:pPr>
            <w:r>
              <w:rPr>
                <w:rFonts w:ascii="Arial" w:cs="Arial" w:eastAsia="Arial" w:hAnsi="Arial"/>
                <w:sz w:val="14"/>
                <w:szCs w:val="14"/>
                <w:color w:val="auto"/>
              </w:rPr>
              <w:t>Repayment of Paycheck Protection Program loan</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69"/>
        </w:trPr>
        <w:tc>
          <w:tcPr>
            <w:tcW w:w="646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4"/>
                <w:szCs w:val="14"/>
                <w:color w:val="auto"/>
              </w:rPr>
              <w:t>Net cash provided by financing activities</w:t>
            </w:r>
          </w:p>
        </w:tc>
        <w:tc>
          <w:tcPr>
            <w:tcW w:w="114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892</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271,427</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(1,037)</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163,669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beginning of period</w:t>
            </w:r>
          </w:p>
        </w:tc>
        <w:tc>
          <w:tcPr>
            <w:tcW w:w="114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2,056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6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200" w:type="dxa"/>
            <w:vAlign w:val="bottom"/>
            <w:gridSpan w:val="2"/>
          </w:tcPr>
          <w:p>
            <w:pPr>
              <w:jc w:val="right"/>
              <w:ind w:right="91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2,280</w:t>
            </w:r>
          </w:p>
        </w:tc>
        <w:tc>
          <w:tcPr>
            <w:tcW w:w="160" w:type="dxa"/>
            <w:vAlign w:val="bottom"/>
          </w:tcPr>
          <w:p>
            <w:pPr>
              <w:spacing w:after="0"/>
              <w:rPr>
                <w:sz w:val="18"/>
                <w:szCs w:val="18"/>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165,725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46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140" w:type="dxa"/>
            <w:vAlign w:val="bottom"/>
            <w:tcBorders>
              <w:top w:val="single" w:sz="8" w:color="CFF0FC"/>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60" w:type="dxa"/>
            <w:vAlign w:val="bottom"/>
          </w:tcPr>
          <w:p>
            <w:pPr>
              <w:ind w:left="260"/>
              <w:spacing w:after="0"/>
              <w:rPr>
                <w:sz w:val="20"/>
                <w:szCs w:val="20"/>
                <w:color w:val="auto"/>
              </w:rPr>
            </w:pPr>
            <w:r>
              <w:rPr>
                <w:rFonts w:ascii="Arial" w:cs="Arial" w:eastAsia="Arial" w:hAnsi="Arial"/>
                <w:sz w:val="14"/>
                <w:szCs w:val="14"/>
                <w:color w:val="auto"/>
              </w:rPr>
              <w:t>Purchases of property and equipment included in accounts payable and</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380"/>
              <w:spacing w:after="0"/>
              <w:rPr>
                <w:sz w:val="20"/>
                <w:szCs w:val="20"/>
                <w:color w:val="auto"/>
              </w:rPr>
            </w:pPr>
            <w:r>
              <w:rPr>
                <w:rFonts w:ascii="Arial" w:cs="Arial" w:eastAsia="Arial" w:hAnsi="Arial"/>
                <w:sz w:val="14"/>
                <w:szCs w:val="14"/>
                <w:color w:val="auto"/>
              </w:rPr>
              <w:t>accrued liabilities</w:t>
            </w:r>
          </w:p>
        </w:tc>
        <w:tc>
          <w:tcPr>
            <w:tcW w:w="1140" w:type="dxa"/>
            <w:vAlign w:val="bottom"/>
          </w:tcPr>
          <w:p>
            <w:pPr>
              <w:spacing w:after="0"/>
              <w:rPr>
                <w:sz w:val="16"/>
                <w:szCs w:val="16"/>
                <w:color w:val="auto"/>
              </w:rPr>
            </w:pP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940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4"/>
                <w:szCs w:val="14"/>
                <w:color w:val="auto"/>
              </w:rPr>
              <w:t>Deferred offering costs included in accounts payable and accrued liabilities</w:t>
            </w: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vMerge w:val="continue"/>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910"/>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779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Issuance of common stock warrants in connection with Series B convertible</w:t>
            </w:r>
          </w:p>
        </w:tc>
        <w:tc>
          <w:tcPr>
            <w:tcW w:w="1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380"/>
              <w:spacing w:after="0"/>
              <w:rPr>
                <w:sz w:val="20"/>
                <w:szCs w:val="20"/>
                <w:color w:val="auto"/>
              </w:rPr>
            </w:pPr>
            <w:r>
              <w:rPr>
                <w:rFonts w:ascii="Arial" w:cs="Arial" w:eastAsia="Arial" w:hAnsi="Arial"/>
                <w:sz w:val="14"/>
                <w:szCs w:val="14"/>
                <w:color w:val="auto"/>
              </w:rPr>
              <w:t>preferred stock financing</w:t>
            </w:r>
          </w:p>
        </w:tc>
        <w:tc>
          <w:tcPr>
            <w:tcW w:w="1140" w:type="dxa"/>
            <w:vAlign w:val="bottom"/>
          </w:tcPr>
          <w:p>
            <w:pPr>
              <w:spacing w:after="0"/>
              <w:rPr>
                <w:sz w:val="16"/>
                <w:szCs w:val="16"/>
                <w:color w:val="auto"/>
              </w:rPr>
            </w:pP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10,591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4"/>
                <w:szCs w:val="14"/>
                <w:color w:val="auto"/>
              </w:rPr>
              <w:t>Issuance of Series B preferred stock upon conversion of promissory notes</w:t>
            </w: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vMerge w:val="continue"/>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910"/>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4,515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Recognition of warrant liability in connection with Series B convertible preferred</w:t>
            </w:r>
          </w:p>
        </w:tc>
        <w:tc>
          <w:tcPr>
            <w:tcW w:w="1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380"/>
              <w:spacing w:after="0"/>
              <w:rPr>
                <w:sz w:val="20"/>
                <w:szCs w:val="20"/>
                <w:color w:val="auto"/>
              </w:rPr>
            </w:pPr>
            <w:r>
              <w:rPr>
                <w:rFonts w:ascii="Arial" w:cs="Arial" w:eastAsia="Arial" w:hAnsi="Arial"/>
                <w:sz w:val="14"/>
                <w:szCs w:val="14"/>
                <w:color w:val="auto"/>
              </w:rPr>
              <w:t>stock financing</w:t>
            </w:r>
          </w:p>
        </w:tc>
        <w:tc>
          <w:tcPr>
            <w:tcW w:w="1140" w:type="dxa"/>
            <w:vAlign w:val="bottom"/>
          </w:tcPr>
          <w:p>
            <w:pPr>
              <w:spacing w:after="0"/>
              <w:rPr>
                <w:sz w:val="16"/>
                <w:szCs w:val="16"/>
                <w:color w:val="auto"/>
              </w:rPr>
            </w:pP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4"/>
                <w:szCs w:val="14"/>
                <w:color w:val="auto"/>
              </w:rPr>
              <w:t>Derivative liability recorded upon issuance of convertible notes</w:t>
            </w: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vMerge w:val="continue"/>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910"/>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390</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774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Conversion of convertible preferred stock upon closing of initial public offering</w:t>
            </w:r>
          </w:p>
        </w:tc>
        <w:tc>
          <w:tcPr>
            <w:tcW w:w="1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jc w:val="right"/>
              <w:ind w:right="910"/>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940"/>
              <w:spacing w:after="0" w:line="156"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92,537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4"/>
                <w:szCs w:val="14"/>
                <w:color w:val="auto"/>
              </w:rPr>
              <w:t>Right-of-use asset obtained in exchange for new operating lease liability</w:t>
            </w: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vMerge w:val="continue"/>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910"/>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975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33" w:name="page234"/>
    <w:bookmarkEnd w:id="233"/>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296" w:lineRule="exact"/>
        <w:rPr>
          <w:sz w:val="20"/>
          <w:szCs w:val="20"/>
          <w:color w:val="auto"/>
        </w:rPr>
      </w:pPr>
    </w:p>
    <w:p>
      <w:pPr>
        <w:ind w:right="8540" w:firstLine="8"/>
        <w:spacing w:after="0" w:line="361" w:lineRule="auto"/>
        <w:tabs>
          <w:tab w:leader="none" w:pos="567"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b w:val="1"/>
          <w:bCs w:val="1"/>
          <w:i w:val="1"/>
          <w:iCs w:val="1"/>
          <w:color w:val="auto"/>
        </w:rPr>
        <w:t>Organization</w:t>
      </w:r>
    </w:p>
    <w:p>
      <w:pPr>
        <w:ind w:right="160" w:firstLine="576"/>
        <w:spacing w:after="0" w:line="24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and Bothell Washington. The Company is a late clinical-stage biopharmaceutical company focused on developing small molecules to restore neuronal health and stop neurodegeneration.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4"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On September 11, 2020, the Company effected a one-for-7.9302 reverse split of its issued and outstanding common stock, convertible preferred stock, warrants, and stock options. The par value of the common stock and convertible preferred stock was not adjusted as a result of the reverse stock split. All share and per share amounts in the accompanying unaudited condensed financial statements and notes to the unaudited condensed financial statements have been retroactively adjusted for all periods presented to reflect the reverse stock split.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On September 17, 2020, the Company’s registration statement on Form S-1 (File No. 333-248428) for its initial public offering of common stock (“IPO”) was declared effective by the Securities and Exchange Commission (“SEC”). On September 22, 2020, the Company issued and sold 12,000,000 shares of common stock in the IPO at a public offering price of $17.00 per share, resulting in net proceeds of $186.4 million after deducting underwriting discounts and commissions and offering expenses paid by the Company.</w:t>
      </w:r>
    </w:p>
    <w:p>
      <w:pPr>
        <w:spacing w:after="0" w:line="170"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In connection with the closing of the IPO, all of the Company’s outstanding shares of convertible preferred stock were automatically converted into 12,503,009 shares of common stock. Immediately prior to the Company’s IPO, all outstanding common stock warrants were exercised into 1,085,334 shares of common stock. Additionally, all outstanding Series B convertible preferred stock warrants were remeasured to their fair value. The final remeasurement of the Series B convertible preferred stock warrant liability resulted in a $0.6 million loss which was recorded to other income (expense), net. Following remeasurement, all Series B convertible preferred stock warrants automatically net exercised into 59,093 shares of common stock and the corresponding liability was reclassified to additional paid in capital. Following the IPO, there are no shares of convertible preferred stock, common stock warrants, or Series B convertible preferred stock warrants outstanding.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September 30, 2020, it has raised aggregate net cash proceeds of $ 288.5 million primarily from the issuance of its common stock, convertible preferred stock, common stock warrants, and convertible notes. As of September 30, 2020, the Company had $259.9 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47" w:right="399" w:bottom="1440" w:gutter="0" w:footer="0" w:header="0"/>
        </w:sectPr>
      </w:pPr>
    </w:p>
    <w:bookmarkStart w:id="234" w:name="page235"/>
    <w:bookmarkEnd w:id="234"/>
    <w:p>
      <w:pPr>
        <w:ind w:right="220"/>
        <w:spacing w:after="0" w:line="276" w:lineRule="auto"/>
        <w:rPr>
          <w:sz w:val="20"/>
          <w:szCs w:val="20"/>
          <w:color w:val="auto"/>
        </w:rPr>
      </w:pPr>
      <w:r>
        <w:rPr>
          <w:rFonts w:ascii="Arial" w:cs="Arial" w:eastAsia="Arial" w:hAnsi="Arial"/>
          <w:sz w:val="18"/>
          <w:szCs w:val="18"/>
          <w:color w:val="auto"/>
        </w:rPr>
        <w:t>activities, establishing and maintaining the Company’s intellectual property portfolio, hiring personnel, raising capital, and providing general and administrative support for these operations.</w:t>
      </w:r>
    </w:p>
    <w:p>
      <w:pPr>
        <w:spacing w:after="0" w:line="145"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Based upon the Company’s current operating plan, it estimates that its $ 259.9 million of cash, cash equivalents, and investments at September 30, 2020 will be sufficient to fund its operating expenses and capital expenditure requirements through at least the 12 months following the date of the Company’s Quarterly Report on Form 10-Q for the period ending September 30, 2020.</w:t>
      </w:r>
    </w:p>
    <w:p>
      <w:pPr>
        <w:spacing w:after="0" w:line="270" w:lineRule="exact"/>
        <w:rPr>
          <w:sz w:val="20"/>
          <w:szCs w:val="20"/>
          <w:color w:val="auto"/>
        </w:rPr>
      </w:pPr>
    </w:p>
    <w:p>
      <w:pPr>
        <w:ind w:right="7980" w:firstLine="8"/>
        <w:spacing w:after="0" w:line="361" w:lineRule="auto"/>
        <w:tabs>
          <w:tab w:leader="none" w:pos="567"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ind w:firstLine="576"/>
        <w:spacing w:after="0" w:line="255" w:lineRule="auto"/>
        <w:rPr>
          <w:sz w:val="20"/>
          <w:szCs w:val="20"/>
          <w:color w:val="auto"/>
        </w:rPr>
      </w:pPr>
      <w:r>
        <w:rPr>
          <w:rFonts w:ascii="Arial" w:cs="Arial" w:eastAsia="Arial" w:hAnsi="Arial"/>
          <w:sz w:val="18"/>
          <w:szCs w:val="18"/>
          <w:color w:val="auto"/>
        </w:rPr>
        <w:t>The condensed consolidated financial statements have been prepared in conformity with U.S. generally accepted accounting principles (“U.S. GAAP”). During the third quarter of 2020, the Company incorporated Athira Pharma Australia PTY LTD in Australia and as of September 30, 2020, operations have yet to commence.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104"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The accompanying unaudited condensed balance sheet as of September 30, 2020, and condensed statements of operations and comprehensive loss, condensed statements of cash flows, and condensed statements of convertible preferred stock and stockholders’ deficit for the three and nine months ended September 30, 2020 and 2019, are unaudited. The balance sheet as of December 31, 2019 was derived from the audited financial statements as of and for the year ended December 31, 2019. The unaudited interim condensed financial statements have been prepared on a basis consistent with the audited annual financial statements as of and for the year ended December 31, 2019, and, in the opinion of management, reflect all adjustments, consisting solely of normal recurring adjustments, necessary for the fair presentation of the Company’s financial position as of September 30, 2020, and the condensed results of its operations and its cash flows for the three and nine months ended September 30, 2020 and 2019. The financial data and other information disclosed in these notes related to the three and nine months ended September 30, 2020 and 2019 are also unaudited. The condensed results of operations for the three and nine months ended September 30, 2020 are not necessarily indicative of the results to be expected for the full year ending December 31, 2020 or any other period. These interim condensed financial statements should be read in conjunction with the Company’s audited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ind w:right="100" w:firstLine="576"/>
        <w:spacing w:after="0" w:line="277"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payable and accrued expenses approximate their fair values due to the short-term nature of those amounts. The fair values of the grant liability to Life Sciences Discovery Fund (“LSDF”), the derivative liability, and the convertible preferred stock warrant liability were estimated using Level 3 unobservable inputs.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04" w:lineRule="exact"/>
        <w:rPr>
          <w:sz w:val="20"/>
          <w:szCs w:val="20"/>
          <w:color w:val="auto"/>
        </w:rPr>
      </w:pPr>
    </w:p>
    <w:p>
      <w:pPr>
        <w:ind w:right="120" w:firstLine="569"/>
        <w:spacing w:after="0" w:line="243" w:lineRule="auto"/>
        <w:rPr>
          <w:sz w:val="20"/>
          <w:szCs w:val="20"/>
          <w:color w:val="auto"/>
        </w:rPr>
      </w:pPr>
      <w:r>
        <w:rPr>
          <w:rFonts w:ascii="Arial" w:cs="Arial" w:eastAsia="Arial" w:hAnsi="Arial"/>
          <w:sz w:val="18"/>
          <w:szCs w:val="18"/>
          <w:color w:val="auto"/>
        </w:rPr>
        <w:t>Freestanding warrants to purchase shares of the Company’s convertible preferred stock are accounted for as liabilities at fair value, because the shares underlying the warrants contain contingent redemption features outside the control of the Company. Warrants classified as liabilities are recorded on the Company’s balance sheets at their fair value on the date of issuance and remeasured to fair value on each subsequent reporting period, with the changes in fair value recognized as a component of other income (expense), net in the accompanying statements of operations. The Company will continue to adjust the liability for changes in the fair value of these warrants until the earlier of the exercise of the warrants, the expiration of the warrants, or until such time as the warrants are no longer considered liability instruments.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104" w:lineRule="exact"/>
        <w:rPr>
          <w:sz w:val="20"/>
          <w:szCs w:val="20"/>
          <w:color w:val="auto"/>
        </w:rPr>
      </w:pPr>
    </w:p>
    <w:p>
      <w:pPr>
        <w:ind w:right="440" w:firstLine="576"/>
        <w:spacing w:after="0" w:line="248" w:lineRule="auto"/>
        <w:rPr>
          <w:sz w:val="20"/>
          <w:szCs w:val="20"/>
          <w:color w:val="auto"/>
        </w:rPr>
      </w:pPr>
      <w:r>
        <w:rPr>
          <w:rFonts w:ascii="Arial" w:cs="Arial" w:eastAsia="Arial" w:hAnsi="Arial"/>
          <w:sz w:val="18"/>
          <w:szCs w:val="18"/>
          <w:color w:val="auto"/>
        </w:rPr>
        <w:t>The Company generally invests its excess cash in investment grade short- to intermediate-term fixed income securities. Such investments are included in cash and cash equivalents, short-term investments, and long-term investments on the consolidated balance sheets, classified as available-for-sale, and reported at fair value with unrealized gains and losses included in accumulated other comprehensive loss. Realized gains and losses on the sale of these securities are recognized in net loss.</w:t>
      </w:r>
    </w:p>
    <w:p>
      <w:pPr>
        <w:spacing w:after="0" w:line="170"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investment until a forecasted recovery occurs. Additionally, the Company assesses whether it has plans to sell the security or it is more likely than not it will be required to sell any investment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investments, duration and severity of the decline in value, and our strategy and intentions for holding the investment.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our pipeline from the Company’s proprietary drug discovery platform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79"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280" w:firstLine="576"/>
        <w:spacing w:after="0" w:line="276"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Recently Adopted Accounting Standards</w:t>
      </w:r>
      <w:r>
        <w:rPr>
          <w:rFonts w:ascii="Arial" w:cs="Arial" w:eastAsia="Arial" w:hAnsi="Arial"/>
          <w:sz w:val="18"/>
          <w:szCs w:val="18"/>
          <w:color w:val="auto"/>
        </w:rPr>
        <w:t xml:space="preserve"> below, the Company adopted Accounting Standards Codification (“ASC”) </w:t>
      </w:r>
      <w:r>
        <w:rPr>
          <w:rFonts w:ascii="Arial" w:cs="Arial" w:eastAsia="Arial" w:hAnsi="Arial"/>
          <w:sz w:val="18"/>
          <w:szCs w:val="18"/>
          <w:i w:val="1"/>
          <w:iCs w:val="1"/>
          <w:color w:val="auto"/>
        </w:rPr>
        <w:t>Topic 842 - Leases</w:t>
      </w:r>
      <w:r>
        <w:rPr>
          <w:rFonts w:ascii="Arial" w:cs="Arial" w:eastAsia="Arial" w:hAnsi="Arial"/>
          <w:sz w:val="18"/>
          <w:szCs w:val="18"/>
          <w:color w:val="auto"/>
        </w:rPr>
        <w:t>, on July 1, 2020, effective January 1, 2020. The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t>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 generally does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spacing w:after="0" w:line="176" w:lineRule="exact"/>
        <w:rPr>
          <w:sz w:val="20"/>
          <w:szCs w:val="20"/>
          <w:color w:val="auto"/>
        </w:rPr>
      </w:pPr>
    </w:p>
    <w:p>
      <w:pPr>
        <w:ind w:right="80" w:firstLine="576"/>
        <w:spacing w:after="0" w:line="306" w:lineRule="auto"/>
        <w:rPr>
          <w:sz w:val="20"/>
          <w:szCs w:val="20"/>
          <w:color w:val="auto"/>
        </w:rPr>
      </w:pPr>
      <w:r>
        <w:rPr>
          <w:rFonts w:ascii="Arial" w:cs="Arial" w:eastAsia="Arial" w:hAnsi="Arial"/>
          <w:sz w:val="17"/>
          <w:szCs w:val="17"/>
          <w:color w:val="auto"/>
        </w:rPr>
        <w:t>The Company’s lease contains an option to extend the lease; lease terms are adjusted for these options only when it is reasonably certain the Company will exercise these options. The Company’s lease agreement does not contain residual value guarantees or covenants.</w:t>
      </w:r>
    </w:p>
    <w:p>
      <w:pPr>
        <w:spacing w:after="0" w:line="123"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174" w:lineRule="exact"/>
        <w:rPr>
          <w:sz w:val="20"/>
          <w:szCs w:val="20"/>
          <w:color w:val="auto"/>
        </w:rPr>
      </w:pPr>
    </w:p>
    <w:p>
      <w:pPr>
        <w:jc w:val="both"/>
        <w:ind w:right="60" w:firstLine="576"/>
        <w:spacing w:after="0" w:line="255" w:lineRule="auto"/>
        <w:rPr>
          <w:sz w:val="20"/>
          <w:szCs w:val="20"/>
          <w:color w:val="auto"/>
        </w:rPr>
      </w:pPr>
      <w:r>
        <w:rPr>
          <w:rFonts w:ascii="Arial" w:cs="Arial" w:eastAsia="Arial" w:hAnsi="Arial"/>
          <w:sz w:val="18"/>
          <w:szCs w:val="18"/>
          <w:color w:val="auto"/>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170"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170"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The Company adopted Accounting Standards Update (“ASU”) 2018-07 as of January 1, 2020. As a result, stock-based payments issued to non-employees prior to January 1, 2020 have been recorded at their fair values as of the transition date and are no longer subject to periodic adjustments as the underlying equity instruments vest. Any remaining compensation expense is recognized over the remaining vesting term on a straight-line basis, which reflects the service period, based on the fair value as of January 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04" w:lineRule="exact"/>
        <w:rPr>
          <w:sz w:val="20"/>
          <w:szCs w:val="20"/>
          <w:color w:val="auto"/>
        </w:rPr>
      </w:pPr>
    </w:p>
    <w:p>
      <w:pPr>
        <w:ind w:right="400" w:firstLine="576"/>
        <w:spacing w:after="0" w:line="255"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37" w:name="page238"/>
    <w:bookmarkEnd w:id="237"/>
    <w:p>
      <w:pPr>
        <w:ind w:right="280"/>
        <w:spacing w:after="0" w:line="276" w:lineRule="auto"/>
        <w:rPr>
          <w:sz w:val="20"/>
          <w:szCs w:val="20"/>
          <w:color w:val="auto"/>
        </w:rPr>
      </w:pPr>
      <w:r>
        <w:rPr>
          <w:rFonts w:ascii="Arial" w:cs="Arial" w:eastAsia="Arial" w:hAnsi="Arial"/>
          <w:sz w:val="18"/>
          <w:szCs w:val="18"/>
          <w:color w:val="auto"/>
        </w:rPr>
        <w:t>share attributable to common stockholders is the same as basic net loss per share attributable to common stockholders since the effect of potentially dilutive securities is anti-dilutive given the net loss of the Company.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intended to increase transparency and comparability among organizations by recognizing lease assets and lease liabilities on the balance sheets and disclosing key information about leasing arrangements. The Company adopted the guidance on July 1, 2020, effective January 1, 2020, using the optional transition method described in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Prior to adoption, the Company did not have any leases with initial terms longer than 12 months. The Company will continue to account for leases with initial terms of 12 months or less as operating expenses on a straight-line basis over the lease term.</w:t>
      </w:r>
    </w:p>
    <w:p>
      <w:pPr>
        <w:spacing w:after="0" w:line="174" w:lineRule="exact"/>
        <w:rPr>
          <w:sz w:val="20"/>
          <w:szCs w:val="20"/>
          <w:color w:val="auto"/>
        </w:rPr>
      </w:pPr>
    </w:p>
    <w:p>
      <w:pPr>
        <w:ind w:right="60" w:firstLine="576"/>
        <w:spacing w:after="0" w:line="262" w:lineRule="auto"/>
        <w:rPr>
          <w:sz w:val="20"/>
          <w:szCs w:val="20"/>
          <w:color w:val="auto"/>
        </w:rPr>
      </w:pPr>
      <w:r>
        <w:rPr>
          <w:rFonts w:ascii="Arial" w:cs="Arial" w:eastAsia="Arial" w:hAnsi="Arial"/>
          <w:sz w:val="17"/>
          <w:szCs w:val="17"/>
          <w:color w:val="auto"/>
        </w:rPr>
        <w:t>In adopting the new standard, the Company utilized certain practical expedients available. These practical expedients include waiving reassessment of 1) whether any expired or existing contracts are or contain leases; 2) lease classification of expired or existing leases; and</w:t>
      </w:r>
    </w:p>
    <w:p>
      <w:pPr>
        <w:ind w:right="180" w:firstLine="8"/>
        <w:spacing w:after="0" w:line="239" w:lineRule="auto"/>
        <w:tabs>
          <w:tab w:leader="none" w:pos="21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initial direct costs for existing leases. The Company also elected to use hindsight in determining the lease term and in assessing impairment of its ROU assets. Furthermore, the Company has made a policy decision regarding its real estate leases not to separate nonlease components from lease components, to the extent they are fixed. The Company has also elected not to record on the balance sheet a lease that has a lease term of 12 months or less and does not contain a purchase option that the Company is reasonably certain to exercise.</w:t>
      </w:r>
    </w:p>
    <w:p>
      <w:pPr>
        <w:spacing w:after="0" w:line="176"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The standard had a material impact on the Company’s unaudited condensed balance sheets but did not have a material impact on its unaudited condensed statements of operations or unaudited condensed statements of cash flows. The most significant impact was the recognition of $1.0 million and $1.0 million of operating lease ROU assets and liabilities, respectively. Refer to Note 8, Leases, for additional information regarding leases.</w:t>
      </w:r>
    </w:p>
    <w:p>
      <w:pPr>
        <w:spacing w:after="0" w:line="170"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326)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ASU simplified the accounting for share-based payments to non-employees by aligning it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share-based payments to employees, with certain exceptions. The Company adopted the standard on January 1, 2020 and it did not have a material impact on its financial condition, results of operations and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38" w:name="page239"/>
    <w:bookmarkEnd w:id="238"/>
    <w:p>
      <w:pPr>
        <w:ind w:right="40" w:firstLine="576"/>
        <w:spacing w:after="0" w:line="248"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eliminates certain disclosure requirements for fair value measurements for all entities, requires public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certain new information and modifies some disclosure requirements. The Company adopted this standard on January 1, 2020 and it did not have a material impact on its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ASU 2019-05, and ASU 2020-02.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condition, results of operations, cash flows and financial statement disclosures.</w:t>
      </w:r>
    </w:p>
    <w:p>
      <w:pPr>
        <w:spacing w:after="0" w:line="172"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Although there were several other new accounting pronouncements issued or proposed by the FASB, we do not believe any of these have had or will have material impact on our condensed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w:t>
      </w:r>
    </w:p>
    <w:p>
      <w:pPr>
        <w:spacing w:after="0" w:line="106" w:lineRule="exact"/>
        <w:rPr>
          <w:sz w:val="20"/>
          <w:szCs w:val="20"/>
          <w:color w:val="auto"/>
        </w:rPr>
      </w:pPr>
    </w:p>
    <w:p>
      <w:pPr>
        <w:ind w:right="60" w:firstLine="576"/>
        <w:spacing w:after="0" w:line="306" w:lineRule="auto"/>
        <w:rPr>
          <w:sz w:val="20"/>
          <w:szCs w:val="20"/>
          <w:color w:val="auto"/>
        </w:rPr>
      </w:pPr>
      <w:r>
        <w:rPr>
          <w:rFonts w:ascii="Arial" w:cs="Arial" w:eastAsia="Arial" w:hAnsi="Arial"/>
          <w:sz w:val="17"/>
          <w:szCs w:val="17"/>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15"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37"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37"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64" w:lineRule="exact"/>
        <w:rPr>
          <w:sz w:val="20"/>
          <w:szCs w:val="20"/>
          <w:color w:val="auto"/>
        </w:rPr>
      </w:pPr>
    </w:p>
    <w:p>
      <w:pPr>
        <w:jc w:val="both"/>
        <w:ind w:right="60" w:firstLine="576"/>
        <w:spacing w:after="0" w:line="24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39" w:name="page240"/>
    <w:bookmarkEnd w:id="239"/>
    <w:p>
      <w:pPr>
        <w:ind w:right="480" w:firstLine="576"/>
        <w:spacing w:after="0" w:line="276" w:lineRule="auto"/>
        <w:rPr>
          <w:sz w:val="20"/>
          <w:szCs w:val="20"/>
          <w:color w:val="auto"/>
        </w:rPr>
      </w:pPr>
      <w:r>
        <w:rPr>
          <w:rFonts w:ascii="Arial" w:cs="Arial" w:eastAsia="Arial" w:hAnsi="Arial"/>
          <w:sz w:val="18"/>
          <w:szCs w:val="18"/>
          <w:color w:val="auto"/>
        </w:rPr>
        <w:t>The following table reflects the Company’s financial asset balances measured on a recurring basis as of September 30,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13"/>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13"/>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r>
      <w:tr>
        <w:trPr>
          <w:trHeight w:val="177"/>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73"/>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r>
      <w:tr>
        <w:trPr>
          <w:trHeight w:val="210"/>
        </w:trPr>
        <w:tc>
          <w:tcPr>
            <w:tcW w:w="4620" w:type="dxa"/>
            <w:vAlign w:val="bottom"/>
            <w:tcBorders>
              <w:top w:val="single" w:sz="8" w:color="CFF0FC"/>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9"/>
        </w:trPr>
        <w:tc>
          <w:tcPr>
            <w:tcW w:w="4620" w:type="dxa"/>
            <w:vAlign w:val="bottom"/>
          </w:tcPr>
          <w:p>
            <w:pPr>
              <w:ind w:left="260"/>
              <w:spacing w:after="0"/>
              <w:rPr>
                <w:sz w:val="20"/>
                <w:szCs w:val="20"/>
                <w:color w:val="auto"/>
              </w:rPr>
            </w:pPr>
            <w:r>
              <w:rPr>
                <w:rFonts w:ascii="Arial" w:cs="Arial" w:eastAsia="Arial" w:hAnsi="Arial"/>
                <w:sz w:val="18"/>
                <w:szCs w:val="18"/>
                <w:color w:val="auto"/>
              </w:rPr>
              <w:t>Money market fund</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66,596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66,596</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3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70,392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70,389</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ind w:left="260"/>
              <w:spacing w:after="0"/>
              <w:rPr>
                <w:sz w:val="20"/>
                <w:szCs w:val="20"/>
                <w:color w:val="auto"/>
              </w:rPr>
            </w:pPr>
            <w:r>
              <w:rPr>
                <w:rFonts w:ascii="Arial" w:cs="Arial" w:eastAsia="Arial" w:hAnsi="Arial"/>
                <w:sz w:val="18"/>
                <w:szCs w:val="18"/>
                <w:color w:val="auto"/>
              </w:rPr>
              <w:t>U.S. government debt and agency securities</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13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shd w:val="clear" w:color="auto" w:fill="CFF0FC"/>
          </w:tcPr>
          <w:p>
            <w:pPr>
              <w:spacing w:after="0"/>
              <w:rPr>
                <w:sz w:val="18"/>
                <w:szCs w:val="18"/>
                <w:color w:val="auto"/>
              </w:rPr>
            </w:pPr>
          </w:p>
        </w:tc>
      </w:tr>
      <w:tr>
        <w:trPr>
          <w:trHeight w:val="249"/>
        </w:trPr>
        <w:tc>
          <w:tcPr>
            <w:tcW w:w="4620" w:type="dxa"/>
            <w:vAlign w:val="bottom"/>
          </w:tcPr>
          <w:p>
            <w:pPr>
              <w:ind w:left="260"/>
              <w:spacing w:after="0"/>
              <w:rPr>
                <w:sz w:val="20"/>
                <w:szCs w:val="20"/>
                <w:color w:val="auto"/>
              </w:rPr>
            </w:pPr>
            <w:r>
              <w:rPr>
                <w:rFonts w:ascii="Arial" w:cs="Arial" w:eastAsia="Arial" w:hAnsi="Arial"/>
                <w:sz w:val="18"/>
                <w:szCs w:val="18"/>
                <w:color w:val="auto"/>
              </w:rPr>
              <w:t>Total cash equivalents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152,822</w:t>
            </w:r>
          </w:p>
        </w:tc>
        <w:tc>
          <w:tcPr>
            <w:tcW w:w="220" w:type="dxa"/>
            <w:vAlign w:val="bottom"/>
            <w:gridSpan w:val="2"/>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152,819</w:t>
            </w:r>
          </w:p>
        </w:tc>
        <w:tc>
          <w:tcPr>
            <w:tcW w:w="100" w:type="dxa"/>
            <w:vAlign w:val="bottom"/>
          </w:tcPr>
          <w:p>
            <w:pPr>
              <w:spacing w:after="0"/>
              <w:rPr>
                <w:sz w:val="21"/>
                <w:szCs w:val="21"/>
                <w:color w:val="auto"/>
              </w:rPr>
            </w:pPr>
          </w:p>
        </w:tc>
      </w:tr>
      <w:tr>
        <w:trPr>
          <w:trHeight w:val="197"/>
        </w:trPr>
        <w:tc>
          <w:tcPr>
            <w:tcW w:w="4620" w:type="dxa"/>
            <w:vAlign w:val="bottom"/>
            <w:tcBorders>
              <w:top w:val="single" w:sz="8" w:color="CFF0FC"/>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9"/>
        </w:trPr>
        <w:tc>
          <w:tcPr>
            <w:tcW w:w="46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30,394</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and agency securities</w:t>
            </w:r>
          </w:p>
        </w:tc>
        <w:tc>
          <w:tcPr>
            <w:tcW w:w="13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29,227</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Corporate bonds</w:t>
            </w:r>
          </w:p>
        </w:tc>
        <w:tc>
          <w:tcPr>
            <w:tcW w:w="1300" w:type="dxa"/>
            <w:vAlign w:val="bottom"/>
            <w:tcBorders>
              <w:bottom w:val="single" w:sz="8" w:color="CFF0FC"/>
            </w:tcBorders>
            <w:gridSpan w:val="2"/>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FF0FC"/>
            </w:tcBorders>
          </w:tcPr>
          <w:p>
            <w:pPr>
              <w:spacing w:after="0"/>
              <w:rPr>
                <w:sz w:val="18"/>
                <w:szCs w:val="18"/>
                <w:color w:val="auto"/>
              </w:rPr>
            </w:pPr>
          </w:p>
        </w:tc>
      </w:tr>
      <w:tr>
        <w:trPr>
          <w:trHeight w:val="24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60,539</w:t>
            </w:r>
          </w:p>
        </w:tc>
        <w:tc>
          <w:tcPr>
            <w:tcW w:w="10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60,547</w:t>
            </w:r>
          </w:p>
        </w:tc>
        <w:tc>
          <w:tcPr>
            <w:tcW w:w="100" w:type="dxa"/>
            <w:vAlign w:val="bottom"/>
            <w:shd w:val="clear" w:color="auto" w:fill="CFF0FC"/>
          </w:tcPr>
          <w:p>
            <w:pPr>
              <w:spacing w:after="0"/>
              <w:rPr>
                <w:sz w:val="21"/>
                <w:szCs w:val="21"/>
                <w:color w:val="auto"/>
              </w:rPr>
            </w:pPr>
          </w:p>
        </w:tc>
      </w:tr>
      <w:tr>
        <w:trPr>
          <w:trHeight w:val="197"/>
        </w:trPr>
        <w:tc>
          <w:tcPr>
            <w:tcW w:w="4620" w:type="dxa"/>
            <w:vAlign w:val="bottom"/>
            <w:tcBorders>
              <w:top w:val="single" w:sz="8" w:color="CFF0FC"/>
              <w:bottom w:val="single" w:sz="8" w:color="auto"/>
            </w:tcBorders>
          </w:tcPr>
          <w:p>
            <w:pPr>
              <w:spacing w:after="0" w:line="196" w:lineRule="exact"/>
              <w:rPr>
                <w:sz w:val="20"/>
                <w:szCs w:val="20"/>
                <w:color w:val="auto"/>
              </w:rPr>
            </w:pPr>
            <w:r>
              <w:rPr>
                <w:rFonts w:ascii="Arial" w:cs="Arial" w:eastAsia="Arial" w:hAnsi="Arial"/>
                <w:sz w:val="18"/>
                <w:szCs w:val="18"/>
                <w:color w:val="auto"/>
              </w:rPr>
              <w:t>Long-term investments:</w:t>
            </w:r>
          </w:p>
        </w:tc>
        <w:tc>
          <w:tcPr>
            <w:tcW w:w="120" w:type="dxa"/>
            <w:vAlign w:val="bottom"/>
            <w:tcBorders>
              <w:top w:val="single" w:sz="8" w:color="CFF0FC"/>
              <w:bottom w:val="single" w:sz="8" w:color="CFF0FC"/>
            </w:tcBorders>
          </w:tcPr>
          <w:p>
            <w:pPr>
              <w:spacing w:after="0"/>
              <w:rPr>
                <w:sz w:val="17"/>
                <w:szCs w:val="17"/>
                <w:color w:val="auto"/>
              </w:rPr>
            </w:pPr>
          </w:p>
        </w:tc>
        <w:tc>
          <w:tcPr>
            <w:tcW w:w="1180" w:type="dxa"/>
            <w:vAlign w:val="bottom"/>
            <w:tcBorders>
              <w:top w:val="single" w:sz="8" w:color="CFF0FC"/>
              <w:bottom w:val="single" w:sz="8" w:color="CFF0FC"/>
            </w:tcBorders>
          </w:tcPr>
          <w:p>
            <w:pPr>
              <w:spacing w:after="0"/>
              <w:rPr>
                <w:sz w:val="17"/>
                <w:szCs w:val="17"/>
                <w:color w:val="auto"/>
              </w:rPr>
            </w:pPr>
          </w:p>
        </w:tc>
        <w:tc>
          <w:tcPr>
            <w:tcW w:w="120" w:type="dxa"/>
            <w:vAlign w:val="bottom"/>
            <w:tcBorders>
              <w:top w:val="single" w:sz="8" w:color="CFF0FC"/>
              <w:bottom w:val="single" w:sz="8" w:color="CFF0FC"/>
            </w:tcBorders>
          </w:tcPr>
          <w:p>
            <w:pPr>
              <w:spacing w:after="0"/>
              <w:rPr>
                <w:sz w:val="17"/>
                <w:szCs w:val="17"/>
                <w:color w:val="auto"/>
              </w:rPr>
            </w:pPr>
          </w:p>
        </w:tc>
        <w:tc>
          <w:tcPr>
            <w:tcW w:w="140" w:type="dxa"/>
            <w:vAlign w:val="bottom"/>
            <w:tcBorders>
              <w:top w:val="single" w:sz="8" w:color="auto"/>
              <w:bottom w:val="single" w:sz="8" w:color="CFF0FC"/>
            </w:tcBorders>
          </w:tcPr>
          <w:p>
            <w:pPr>
              <w:spacing w:after="0"/>
              <w:rPr>
                <w:sz w:val="17"/>
                <w:szCs w:val="17"/>
                <w:color w:val="auto"/>
              </w:rPr>
            </w:pPr>
          </w:p>
        </w:tc>
        <w:tc>
          <w:tcPr>
            <w:tcW w:w="96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CFF0FC"/>
              <w:bottom w:val="single" w:sz="8" w:color="CFF0FC"/>
            </w:tcBorders>
          </w:tcPr>
          <w:p>
            <w:pPr>
              <w:spacing w:after="0"/>
              <w:rPr>
                <w:sz w:val="17"/>
                <w:szCs w:val="17"/>
                <w:color w:val="auto"/>
              </w:rPr>
            </w:pPr>
          </w:p>
        </w:tc>
        <w:tc>
          <w:tcPr>
            <w:tcW w:w="120" w:type="dxa"/>
            <w:vAlign w:val="bottom"/>
            <w:tcBorders>
              <w:top w:val="single" w:sz="8" w:color="auto"/>
              <w:bottom w:val="single" w:sz="8" w:color="CFF0FC"/>
            </w:tcBorders>
          </w:tcPr>
          <w:p>
            <w:pPr>
              <w:spacing w:after="0"/>
              <w:rPr>
                <w:sz w:val="17"/>
                <w:szCs w:val="17"/>
                <w:color w:val="auto"/>
              </w:rPr>
            </w:pPr>
          </w:p>
        </w:tc>
        <w:tc>
          <w:tcPr>
            <w:tcW w:w="140" w:type="dxa"/>
            <w:vAlign w:val="bottom"/>
            <w:tcBorders>
              <w:top w:val="single" w:sz="8" w:color="auto"/>
              <w:bottom w:val="single" w:sz="8" w:color="CFF0FC"/>
            </w:tcBorders>
          </w:tcPr>
          <w:p>
            <w:pPr>
              <w:spacing w:after="0"/>
              <w:rPr>
                <w:sz w:val="17"/>
                <w:szCs w:val="17"/>
                <w:color w:val="auto"/>
              </w:rPr>
            </w:pPr>
          </w:p>
        </w:tc>
        <w:tc>
          <w:tcPr>
            <w:tcW w:w="96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CFF0FC"/>
              <w:bottom w:val="single" w:sz="8" w:color="CFF0FC"/>
            </w:tcBorders>
          </w:tcPr>
          <w:p>
            <w:pPr>
              <w:spacing w:after="0"/>
              <w:rPr>
                <w:sz w:val="17"/>
                <w:szCs w:val="17"/>
                <w:color w:val="auto"/>
              </w:rPr>
            </w:pPr>
          </w:p>
        </w:tc>
        <w:tc>
          <w:tcPr>
            <w:tcW w:w="120" w:type="dxa"/>
            <w:vAlign w:val="bottom"/>
            <w:tcBorders>
              <w:top w:val="single" w:sz="8" w:color="auto"/>
              <w:bottom w:val="single" w:sz="8" w:color="CFF0FC"/>
            </w:tcBorders>
          </w:tcPr>
          <w:p>
            <w:pPr>
              <w:spacing w:after="0"/>
              <w:rPr>
                <w:sz w:val="17"/>
                <w:szCs w:val="17"/>
                <w:color w:val="auto"/>
              </w:rPr>
            </w:pPr>
          </w:p>
        </w:tc>
        <w:tc>
          <w:tcPr>
            <w:tcW w:w="160" w:type="dxa"/>
            <w:vAlign w:val="bottom"/>
            <w:tcBorders>
              <w:top w:val="single" w:sz="8" w:color="auto"/>
              <w:bottom w:val="single" w:sz="8" w:color="CFF0FC"/>
            </w:tcBorders>
          </w:tcPr>
          <w:p>
            <w:pPr>
              <w:spacing w:after="0"/>
              <w:rPr>
                <w:sz w:val="17"/>
                <w:szCs w:val="17"/>
                <w:color w:val="auto"/>
              </w:rPr>
            </w:pPr>
          </w:p>
        </w:tc>
        <w:tc>
          <w:tcPr>
            <w:tcW w:w="96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CFF0FC"/>
              <w:bottom w:val="single" w:sz="8" w:color="CFF0FC"/>
            </w:tcBorders>
          </w:tcPr>
          <w:p>
            <w:pPr>
              <w:spacing w:after="0"/>
              <w:rPr>
                <w:sz w:val="17"/>
                <w:szCs w:val="17"/>
                <w:color w:val="auto"/>
              </w:rPr>
            </w:pPr>
          </w:p>
        </w:tc>
        <w:tc>
          <w:tcPr>
            <w:tcW w:w="120" w:type="dxa"/>
            <w:vAlign w:val="bottom"/>
            <w:tcBorders>
              <w:top w:val="single" w:sz="8" w:color="auto"/>
              <w:bottom w:val="single" w:sz="8" w:color="CFF0FC"/>
            </w:tcBorders>
          </w:tcPr>
          <w:p>
            <w:pPr>
              <w:spacing w:after="0"/>
              <w:rPr>
                <w:sz w:val="17"/>
                <w:szCs w:val="17"/>
                <w:color w:val="auto"/>
              </w:rPr>
            </w:pPr>
          </w:p>
        </w:tc>
        <w:tc>
          <w:tcPr>
            <w:tcW w:w="240" w:type="dxa"/>
            <w:vAlign w:val="bottom"/>
            <w:tcBorders>
              <w:top w:val="single" w:sz="8" w:color="auto"/>
              <w:bottom w:val="single" w:sz="8" w:color="CFF0FC"/>
            </w:tcBorders>
          </w:tcPr>
          <w:p>
            <w:pPr>
              <w:spacing w:after="0"/>
              <w:rPr>
                <w:sz w:val="17"/>
                <w:szCs w:val="17"/>
                <w:color w:val="auto"/>
              </w:rPr>
            </w:pPr>
          </w:p>
        </w:tc>
        <w:tc>
          <w:tcPr>
            <w:tcW w:w="88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CFF0FC"/>
              <w:bottom w:val="single" w:sz="8" w:color="CFF0FC"/>
            </w:tcBorders>
          </w:tcPr>
          <w:p>
            <w:pPr>
              <w:spacing w:after="0"/>
              <w:rPr>
                <w:sz w:val="17"/>
                <w:szCs w:val="17"/>
                <w:color w:val="auto"/>
              </w:rPr>
            </w:pPr>
          </w:p>
        </w:tc>
      </w:tr>
      <w:tr>
        <w:trPr>
          <w:trHeight w:val="209"/>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and agency securities</w:t>
            </w:r>
          </w:p>
        </w:tc>
        <w:tc>
          <w:tcPr>
            <w:tcW w:w="13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32,636</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 S. treasury bills</w:t>
            </w:r>
          </w:p>
        </w:tc>
        <w:tc>
          <w:tcPr>
            <w:tcW w:w="1300" w:type="dxa"/>
            <w:vAlign w:val="bottom"/>
            <w:tcBorders>
              <w:bottom w:val="single" w:sz="8" w:color="CFF0FC"/>
            </w:tcBorders>
            <w:gridSpan w:val="2"/>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FF0FC"/>
            </w:tcBorders>
          </w:tcPr>
          <w:p>
            <w:pPr>
              <w:spacing w:after="0"/>
              <w:rPr>
                <w:sz w:val="18"/>
                <w:szCs w:val="18"/>
                <w:color w:val="auto"/>
              </w:rPr>
            </w:pPr>
          </w:p>
        </w:tc>
      </w:tr>
      <w:tr>
        <w:trPr>
          <w:trHeight w:val="21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investments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33,656</w:t>
            </w:r>
          </w:p>
        </w:tc>
        <w:tc>
          <w:tcPr>
            <w:tcW w:w="100" w:type="dxa"/>
            <w:vAlign w:val="bottom"/>
            <w:shd w:val="clear" w:color="auto" w:fill="CFF0FC"/>
          </w:tcPr>
          <w:p>
            <w:pPr>
              <w:spacing w:after="0"/>
              <w:rPr>
                <w:sz w:val="18"/>
                <w:szCs w:val="18"/>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0" w:lineRule="exact"/>
        <w:rPr>
          <w:sz w:val="20"/>
          <w:szCs w:val="20"/>
          <w:color w:val="auto"/>
        </w:rPr>
      </w:pPr>
    </w:p>
    <w:p>
      <w:pPr>
        <w:ind w:right="300" w:firstLine="576"/>
        <w:spacing w:after="0" w:line="248" w:lineRule="auto"/>
        <w:rPr>
          <w:sz w:val="20"/>
          <w:szCs w:val="20"/>
          <w:color w:val="auto"/>
        </w:rPr>
      </w:pPr>
      <w:r>
        <w:rPr>
          <w:rFonts w:ascii="Arial" w:cs="Arial" w:eastAsia="Arial" w:hAnsi="Arial"/>
          <w:sz w:val="18"/>
          <w:szCs w:val="18"/>
          <w:color w:val="auto"/>
        </w:rPr>
        <w:t>The Company evaluated its investments for other-than-temporary impairment and considers the decline in market value for the securities to be primarily attributable to current economic and market conditions. For the investments, it is not more-likely-than-not that the Company will be required to sell the investments, and the Company does not intend to do so prior to the recovery of the amortized cost basis.</w:t>
      </w:r>
    </w:p>
    <w:p>
      <w:pPr>
        <w:spacing w:after="0" w:line="170" w:lineRule="exact"/>
        <w:rPr>
          <w:sz w:val="20"/>
          <w:szCs w:val="20"/>
          <w:color w:val="auto"/>
        </w:rPr>
      </w:pPr>
    </w:p>
    <w:p>
      <w:pPr>
        <w:ind w:right="320" w:firstLine="576"/>
        <w:spacing w:after="0"/>
        <w:rPr>
          <w:sz w:val="20"/>
          <w:szCs w:val="20"/>
          <w:color w:val="auto"/>
        </w:rPr>
      </w:pPr>
      <w:r>
        <w:rPr>
          <w:rFonts w:ascii="Arial" w:cs="Arial" w:eastAsia="Arial" w:hAnsi="Arial"/>
          <w:sz w:val="18"/>
          <w:szCs w:val="18"/>
          <w:color w:val="auto"/>
        </w:rPr>
        <w:t>Prior to the IPO, the Company’s level 3 financial liabilities carried at fair value and remeasured on a recurring basis are the grant liability, derivative liability, and the convertible preferred stock warrant liability. In the third quarter the Company recorded an additional $464,000 to bring the total grant liability to $1.5 million as the Company’s IPO triggered the repayment obligation (see Note 6), and the derivative was settled upon the Company’s conversion of its convertible notes in May 2020 (see Note 7). The losses resulting from the change in fair value of the grant liability, the bifurcated conversion and redemption features related to the derivative liability, and the convertible preferred stock warrant liability are classified as other income (expense), net in the accompanying condensed consolidated statements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activity for the grant liability for the year ended December 31, 2019 and nine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tcPr>
          <w:p>
            <w:pPr>
              <w:ind w:left="14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r>
      <w:tr>
        <w:trPr>
          <w:trHeight w:val="177"/>
        </w:trPr>
        <w:tc>
          <w:tcPr>
            <w:tcW w:w="4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 December 31, 2019</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5"/>
                <w:szCs w:val="15"/>
                <w:color w:val="auto"/>
              </w:rPr>
            </w:pPr>
          </w:p>
        </w:tc>
      </w:tr>
      <w:tr>
        <w:trPr>
          <w:trHeight w:val="210"/>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23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23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23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140" w:type="dxa"/>
            <w:vAlign w:val="bottom"/>
          </w:tcPr>
          <w:p>
            <w:pPr>
              <w:spacing w:after="0"/>
              <w:rPr>
                <w:sz w:val="24"/>
                <w:szCs w:val="24"/>
                <w:color w:val="auto"/>
              </w:rPr>
            </w:pPr>
          </w:p>
        </w:tc>
        <w:tc>
          <w:tcPr>
            <w:tcW w:w="3240" w:type="dxa"/>
            <w:vAlign w:val="bottom"/>
            <w:gridSpan w:val="2"/>
          </w:tcPr>
          <w:p>
            <w:pPr>
              <w:jc w:val="right"/>
              <w:ind w:right="1496"/>
              <w:spacing w:after="0"/>
              <w:rPr>
                <w:sz w:val="20"/>
                <w:szCs w:val="20"/>
                <w:color w:val="auto"/>
              </w:rPr>
            </w:pPr>
            <w:r>
              <w:rPr>
                <w:rFonts w:ascii="Arial" w:cs="Arial" w:eastAsia="Arial" w:hAnsi="Arial"/>
                <w:sz w:val="18"/>
                <w:szCs w:val="18"/>
                <w:color w:val="auto"/>
              </w:rPr>
              <w:t>F-38</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14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16" w:right="319" w:bottom="1440" w:gutter="0" w:footer="0" w:header="0"/>
        </w:sectPr>
      </w:pPr>
    </w:p>
    <w:bookmarkStart w:id="240" w:name="page241"/>
    <w:bookmarkEnd w:id="240"/>
    <w:p>
      <w:pPr>
        <w:ind w:left="600"/>
        <w:spacing w:after="0"/>
        <w:rPr>
          <w:sz w:val="20"/>
          <w:szCs w:val="20"/>
          <w:color w:val="auto"/>
        </w:rPr>
      </w:pPr>
      <w:r>
        <w:rPr>
          <w:rFonts w:ascii="Arial" w:cs="Arial" w:eastAsia="Arial" w:hAnsi="Arial"/>
          <w:sz w:val="18"/>
          <w:szCs w:val="18"/>
          <w:color w:val="auto"/>
        </w:rPr>
        <w:t>The following table presents the activity for the derivative liability for the year ended December 31, 2019 and nine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September 30, 2020</w:t>
            </w:r>
          </w:p>
        </w:tc>
      </w:tr>
      <w:tr>
        <w:trPr>
          <w:trHeight w:val="210"/>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8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999</w:t>
            </w:r>
          </w:p>
        </w:tc>
        <w:tc>
          <w:tcPr>
            <w:tcW w:w="100" w:type="dxa"/>
            <w:vAlign w:val="bottom"/>
            <w:tcBorders>
              <w:top w:val="single" w:sz="8" w:color="CFF0FC"/>
            </w:tcBorders>
            <w:shd w:val="clear" w:color="auto" w:fill="CFF0FC"/>
          </w:tcPr>
          <w:p>
            <w:pPr>
              <w:spacing w:after="0"/>
              <w:rPr>
                <w:sz w:val="18"/>
                <w:szCs w:val="18"/>
                <w:color w:val="auto"/>
              </w:rPr>
            </w:pPr>
          </w:p>
        </w:tc>
      </w:tr>
      <w:tr>
        <w:trPr>
          <w:trHeight w:val="193"/>
        </w:trPr>
        <w:tc>
          <w:tcPr>
            <w:tcW w:w="5440" w:type="dxa"/>
            <w:vAlign w:val="bottom"/>
          </w:tcPr>
          <w:p>
            <w:pPr>
              <w:spacing w:after="0" w:line="193" w:lineRule="exact"/>
              <w:rPr>
                <w:sz w:val="20"/>
                <w:szCs w:val="20"/>
                <w:color w:val="auto"/>
              </w:rPr>
            </w:pPr>
            <w:r>
              <w:rPr>
                <w:rFonts w:ascii="Arial" w:cs="Arial" w:eastAsia="Arial" w:hAnsi="Arial"/>
                <w:sz w:val="18"/>
                <w:szCs w:val="18"/>
                <w:color w:val="auto"/>
              </w:rPr>
              <w:t>Derivative liability recorded upon issuance of</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5440" w:type="dxa"/>
            <w:vAlign w:val="bottom"/>
          </w:tcPr>
          <w:p>
            <w:pPr>
              <w:ind w:left="160"/>
              <w:spacing w:after="0"/>
              <w:rPr>
                <w:sz w:val="20"/>
                <w:szCs w:val="20"/>
                <w:color w:val="auto"/>
              </w:rPr>
            </w:pPr>
            <w:r>
              <w:rPr>
                <w:rFonts w:ascii="Arial" w:cs="Arial" w:eastAsia="Arial" w:hAnsi="Arial"/>
                <w:sz w:val="18"/>
                <w:szCs w:val="18"/>
                <w:color w:val="auto"/>
              </w:rPr>
              <w:t>convertible notes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8"/>
                <w:szCs w:val="18"/>
                <w:color w:val="auto"/>
              </w:rPr>
            </w:pPr>
          </w:p>
        </w:tc>
      </w:tr>
      <w:tr>
        <w:trPr>
          <w:trHeight w:val="193"/>
        </w:trPr>
        <w:tc>
          <w:tcPr>
            <w:tcW w:w="5440" w:type="dxa"/>
            <w:vAlign w:val="bottom"/>
          </w:tcPr>
          <w:p>
            <w:pPr>
              <w:spacing w:after="0" w:line="193" w:lineRule="exact"/>
              <w:rPr>
                <w:sz w:val="20"/>
                <w:szCs w:val="20"/>
                <w:color w:val="auto"/>
              </w:rPr>
            </w:pPr>
            <w:r>
              <w:rPr>
                <w:rFonts w:ascii="Arial" w:cs="Arial" w:eastAsia="Arial" w:hAnsi="Arial"/>
                <w:sz w:val="18"/>
                <w:szCs w:val="18"/>
                <w:color w:val="auto"/>
              </w:rPr>
              <w:t>Derivative liability settled upon conversion of</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5440" w:type="dxa"/>
            <w:vAlign w:val="bottom"/>
          </w:tcPr>
          <w:p>
            <w:pPr>
              <w:ind w:left="160"/>
              <w:spacing w:after="0"/>
              <w:rPr>
                <w:sz w:val="20"/>
                <w:szCs w:val="20"/>
                <w:color w:val="auto"/>
              </w:rPr>
            </w:pPr>
            <w:r>
              <w:rPr>
                <w:rFonts w:ascii="Arial" w:cs="Arial" w:eastAsia="Arial" w:hAnsi="Arial"/>
                <w:sz w:val="18"/>
                <w:szCs w:val="18"/>
                <w:color w:val="auto"/>
              </w:rPr>
              <w:t>convertible notes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(1,905)</w:t>
            </w:r>
          </w:p>
        </w:tc>
      </w:tr>
      <w:tr>
        <w:trPr>
          <w:trHeight w:val="209"/>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320" w:type="dxa"/>
            <w:vAlign w:val="bottom"/>
            <w:gridSpan w:val="2"/>
          </w:tcPr>
          <w:p>
            <w:pPr>
              <w:spacing w:after="0" w:line="20" w:lineRule="exact"/>
              <w:rPr>
                <w:sz w:val="1"/>
                <w:szCs w:val="1"/>
                <w:color w:val="auto"/>
              </w:rPr>
            </w:pPr>
          </w:p>
        </w:tc>
        <w:tc>
          <w:tcPr>
            <w:tcW w:w="23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11240" w:type="dxa"/>
            <w:vAlign w:val="bottom"/>
            <w:gridSpan w:val="10"/>
          </w:tcPr>
          <w:p>
            <w:pPr>
              <w:ind w:left="580"/>
              <w:spacing w:after="0"/>
              <w:rPr>
                <w:sz w:val="20"/>
                <w:szCs w:val="20"/>
                <w:color w:val="auto"/>
              </w:rPr>
            </w:pPr>
            <w:r>
              <w:rPr>
                <w:rFonts w:ascii="Arial" w:cs="Arial" w:eastAsia="Arial" w:hAnsi="Arial"/>
                <w:sz w:val="18"/>
                <w:szCs w:val="18"/>
                <w:color w:val="auto"/>
              </w:rPr>
              <w:t>The following table presents the activity for the convertible preferred stock warrant liability for the nine months ended September 30,</w:t>
            </w:r>
          </w:p>
        </w:tc>
      </w:tr>
      <w:tr>
        <w:trPr>
          <w:trHeight w:val="243"/>
        </w:trPr>
        <w:tc>
          <w:tcPr>
            <w:tcW w:w="5440" w:type="dxa"/>
            <w:vAlign w:val="bottom"/>
          </w:tcPr>
          <w:p>
            <w:pPr>
              <w:spacing w:after="0"/>
              <w:rPr>
                <w:sz w:val="20"/>
                <w:szCs w:val="20"/>
                <w:color w:val="auto"/>
              </w:rPr>
            </w:pPr>
            <w:r>
              <w:rPr>
                <w:rFonts w:ascii="Arial" w:cs="Arial" w:eastAsia="Arial" w:hAnsi="Arial"/>
                <w:sz w:val="18"/>
                <w:szCs w:val="18"/>
                <w:color w:val="auto"/>
              </w:rPr>
              <w:t>2020 (in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9"/>
        </w:trPr>
        <w:tc>
          <w:tcPr>
            <w:tcW w:w="5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September 30, 2020</w:t>
            </w:r>
          </w:p>
        </w:tc>
      </w:tr>
      <w:tr>
        <w:trPr>
          <w:trHeight w:val="209"/>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8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gridSpan w:val="2"/>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Recognition of convertible preferred stock warrant liability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Settlement upon IPO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(1,005)</w:t>
            </w:r>
          </w:p>
        </w:tc>
      </w:tr>
      <w:tr>
        <w:trPr>
          <w:trHeight w:val="209"/>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gridSpan w:val="2"/>
            <w:shd w:val="clear" w:color="auto" w:fill="CFF0FC"/>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right="340" w:firstLine="576"/>
        <w:spacing w:after="0" w:line="255" w:lineRule="auto"/>
        <w:rPr>
          <w:sz w:val="20"/>
          <w:szCs w:val="20"/>
          <w:color w:val="auto"/>
        </w:rPr>
      </w:pPr>
      <w:r>
        <w:rPr>
          <w:rFonts w:ascii="Arial" w:cs="Arial" w:eastAsia="Arial" w:hAnsi="Arial"/>
          <w:sz w:val="18"/>
          <w:szCs w:val="18"/>
          <w:color w:val="auto"/>
        </w:rPr>
        <w:t>Prior to the IPO, the activity for the convertible preferred stock warrant liability presented in the table above was shown in the Company’s financial statements as level 3. Following the IPO, the preferred stock warrant liability was revalued based on the IPO price of $17.00 per share.</w:t>
      </w:r>
    </w:p>
    <w:p>
      <w:pPr>
        <w:spacing w:after="0" w:line="270" w:lineRule="exact"/>
        <w:rPr>
          <w:sz w:val="20"/>
          <w:szCs w:val="20"/>
          <w:color w:val="auto"/>
        </w:rPr>
      </w:pPr>
    </w:p>
    <w:p>
      <w:pPr>
        <w:ind w:left="580" w:hanging="572"/>
        <w:spacing w:after="0"/>
        <w:tabs>
          <w:tab w:leader="none" w:pos="58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40" w:type="dxa"/>
            <w:vAlign w:val="bottom"/>
          </w:tcPr>
          <w:p>
            <w:pPr>
              <w:jc w:val="right"/>
              <w:ind w:right="16"/>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 September 30,</w:t>
            </w:r>
          </w:p>
        </w:tc>
        <w:tc>
          <w:tcPr>
            <w:tcW w:w="20" w:type="dxa"/>
            <w:vAlign w:val="bottom"/>
          </w:tcPr>
          <w:p>
            <w:pPr>
              <w:spacing w:after="0"/>
              <w:rPr>
                <w:sz w:val="14"/>
                <w:szCs w:val="14"/>
                <w:color w:val="auto"/>
              </w:rPr>
            </w:pPr>
          </w:p>
        </w:tc>
      </w:tr>
      <w:tr>
        <w:trPr>
          <w:trHeight w:val="177"/>
        </w:trPr>
        <w:tc>
          <w:tcPr>
            <w:tcW w:w="4240" w:type="dxa"/>
            <w:vAlign w:val="bottom"/>
          </w:tcPr>
          <w:p>
            <w:pPr>
              <w:spacing w:after="0"/>
              <w:rPr>
                <w:sz w:val="15"/>
                <w:szCs w:val="15"/>
                <w:color w:val="auto"/>
              </w:rPr>
            </w:pPr>
          </w:p>
        </w:tc>
        <w:tc>
          <w:tcPr>
            <w:tcW w:w="4020" w:type="dxa"/>
            <w:vAlign w:val="bottom"/>
            <w:gridSpan w:val="2"/>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Pr>
          <w:p>
            <w:pPr>
              <w:jc w:val="right"/>
              <w:ind w:right="8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080" w:type="dxa"/>
            <w:vAlign w:val="bottom"/>
            <w:tcBorders>
              <w:top w:val="single" w:sz="8" w:color="CFF0FC"/>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jc w:val="right"/>
              <w:ind w:right="17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3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2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2080" w:type="dxa"/>
            <w:vAlign w:val="bottom"/>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24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2080" w:type="dxa"/>
            <w:vAlign w:val="bottom"/>
          </w:tcPr>
          <w:p>
            <w:pPr>
              <w:spacing w:after="0"/>
              <w:rPr>
                <w:sz w:val="18"/>
                <w:szCs w:val="18"/>
                <w:color w:val="auto"/>
              </w:rPr>
            </w:pPr>
          </w:p>
        </w:tc>
        <w:tc>
          <w:tcPr>
            <w:tcW w:w="1940" w:type="dxa"/>
            <w:vAlign w:val="bottom"/>
            <w:tcBorders>
              <w:bottom w:val="single" w:sz="8" w:color="auto"/>
            </w:tcBorders>
          </w:tcPr>
          <w:p>
            <w:pPr>
              <w:jc w:val="right"/>
              <w:ind w:right="17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3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240" w:type="dxa"/>
            <w:vAlign w:val="bottom"/>
          </w:tcPr>
          <w:p>
            <w:pPr>
              <w:spacing w:after="0"/>
              <w:rPr>
                <w:sz w:val="24"/>
                <w:szCs w:val="24"/>
                <w:color w:val="auto"/>
              </w:rPr>
            </w:pPr>
          </w:p>
        </w:tc>
        <w:tc>
          <w:tcPr>
            <w:tcW w:w="4020" w:type="dxa"/>
            <w:vAlign w:val="bottom"/>
            <w:gridSpan w:val="2"/>
          </w:tcPr>
          <w:p>
            <w:pPr>
              <w:jc w:val="right"/>
              <w:ind w:right="2376"/>
              <w:spacing w:after="0"/>
              <w:rPr>
                <w:sz w:val="20"/>
                <w:szCs w:val="20"/>
                <w:color w:val="auto"/>
              </w:rPr>
            </w:pPr>
            <w:r>
              <w:rPr>
                <w:rFonts w:ascii="Arial" w:cs="Arial" w:eastAsia="Arial" w:hAnsi="Arial"/>
                <w:sz w:val="18"/>
                <w:szCs w:val="18"/>
                <w:color w:val="auto"/>
              </w:rPr>
              <w:t>F-39</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24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sectPr>
      </w:pPr>
    </w:p>
    <w:bookmarkStart w:id="241" w:name="page242"/>
    <w:bookmarkEnd w:id="241"/>
    <w:p>
      <w:pPr>
        <w:ind w:left="580" w:hanging="572"/>
        <w:spacing w:after="0"/>
        <w:tabs>
          <w:tab w:leader="none" w:pos="5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Other income (expense), net consisted of the following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31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368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CFF0FC"/>
            </w:tcBorders>
          </w:tcPr>
          <w:p>
            <w:pPr>
              <w:spacing w:after="0"/>
              <w:rPr>
                <w:sz w:val="14"/>
                <w:szCs w:val="14"/>
                <w:color w:val="auto"/>
              </w:rPr>
            </w:pPr>
          </w:p>
        </w:tc>
        <w:tc>
          <w:tcPr>
            <w:tcW w:w="100" w:type="dxa"/>
            <w:vAlign w:val="bottom"/>
            <w:tcBorders>
              <w:top w:val="single" w:sz="8" w:color="auto"/>
              <w:bottom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4"/>
                <w:szCs w:val="14"/>
                <w:color w:val="auto"/>
              </w:rPr>
            </w:pPr>
          </w:p>
        </w:tc>
        <w:tc>
          <w:tcPr>
            <w:tcW w:w="20" w:type="dxa"/>
            <w:vAlign w:val="bottom"/>
            <w:tcBorders>
              <w:top w:val="single" w:sz="8" w:color="auto"/>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09"/>
        </w:trPr>
        <w:tc>
          <w:tcPr>
            <w:tcW w:w="36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 xml:space="preserve">Part the Cloud </w:t>
            </w:r>
            <w:r>
              <w:rPr>
                <w:rFonts w:ascii="Arial" w:cs="Arial" w:eastAsia="Arial" w:hAnsi="Arial"/>
                <w:sz w:val="18"/>
                <w:szCs w:val="18"/>
                <w:color w:val="auto"/>
              </w:rPr>
              <w:t>research grant</w:t>
            </w: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(366)</w:t>
            </w:r>
          </w:p>
        </w:tc>
      </w:tr>
      <w:tr>
        <w:trPr>
          <w:trHeight w:val="193"/>
        </w:trPr>
        <w:tc>
          <w:tcPr>
            <w:tcW w:w="3680" w:type="dxa"/>
            <w:vAlign w:val="bottom"/>
          </w:tcPr>
          <w:p>
            <w:pPr>
              <w:spacing w:after="0" w:line="193" w:lineRule="exact"/>
              <w:rPr>
                <w:sz w:val="20"/>
                <w:szCs w:val="20"/>
                <w:color w:val="auto"/>
              </w:rPr>
            </w:pPr>
            <w:r>
              <w:rPr>
                <w:rFonts w:ascii="Arial" w:cs="Arial" w:eastAsia="Arial" w:hAnsi="Arial"/>
                <w:sz w:val="18"/>
                <w:szCs w:val="18"/>
                <w:color w:val="auto"/>
              </w:rPr>
              <w:t>Change in fair value of derivative</w:t>
            </w: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3680" w:type="dxa"/>
            <w:vAlign w:val="bottom"/>
          </w:tcPr>
          <w:p>
            <w:pPr>
              <w:ind w:left="160"/>
              <w:spacing w:after="0"/>
              <w:rPr>
                <w:sz w:val="20"/>
                <w:szCs w:val="20"/>
                <w:color w:val="auto"/>
              </w:rPr>
            </w:pPr>
            <w:r>
              <w:rPr>
                <w:rFonts w:ascii="Arial" w:cs="Arial" w:eastAsia="Arial" w:hAnsi="Arial"/>
                <w:sz w:val="18"/>
                <w:szCs w:val="18"/>
                <w:color w:val="auto"/>
              </w:rPr>
              <w:t>liability</w:t>
            </w: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r>
      <w:tr>
        <w:trPr>
          <w:trHeight w:val="216"/>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grant liability</w:t>
            </w: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(453)</w:t>
            </w:r>
          </w:p>
        </w:tc>
        <w:tc>
          <w:tcPr>
            <w:tcW w:w="2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(464)</w:t>
            </w:r>
          </w:p>
        </w:tc>
      </w:tr>
      <w:tr>
        <w:trPr>
          <w:trHeight w:val="193"/>
        </w:trPr>
        <w:tc>
          <w:tcPr>
            <w:tcW w:w="3680" w:type="dxa"/>
            <w:vAlign w:val="bottom"/>
          </w:tcPr>
          <w:p>
            <w:pPr>
              <w:spacing w:after="0" w:line="193" w:lineRule="exact"/>
              <w:rPr>
                <w:sz w:val="20"/>
                <w:szCs w:val="20"/>
                <w:color w:val="auto"/>
              </w:rPr>
            </w:pPr>
            <w:r>
              <w:rPr>
                <w:rFonts w:ascii="Arial" w:cs="Arial" w:eastAsia="Arial" w:hAnsi="Arial"/>
                <w:sz w:val="18"/>
                <w:szCs w:val="18"/>
                <w:color w:val="auto"/>
              </w:rPr>
              <w:t>Change in convertible preferred stock</w:t>
            </w: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3680" w:type="dxa"/>
            <w:vAlign w:val="bottom"/>
          </w:tcPr>
          <w:p>
            <w:pPr>
              <w:ind w:left="160"/>
              <w:spacing w:after="0"/>
              <w:rPr>
                <w:sz w:val="20"/>
                <w:szCs w:val="20"/>
                <w:color w:val="auto"/>
              </w:rPr>
            </w:pPr>
            <w:r>
              <w:rPr>
                <w:rFonts w:ascii="Arial" w:cs="Arial" w:eastAsia="Arial" w:hAnsi="Arial"/>
                <w:sz w:val="18"/>
                <w:szCs w:val="18"/>
                <w:color w:val="auto"/>
              </w:rPr>
              <w:t>warrant liability</w:t>
            </w: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r>
      <w:tr>
        <w:trPr>
          <w:trHeight w:val="193"/>
        </w:trPr>
        <w:tc>
          <w:tcPr>
            <w:tcW w:w="368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Gain on extinguishment of convertible</w:t>
            </w:r>
          </w:p>
        </w:tc>
        <w:tc>
          <w:tcPr>
            <w:tcW w:w="6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36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notes</w:t>
            </w:r>
          </w:p>
        </w:tc>
        <w:tc>
          <w:tcPr>
            <w:tcW w:w="6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FF0FC"/>
          </w:tcPr>
          <w:p>
            <w:pPr>
              <w:spacing w:after="0"/>
              <w:rPr>
                <w:sz w:val="19"/>
                <w:szCs w:val="19"/>
                <w:color w:val="auto"/>
              </w:rPr>
            </w:pPr>
          </w:p>
        </w:tc>
      </w:tr>
      <w:tr>
        <w:trPr>
          <w:trHeight w:val="209"/>
        </w:trPr>
        <w:tc>
          <w:tcPr>
            <w:tcW w:w="3680" w:type="dxa"/>
            <w:vAlign w:val="bottom"/>
          </w:tcPr>
          <w:p>
            <w:pPr>
              <w:ind w:left="260"/>
              <w:spacing w:after="0"/>
              <w:rPr>
                <w:sz w:val="20"/>
                <w:szCs w:val="20"/>
                <w:color w:val="auto"/>
              </w:rPr>
            </w:pPr>
            <w:r>
              <w:rPr>
                <w:rFonts w:ascii="Arial" w:cs="Arial" w:eastAsia="Arial" w:hAnsi="Arial"/>
                <w:sz w:val="18"/>
                <w:szCs w:val="18"/>
                <w:color w:val="auto"/>
              </w:rPr>
              <w:t>Total other income (expense), net</w:t>
            </w:r>
          </w:p>
        </w:tc>
        <w:tc>
          <w:tcPr>
            <w:tcW w:w="6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04" w:lineRule="exact"/>
        <w:rPr>
          <w:sz w:val="20"/>
          <w:szCs w:val="20"/>
          <w:color w:val="auto"/>
        </w:rPr>
      </w:pPr>
    </w:p>
    <w:p>
      <w:pPr>
        <w:ind w:right="280" w:firstLine="576"/>
        <w:spacing w:after="0" w:line="245"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Washington State University (“WSU”) in 2015. Under this agreement, the Company has an exclusive license to make, use, sell, and offer for sale a chemical compound that forms the underlying technology of the drug therapies being developed by the Company.</w:t>
      </w:r>
    </w:p>
    <w:p>
      <w:pPr>
        <w:spacing w:after="0" w:line="172" w:lineRule="exact"/>
        <w:rPr>
          <w:sz w:val="20"/>
          <w:szCs w:val="20"/>
          <w:color w:val="auto"/>
        </w:rPr>
      </w:pPr>
    </w:p>
    <w:p>
      <w:pPr>
        <w:ind w:right="820" w:firstLine="576"/>
        <w:spacing w:after="0" w:line="27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September 30, 2020.</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September 30, 2020, the Phase 2 clinical trial milestone had been reached and a $50,000 liability to WSU was recorded.</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800" w:hanging="225"/>
        <w:spacing w:after="0"/>
        <w:tabs>
          <w:tab w:leader="none" w:pos="800" w:val="left"/>
        </w:tabs>
        <w:numPr>
          <w:ilvl w:val="0"/>
          <w:numId w:val="165"/>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5"/>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jc w:val="both"/>
        <w:ind w:right="260" w:firstLine="576"/>
        <w:spacing w:after="0" w:line="255"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September 30, 2020, the Company had not incurred a royalty obligation under this agreement.</w:t>
      </w:r>
    </w:p>
    <w:p>
      <w:pPr>
        <w:spacing w:after="0" w:line="16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mid-teens of any non-sales based payments received, and low twenties of net sales based sublicense royalties. As of September 30, 2020, the Company has not entered into or incurred any liability from a sublicense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In 2014 and 2015, the Company received $250,000 and $500,000, respectively, from LSDF under the terms of two matching grant award agreements. In connection with the agreements, LSDF retained the right to receive cash payments of 2.0 times the amounts received, or $1.5 million, upon the occurrence of specified triggering events, including:</w:t>
      </w:r>
    </w:p>
    <w:p>
      <w:pPr>
        <w:spacing w:after="0" w:line="56" w:lineRule="exact"/>
        <w:rPr>
          <w:sz w:val="20"/>
          <w:szCs w:val="20"/>
          <w:color w:val="auto"/>
        </w:rPr>
      </w:pPr>
    </w:p>
    <w:p>
      <w:pPr>
        <w:ind w:left="800" w:hanging="225"/>
        <w:spacing w:after="0"/>
        <w:tabs>
          <w:tab w:leader="none" w:pos="800" w:val="left"/>
        </w:tabs>
        <w:numPr>
          <w:ilvl w:val="0"/>
          <w:numId w:val="166"/>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6"/>
        </w:numPr>
        <w:rPr>
          <w:rFonts w:ascii="Times New Roman" w:cs="Times New Roman" w:eastAsia="Times New Roman" w:hAnsi="Times New Roman"/>
          <w:sz w:val="18"/>
          <w:szCs w:val="18"/>
          <w:color w:val="auto"/>
        </w:rPr>
      </w:pPr>
      <w:r>
        <w:rPr>
          <w:rFonts w:ascii="Arial" w:cs="Arial" w:eastAsia="Arial" w:hAnsi="Arial"/>
          <w:sz w:val="18"/>
          <w:szCs w:val="18"/>
          <w:color w:val="auto"/>
        </w:rPr>
        <w:t>transfers the underlying IP without receiving consideration;</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6"/>
        </w:numPr>
        <w:rPr>
          <w:rFonts w:ascii="Times New Roman" w:cs="Times New Roman" w:eastAsia="Times New Roman" w:hAnsi="Times New Roman"/>
          <w:sz w:val="18"/>
          <w:szCs w:val="18"/>
          <w:color w:val="auto"/>
        </w:rPr>
      </w:pPr>
      <w:r>
        <w:rPr>
          <w:rFonts w:ascii="Arial" w:cs="Arial" w:eastAsia="Arial" w:hAnsi="Arial"/>
          <w:sz w:val="18"/>
          <w:szCs w:val="18"/>
          <w:color w:val="auto"/>
        </w:rPr>
        <w:t>relocation of the Company from Washington state;</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6"/>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an initial public offering;</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6"/>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acquisition of a controlling interest in the Company, and;</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6"/>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the agreements.</w:t>
      </w:r>
    </w:p>
    <w:p>
      <w:pPr>
        <w:spacing w:after="0" w:line="224"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ASC 825-10,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−Overall</w:t>
      </w:r>
      <w:r>
        <w:rPr>
          <w:rFonts w:ascii="Arial" w:cs="Arial" w:eastAsia="Arial" w:hAnsi="Arial"/>
          <w:sz w:val="18"/>
          <w:szCs w:val="18"/>
          <w:color w:val="auto"/>
        </w:rPr>
        <w:t>. The estimated fair value of the grant liability is reassessed at each balance sheet date,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other income (expense), net. To determine the estimated fair value of the grant liability,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179"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estimated fair value of the grant liability was $1.0 million as of December 31, 2019. The consummation of the Company’s IPO in September 2020 was a triggering event under the terms of the grant and the liability was remeasured to the pay-off amount of $1.5 million as of September 30, 2020. The changes in the fair value of the liability resulted in expense of approximately $453,000 and $21,000 for the three months ended September 30, 2020 and 2019, respectively, and $464,000 and $51,000 for the nine months ended September 30, 2020 and 2019, respectively, which were included in other income (expense), net in the accompanying condensed consolidated statements of operations and comprehensive loss.</w:t>
      </w:r>
    </w:p>
    <w:p>
      <w:pPr>
        <w:spacing w:after="0" w:line="280" w:lineRule="exact"/>
        <w:rPr>
          <w:sz w:val="20"/>
          <w:szCs w:val="20"/>
          <w:color w:val="auto"/>
        </w:rPr>
      </w:pPr>
    </w:p>
    <w:p>
      <w:pPr>
        <w:ind w:left="580" w:hanging="572"/>
        <w:spacing w:after="0"/>
        <w:tabs>
          <w:tab w:leader="none" w:pos="58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Convertible Notes</w:t>
      </w:r>
    </w:p>
    <w:p>
      <w:pPr>
        <w:spacing w:after="0" w:line="104" w:lineRule="exact"/>
        <w:rPr>
          <w:sz w:val="20"/>
          <w:szCs w:val="20"/>
          <w:color w:val="auto"/>
        </w:rPr>
      </w:pPr>
    </w:p>
    <w:p>
      <w:pPr>
        <w:ind w:right="200" w:firstLine="576"/>
        <w:spacing w:after="0"/>
        <w:rPr>
          <w:sz w:val="20"/>
          <w:szCs w:val="20"/>
          <w:color w:val="auto"/>
        </w:rPr>
      </w:pPr>
      <w:r>
        <w:rPr>
          <w:rFonts w:ascii="Arial" w:cs="Arial" w:eastAsia="Arial" w:hAnsi="Arial"/>
          <w:sz w:val="18"/>
          <w:szCs w:val="18"/>
          <w:color w:val="auto"/>
        </w:rPr>
        <w:t>The Company issued unsecured convertible notes with an aggregate principal amount of $1.7 million in 2020. Previously, the Company issued unsecured convertible notes with aggregate principal amounts of $884,000 and $1.3 million and in 2019 and 2018, respectively. The notes accrue interest at a rate of 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176" w:lineRule="exact"/>
        <w:rPr>
          <w:sz w:val="20"/>
          <w:szCs w:val="20"/>
          <w:color w:val="auto"/>
        </w:rPr>
      </w:pPr>
    </w:p>
    <w:p>
      <w:pPr>
        <w:jc w:val="both"/>
        <w:ind w:right="60" w:firstLine="576"/>
        <w:spacing w:after="0" w:line="255"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243" w:name="page244"/>
    <w:bookmarkEnd w:id="243"/>
    <w:p>
      <w:pPr>
        <w:ind w:right="100"/>
        <w:spacing w:after="0" w:line="248" w:lineRule="auto"/>
        <w:rPr>
          <w:sz w:val="20"/>
          <w:szCs w:val="20"/>
          <w:color w:val="auto"/>
        </w:rPr>
      </w:pPr>
      <w:r>
        <w:rPr>
          <w:rFonts w:ascii="Arial" w:cs="Arial" w:eastAsia="Arial" w:hAnsi="Arial"/>
          <w:sz w:val="18"/>
          <w:szCs w:val="18"/>
          <w:color w:val="auto"/>
        </w:rPr>
        <w:t>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170"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In May 2020, the outstanding principal balance of the convertible notes of $3.8 million and accrued interest of $160,000 converted into 512,858 shares of Series B-1 convertible preferred stock.</w:t>
      </w:r>
    </w:p>
    <w:p>
      <w:pPr>
        <w:spacing w:after="0" w:line="145"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The excess of the carrying value of the convertible notes and the derivative liability over the fair value of the Series B-1 convertible preferred stock at conversion resulted in a gain upon extinguishment of $199,000.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104" w:lineRule="exact"/>
        <w:rPr>
          <w:sz w:val="20"/>
          <w:szCs w:val="20"/>
          <w:color w:val="auto"/>
        </w:rPr>
      </w:pPr>
    </w:p>
    <w:p>
      <w:pPr>
        <w:ind w:right="240" w:firstLine="576"/>
        <w:spacing w:after="0" w:line="243" w:lineRule="auto"/>
        <w:rPr>
          <w:sz w:val="20"/>
          <w:szCs w:val="20"/>
          <w:color w:val="auto"/>
        </w:rPr>
      </w:pPr>
      <w:r>
        <w:rPr>
          <w:rFonts w:ascii="Arial" w:cs="Arial" w:eastAsia="Arial" w:hAnsi="Arial"/>
          <w:sz w:val="18"/>
          <w:szCs w:val="18"/>
          <w:color w:val="auto"/>
        </w:rPr>
        <w:t>The Company received a loan of $215,000 from the U.S. Small Business Administration Paycheck Protection Program (“PPP”) in April 2020. The PPP loans are intended to assist companies impacted by the novel coronavirus disease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280" w:lineRule="exact"/>
        <w:rPr>
          <w:sz w:val="20"/>
          <w:szCs w:val="20"/>
          <w:color w:val="auto"/>
        </w:rPr>
      </w:pPr>
    </w:p>
    <w:p>
      <w:pPr>
        <w:ind w:left="580" w:hanging="572"/>
        <w:spacing w:after="0"/>
        <w:tabs>
          <w:tab w:leader="none" w:pos="5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Operating Leases</w:t>
      </w:r>
    </w:p>
    <w:p>
      <w:pPr>
        <w:spacing w:after="0" w:line="104"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The Company has an operating lease for laboratory and office facilities in Bothell, Washington that expires in August 2027. The initial term of the lease is seven years and the Company has an option to extend the lease for an additional five years that it is not reasonably certain to exercise. As of September 30, 2020, the remaining lease term for the Company’s operating lease was 6.9 years. The Company discounted future operating lease payments using an incremental borrowing rate of 8.2%. Additionally, the Company has a lease agreement for laboratory and office facilities at the University of Washington in Seattle, Washington with an initial term of 12 months for which the Company recognizes expense on a straight-line basis within operating expenses. As of September 30, 2020, the Company was not party to any finance leases.</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reconciles the Company’s undiscounted operating lease cash flows to its operating lease liability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r>
      <w:tr>
        <w:trPr>
          <w:trHeight w:val="175"/>
        </w:trPr>
        <w:tc>
          <w:tcPr>
            <w:tcW w:w="50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r>
      <w:tr>
        <w:trPr>
          <w:trHeight w:val="177"/>
        </w:trPr>
        <w:tc>
          <w:tcPr>
            <w:tcW w:w="5060" w:type="dxa"/>
            <w:vAlign w:val="bottom"/>
            <w:tcBorders>
              <w:bottom w:val="single" w:sz="8" w:color="CFF0FC"/>
            </w:tcBorders>
          </w:tcPr>
          <w:p>
            <w:pPr>
              <w:spacing w:after="0"/>
              <w:rPr>
                <w:sz w:val="15"/>
                <w:szCs w:val="15"/>
                <w:color w:val="auto"/>
              </w:rPr>
            </w:pPr>
          </w:p>
        </w:tc>
        <w:tc>
          <w:tcPr>
            <w:tcW w:w="358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Remaining 2020</w:t>
            </w:r>
          </w:p>
        </w:tc>
        <w:tc>
          <w:tcPr>
            <w:tcW w:w="35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2021</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2023</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358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3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Present value adjustment for minimum lease commitments</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 allowance receivable</w:t>
            </w:r>
          </w:p>
        </w:tc>
        <w:tc>
          <w:tcPr>
            <w:tcW w:w="3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8"/>
                <w:szCs w:val="18"/>
                <w:color w:val="auto"/>
              </w:rPr>
            </w:pPr>
          </w:p>
        </w:tc>
      </w:tr>
      <w:tr>
        <w:trPr>
          <w:trHeight w:val="210"/>
        </w:trPr>
        <w:tc>
          <w:tcPr>
            <w:tcW w:w="5060" w:type="dxa"/>
            <w:vAlign w:val="bottom"/>
          </w:tcPr>
          <w:p>
            <w:pPr>
              <w:ind w:left="260"/>
              <w:spacing w:after="0"/>
              <w:rPr>
                <w:sz w:val="20"/>
                <w:szCs w:val="20"/>
                <w:color w:val="auto"/>
              </w:rPr>
            </w:pPr>
            <w:r>
              <w:rPr>
                <w:rFonts w:ascii="Arial" w:cs="Arial" w:eastAsia="Arial" w:hAnsi="Arial"/>
                <w:sz w:val="18"/>
                <w:szCs w:val="18"/>
                <w:color w:val="auto"/>
              </w:rPr>
              <w:t>Net lease liability</w:t>
            </w:r>
          </w:p>
        </w:tc>
        <w:tc>
          <w:tcPr>
            <w:tcW w:w="35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2"/>
        </w:trPr>
        <w:tc>
          <w:tcPr>
            <w:tcW w:w="5060" w:type="dxa"/>
            <w:vAlign w:val="bottom"/>
          </w:tcPr>
          <w:p>
            <w:pPr>
              <w:spacing w:after="0"/>
              <w:rPr>
                <w:sz w:val="24"/>
                <w:szCs w:val="24"/>
                <w:color w:val="auto"/>
              </w:rPr>
            </w:pPr>
          </w:p>
        </w:tc>
        <w:tc>
          <w:tcPr>
            <w:tcW w:w="4000" w:type="dxa"/>
            <w:vAlign w:val="bottom"/>
            <w:gridSpan w:val="2"/>
          </w:tcPr>
          <w:p>
            <w:pPr>
              <w:jc w:val="right"/>
              <w:ind w:right="3170"/>
              <w:spacing w:after="0"/>
              <w:rPr>
                <w:sz w:val="20"/>
                <w:szCs w:val="20"/>
                <w:color w:val="auto"/>
              </w:rPr>
            </w:pPr>
            <w:r>
              <w:rPr>
                <w:rFonts w:ascii="Arial" w:cs="Arial" w:eastAsia="Arial" w:hAnsi="Arial"/>
                <w:sz w:val="18"/>
                <w:szCs w:val="18"/>
                <w:color w:val="auto"/>
              </w:rPr>
              <w:t>F-42</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506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244" w:name="page245"/>
    <w:bookmarkEnd w:id="244"/>
    <w:p>
      <w:pPr>
        <w:ind w:right="40" w:firstLine="576"/>
        <w:spacing w:after="0" w:line="255" w:lineRule="auto"/>
        <w:rPr>
          <w:sz w:val="20"/>
          <w:szCs w:val="20"/>
          <w:color w:val="auto"/>
        </w:rPr>
      </w:pPr>
      <w:r>
        <w:rPr>
          <w:rFonts w:ascii="Arial" w:cs="Arial" w:eastAsia="Arial" w:hAnsi="Arial"/>
          <w:sz w:val="18"/>
          <w:szCs w:val="18"/>
          <w:color w:val="auto"/>
        </w:rPr>
        <w:t>Operating lease expense was $34,000 for the three and nine months ended September 30, 2020. The Company did not incur variable lease expense for operating leases during the three and nine months ended September 30, 2020. Rent expense recognized for short term leases was $18,000 and $57,000 for the three and nine months ended September 30, 2020, respectively.</w:t>
      </w:r>
    </w:p>
    <w:p>
      <w:pPr>
        <w:spacing w:after="0" w:line="164" w:lineRule="exact"/>
        <w:rPr>
          <w:sz w:val="20"/>
          <w:szCs w:val="20"/>
          <w:color w:val="auto"/>
        </w:rPr>
      </w:pPr>
    </w:p>
    <w:p>
      <w:pPr>
        <w:ind w:right="740" w:firstLine="576"/>
        <w:spacing w:after="0" w:line="276" w:lineRule="auto"/>
        <w:rPr>
          <w:sz w:val="20"/>
          <w:szCs w:val="20"/>
          <w:color w:val="auto"/>
        </w:rPr>
      </w:pPr>
      <w:r>
        <w:rPr>
          <w:rFonts w:ascii="Arial" w:cs="Arial" w:eastAsia="Arial" w:hAnsi="Arial"/>
          <w:sz w:val="18"/>
          <w:szCs w:val="18"/>
          <w:color w:val="auto"/>
        </w:rPr>
        <w:t>Cash paid for amounts included in the measurement of the lease liability for the nine months ended September 30, 2020 was $21,000.</w:t>
      </w:r>
    </w:p>
    <w:p>
      <w:pPr>
        <w:spacing w:after="0" w:line="278" w:lineRule="exact"/>
        <w:rPr>
          <w:sz w:val="20"/>
          <w:szCs w:val="20"/>
          <w:color w:val="auto"/>
        </w:rPr>
      </w:pPr>
    </w:p>
    <w:p>
      <w:pPr>
        <w:ind w:left="580" w:hanging="572"/>
        <w:spacing w:after="0"/>
        <w:tabs>
          <w:tab w:leader="none" w:pos="5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1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Convertible preferred stock as of December 31, 2019 consisted of the following (in thousands,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Convertible</w:t>
            </w: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Issued and</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Liquidation</w:t>
            </w:r>
          </w:p>
        </w:tc>
      </w:tr>
      <w:tr>
        <w:trPr>
          <w:trHeight w:val="177"/>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 Stock</w:t>
            </w: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Authorized</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440" w:type="dxa"/>
            <w:vAlign w:val="bottom"/>
          </w:tcPr>
          <w:p>
            <w:pPr>
              <w:jc w:val="right"/>
              <w:ind w:right="255"/>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Preference</w:t>
            </w:r>
          </w:p>
        </w:tc>
      </w:tr>
      <w:tr>
        <w:trPr>
          <w:trHeight w:val="209"/>
        </w:trPr>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1,714,963</w:t>
            </w:r>
          </w:p>
        </w:tc>
        <w:tc>
          <w:tcPr>
            <w:tcW w:w="2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FF0FC"/>
            </w:tcBorders>
          </w:tcPr>
          <w:p>
            <w:pPr>
              <w:spacing w:after="0"/>
              <w:rPr>
                <w:sz w:val="18"/>
                <w:szCs w:val="18"/>
                <w:color w:val="auto"/>
              </w:rPr>
            </w:pPr>
          </w:p>
        </w:tc>
      </w:tr>
      <w:tr>
        <w:trPr>
          <w:trHeight w:val="209"/>
        </w:trPr>
        <w:tc>
          <w:tcPr>
            <w:tcW w:w="47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2,797,464</w:t>
            </w:r>
          </w:p>
        </w:tc>
        <w:tc>
          <w:tcPr>
            <w:tcW w:w="2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212121"/>
        </w:rPr>
        <w:t>In May and June 2020, the Company issued an aggregate of 9,372,765 shares of its Series B convertible preferred stock at a purchase price of $9.12 per share for aggregate proceeds of $ 81.6 million, net of offering costs. The Company issued warrants to purchase 2,343,168 shares of its common stock, of which 688,067 were exercised concurrently with the shares of Series B convertible preferred stock issuance, for net proceeds of $55,000. In addition, the Company issued warrants to purchase 127,481 shares of its Series B convertible preferred stock at a purchase price of $9.12 per share. The Series B convertible preferred stock financing triggered the automatic conversion of the Company’s outstanding convertible promissory notes into 512,858 shares of Series B-1 convertible preferred stock based on a price of $7.752 per share (85% of the $9.12 original issuance price of the Series B convertible preferred stock).</w:t>
      </w:r>
    </w:p>
    <w:p>
      <w:pPr>
        <w:spacing w:after="0" w:line="179" w:lineRule="exact"/>
        <w:rPr>
          <w:sz w:val="20"/>
          <w:szCs w:val="20"/>
          <w:color w:val="auto"/>
        </w:rPr>
      </w:pPr>
    </w:p>
    <w:p>
      <w:pPr>
        <w:ind w:right="260" w:firstLine="576"/>
        <w:spacing w:after="0" w:line="276" w:lineRule="auto"/>
        <w:rPr>
          <w:sz w:val="20"/>
          <w:szCs w:val="20"/>
          <w:color w:val="auto"/>
        </w:rPr>
      </w:pPr>
      <w:r>
        <w:rPr>
          <w:rFonts w:ascii="Arial" w:cs="Arial" w:eastAsia="Arial" w:hAnsi="Arial"/>
          <w:sz w:val="18"/>
          <w:szCs w:val="18"/>
          <w:color w:val="212121"/>
        </w:rPr>
        <w:t>In September 2020, upon the consummation of the Company’s IPO, all outstanding shares of convertible preferred stock converted into 12,503,009 shares of common stock.</w:t>
      </w:r>
    </w:p>
    <w:p>
      <w:pPr>
        <w:spacing w:after="0" w:line="251" w:lineRule="exact"/>
        <w:rPr>
          <w:sz w:val="20"/>
          <w:szCs w:val="20"/>
          <w:color w:val="auto"/>
        </w:rPr>
      </w:pPr>
    </w:p>
    <w:p>
      <w:pPr>
        <w:ind w:left="580" w:hanging="572"/>
        <w:spacing w:after="0"/>
        <w:tabs>
          <w:tab w:leader="none" w:pos="5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right="120" w:firstLine="576"/>
        <w:spacing w:after="0" w:line="255"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of</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r>
      <w:tr>
        <w:trPr>
          <w:trHeight w:val="177"/>
        </w:trPr>
        <w:tc>
          <w:tcPr>
            <w:tcW w:w="5080" w:type="dxa"/>
            <w:vAlign w:val="bottom"/>
          </w:tcPr>
          <w:p>
            <w:pPr>
              <w:spacing w:after="0"/>
              <w:rPr>
                <w:sz w:val="15"/>
                <w:szCs w:val="15"/>
                <w:color w:val="auto"/>
              </w:rPr>
            </w:pPr>
          </w:p>
        </w:tc>
        <w:tc>
          <w:tcPr>
            <w:tcW w:w="4200" w:type="dxa"/>
            <w:vAlign w:val="bottom"/>
            <w:gridSpan w:val="2"/>
          </w:tcPr>
          <w:p>
            <w:pPr>
              <w:jc w:val="center"/>
              <w:ind w:left="255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264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1,514,770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1,927,428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3"/>
        </w:trPr>
        <w:tc>
          <w:tcPr>
            <w:tcW w:w="508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Shares available for future grant under the 2020 Equity</w:t>
            </w:r>
          </w:p>
        </w:tc>
        <w:tc>
          <w:tcPr>
            <w:tcW w:w="264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0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Incentive Plan</w:t>
            </w:r>
          </w:p>
        </w:tc>
        <w:tc>
          <w:tcPr>
            <w:tcW w:w="4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3,790,279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193"/>
        </w:trPr>
        <w:tc>
          <w:tcPr>
            <w:tcW w:w="5080" w:type="dxa"/>
            <w:vAlign w:val="bottom"/>
          </w:tcPr>
          <w:p>
            <w:pPr>
              <w:spacing w:after="0" w:line="193" w:lineRule="exact"/>
              <w:rPr>
                <w:sz w:val="20"/>
                <w:szCs w:val="20"/>
                <w:color w:val="auto"/>
              </w:rPr>
            </w:pPr>
            <w:r>
              <w:rPr>
                <w:rFonts w:ascii="Arial" w:cs="Arial" w:eastAsia="Arial" w:hAnsi="Arial"/>
                <w:sz w:val="18"/>
                <w:szCs w:val="18"/>
                <w:color w:val="auto"/>
              </w:rPr>
              <w:t>Shares available for future grant under the Employee Stock</w:t>
            </w:r>
          </w:p>
        </w:tc>
        <w:tc>
          <w:tcPr>
            <w:tcW w:w="2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08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2640" w:type="dxa"/>
            <w:vAlign w:val="bottom"/>
          </w:tcPr>
          <w:p>
            <w:pPr>
              <w:spacing w:after="0"/>
              <w:rPr>
                <w:sz w:val="19"/>
                <w:szCs w:val="19"/>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323,000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4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3,310</w:t>
            </w:r>
          </w:p>
        </w:tc>
        <w:tc>
          <w:tcPr>
            <w:tcW w:w="2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5080" w:type="dxa"/>
            <w:vAlign w:val="bottom"/>
          </w:tcPr>
          <w:p>
            <w:pPr>
              <w:ind w:left="260"/>
              <w:spacing w:after="0"/>
              <w:rPr>
                <w:sz w:val="20"/>
                <w:szCs w:val="20"/>
                <w:color w:val="auto"/>
              </w:rPr>
            </w:pPr>
            <w:r>
              <w:rPr>
                <w:rFonts w:ascii="Arial" w:cs="Arial" w:eastAsia="Arial" w:hAnsi="Arial"/>
                <w:sz w:val="18"/>
                <w:szCs w:val="18"/>
                <w:color w:val="auto"/>
              </w:rPr>
              <w:t>Total</w:t>
            </w:r>
          </w:p>
        </w:tc>
        <w:tc>
          <w:tcPr>
            <w:tcW w:w="264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4,535,203</w:t>
            </w:r>
          </w:p>
        </w:tc>
        <w:tc>
          <w:tcPr>
            <w:tcW w:w="2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6,040,707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6"/>
        </w:trPr>
        <w:tc>
          <w:tcPr>
            <w:tcW w:w="5080" w:type="dxa"/>
            <w:vAlign w:val="bottom"/>
          </w:tcPr>
          <w:p>
            <w:pPr>
              <w:spacing w:after="0"/>
              <w:rPr>
                <w:sz w:val="24"/>
                <w:szCs w:val="24"/>
                <w:color w:val="auto"/>
              </w:rPr>
            </w:pPr>
          </w:p>
        </w:tc>
        <w:tc>
          <w:tcPr>
            <w:tcW w:w="4480" w:type="dxa"/>
            <w:vAlign w:val="bottom"/>
            <w:gridSpan w:val="3"/>
          </w:tcPr>
          <w:p>
            <w:pPr>
              <w:ind w:left="360"/>
              <w:spacing w:after="0"/>
              <w:rPr>
                <w:sz w:val="20"/>
                <w:szCs w:val="20"/>
                <w:color w:val="auto"/>
              </w:rPr>
            </w:pPr>
            <w:r>
              <w:rPr>
                <w:rFonts w:ascii="Arial" w:cs="Arial" w:eastAsia="Arial" w:hAnsi="Arial"/>
                <w:sz w:val="18"/>
                <w:szCs w:val="18"/>
                <w:color w:val="auto"/>
              </w:rPr>
              <w:t>F-43</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508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sectPr>
      </w:pPr>
    </w:p>
    <w:bookmarkStart w:id="245" w:name="page246"/>
    <w:bookmarkEnd w:id="245"/>
    <w:p>
      <w:pPr>
        <w:ind w:left="580" w:hanging="572"/>
        <w:spacing w:after="0"/>
        <w:tabs>
          <w:tab w:leader="none" w:pos="5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81" w:lineRule="exact"/>
        <w:rPr>
          <w:rFonts w:ascii="Arial" w:cs="Arial" w:eastAsia="Arial" w:hAnsi="Arial"/>
          <w:sz w:val="18"/>
          <w:szCs w:val="18"/>
          <w:b w:val="1"/>
          <w:bCs w:val="1"/>
          <w:color w:val="auto"/>
        </w:rPr>
      </w:pPr>
    </w:p>
    <w:p>
      <w:pPr>
        <w:ind w:left="58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8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3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386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0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4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8"/>
                <w:szCs w:val="18"/>
                <w:color w:val="auto"/>
              </w:rPr>
            </w:pPr>
          </w:p>
        </w:tc>
      </w:tr>
      <w:tr>
        <w:trPr>
          <w:trHeight w:val="216"/>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FF0FC"/>
            </w:tcBorders>
          </w:tcPr>
          <w:p>
            <w:pPr>
              <w:spacing w:after="0"/>
              <w:rPr>
                <w:sz w:val="18"/>
                <w:szCs w:val="18"/>
                <w:color w:val="auto"/>
              </w:rPr>
            </w:pPr>
          </w:p>
        </w:tc>
      </w:tr>
      <w:tr>
        <w:trPr>
          <w:trHeight w:val="187"/>
        </w:trPr>
        <w:tc>
          <w:tcPr>
            <w:tcW w:w="3860" w:type="dxa"/>
            <w:vAlign w:val="bottom"/>
            <w:shd w:val="clear" w:color="auto" w:fill="CFF0FC"/>
          </w:tcPr>
          <w:p>
            <w:pPr>
              <w:ind w:left="260"/>
              <w:spacing w:after="0" w:line="187" w:lineRule="exact"/>
              <w:rPr>
                <w:sz w:val="20"/>
                <w:szCs w:val="20"/>
                <w:color w:val="auto"/>
              </w:rPr>
            </w:pPr>
            <w:r>
              <w:rPr>
                <w:rFonts w:ascii="Arial" w:cs="Arial" w:eastAsia="Arial" w:hAnsi="Arial"/>
                <w:sz w:val="18"/>
                <w:szCs w:val="18"/>
                <w:color w:val="auto"/>
              </w:rPr>
              <w:t>Total stock-based compensation</w:t>
            </w:r>
          </w:p>
        </w:tc>
        <w:tc>
          <w:tcPr>
            <w:tcW w:w="10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38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expense</w:t>
            </w:r>
          </w:p>
        </w:tc>
        <w:tc>
          <w:tcPr>
            <w:tcW w:w="1960" w:type="dxa"/>
            <w:vAlign w:val="bottom"/>
            <w:gridSpan w:val="2"/>
            <w:shd w:val="clear" w:color="auto" w:fill="CFF0FC"/>
          </w:tcPr>
          <w:p>
            <w:pPr>
              <w:jc w:val="right"/>
              <w:ind w:right="742"/>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FF0FC"/>
          </w:tcPr>
          <w:p>
            <w:pPr>
              <w:spacing w:after="0"/>
              <w:rPr>
                <w:sz w:val="19"/>
                <w:szCs w:val="19"/>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04"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37" w:lineRule="exact"/>
        <w:rPr>
          <w:sz w:val="20"/>
          <w:szCs w:val="20"/>
          <w:color w:val="auto"/>
        </w:rPr>
      </w:pPr>
    </w:p>
    <w:p>
      <w:pPr>
        <w:ind w:left="800" w:right="60" w:hanging="225"/>
        <w:spacing w:after="0" w:line="239" w:lineRule="auto"/>
        <w:tabs>
          <w:tab w:leader="none" w:pos="800" w:val="left"/>
        </w:tabs>
        <w:numPr>
          <w:ilvl w:val="0"/>
          <w:numId w:val="1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previously there was no public market for the Company’s common stock, the board of directors exercised reasonable judgment and considered a number of objective and subjective factors to determine the best estimate of the fair market value, which include contemporaneous valuations performed by an independent third party, important developments in the Company’s operations, sales of convertible preferred stock, the rights, preferences and privileges of its convertible preferred stock relative to those of its common stock, lack of marketability of its common stock, actual operating results, financial performance, the progress of clinical development, the likelihood of achieving a liquidity event for its security holders, the trends, development and conditions in the life sciences and biotechnology sectors, the economy in general, and the stock price performance and volatility of comparable public companies.</w:t>
      </w:r>
    </w:p>
    <w:p>
      <w:pPr>
        <w:spacing w:after="0" w:line="74" w:lineRule="exact"/>
        <w:rPr>
          <w:rFonts w:ascii="Times New Roman" w:cs="Times New Roman" w:eastAsia="Times New Roman" w:hAnsi="Times New Roman"/>
          <w:sz w:val="18"/>
          <w:szCs w:val="18"/>
          <w:color w:val="auto"/>
        </w:rPr>
      </w:pPr>
    </w:p>
    <w:p>
      <w:pPr>
        <w:ind w:left="800" w:right="140" w:hanging="225"/>
        <w:spacing w:after="0" w:line="275" w:lineRule="auto"/>
        <w:tabs>
          <w:tab w:leader="none" w:pos="800" w:val="left"/>
        </w:tabs>
        <w:numPr>
          <w:ilvl w:val="0"/>
          <w:numId w:val="1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periods corresponding with the expected term of the option.</w:t>
      </w:r>
    </w:p>
    <w:p>
      <w:pPr>
        <w:spacing w:after="0" w:line="37" w:lineRule="exact"/>
        <w:rPr>
          <w:rFonts w:ascii="Times New Roman" w:cs="Times New Roman" w:eastAsia="Times New Roman" w:hAnsi="Times New Roman"/>
          <w:sz w:val="18"/>
          <w:szCs w:val="18"/>
          <w:color w:val="auto"/>
        </w:rPr>
      </w:pPr>
    </w:p>
    <w:p>
      <w:pPr>
        <w:ind w:left="800" w:right="100" w:hanging="225"/>
        <w:spacing w:after="0" w:line="244" w:lineRule="auto"/>
        <w:tabs>
          <w:tab w:leader="none" w:pos="800" w:val="left"/>
        </w:tabs>
        <w:numPr>
          <w:ilvl w:val="0"/>
          <w:numId w:val="1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was previously privately held and did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67" w:lineRule="exact"/>
        <w:rPr>
          <w:rFonts w:ascii="Times New Roman" w:cs="Times New Roman" w:eastAsia="Times New Roman" w:hAnsi="Times New Roman"/>
          <w:sz w:val="18"/>
          <w:szCs w:val="18"/>
          <w:color w:val="auto"/>
        </w:rPr>
      </w:pPr>
    </w:p>
    <w:p>
      <w:pPr>
        <w:ind w:left="800" w:right="240" w:hanging="225"/>
        <w:spacing w:after="0" w:line="255" w:lineRule="auto"/>
        <w:tabs>
          <w:tab w:leader="none" w:pos="800" w:val="left"/>
        </w:tabs>
        <w:numPr>
          <w:ilvl w:val="0"/>
          <w:numId w:val="1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54" w:lineRule="exact"/>
        <w:rPr>
          <w:rFonts w:ascii="Times New Roman" w:cs="Times New Roman" w:eastAsia="Times New Roman" w:hAnsi="Times New Roman"/>
          <w:sz w:val="18"/>
          <w:szCs w:val="18"/>
          <w:color w:val="auto"/>
        </w:rPr>
      </w:pPr>
    </w:p>
    <w:p>
      <w:pPr>
        <w:ind w:left="800" w:right="180" w:hanging="225"/>
        <w:spacing w:after="0" w:line="275" w:lineRule="auto"/>
        <w:tabs>
          <w:tab w:leader="none" w:pos="800" w:val="left"/>
        </w:tabs>
        <w:numPr>
          <w:ilvl w:val="0"/>
          <w:numId w:val="1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 going</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Therefore, it used an expected dividend yield of zero.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246" w:name="page247"/>
    <w:bookmarkEnd w:id="246"/>
    <w:p>
      <w:pPr>
        <w:ind w:right="160" w:firstLine="576"/>
        <w:spacing w:after="0" w:line="235"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251"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Nine Months Ended 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20" w:type="dxa"/>
            <w:vAlign w:val="bottom"/>
            <w:tcBorders>
              <w:bottom w:val="single" w:sz="8" w:color="CFF0FC"/>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CFF0FC"/>
            </w:tcBorders>
          </w:tcPr>
          <w:p>
            <w:pPr>
              <w:spacing w:after="0"/>
              <w:rPr>
                <w:sz w:val="14"/>
                <w:szCs w:val="14"/>
                <w:color w:val="auto"/>
              </w:rPr>
            </w:pPr>
          </w:p>
        </w:tc>
        <w:tc>
          <w:tcPr>
            <w:tcW w:w="192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1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1.58%</w:t>
            </w:r>
          </w:p>
        </w:tc>
        <w:tc>
          <w:tcPr>
            <w:tcW w:w="2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0.49%</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74.59%</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80.11%</w:t>
            </w:r>
          </w:p>
        </w:tc>
      </w:tr>
      <w:tr>
        <w:trPr>
          <w:trHeight w:val="216"/>
        </w:trPr>
        <w:tc>
          <w:tcPr>
            <w:tcW w:w="8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4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FF0FC"/>
          </w:tcPr>
          <w:p>
            <w:pPr>
              <w:spacing w:after="0"/>
              <w:rPr>
                <w:sz w:val="18"/>
                <w:szCs w:val="18"/>
                <w:color w:val="auto"/>
              </w:rPr>
            </w:pPr>
          </w:p>
        </w:tc>
      </w:tr>
      <w:tr>
        <w:trPr>
          <w:trHeight w:val="247"/>
        </w:trPr>
        <w:tc>
          <w:tcPr>
            <w:tcW w:w="81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16" w:lineRule="exact"/>
        <w:rPr>
          <w:sz w:val="20"/>
          <w:szCs w:val="20"/>
          <w:color w:val="auto"/>
        </w:rPr>
      </w:pPr>
    </w:p>
    <w:p>
      <w:pPr>
        <w:jc w:val="both"/>
        <w:ind w:right="100" w:firstLine="576"/>
        <w:spacing w:after="0" w:line="248" w:lineRule="auto"/>
        <w:rPr>
          <w:sz w:val="20"/>
          <w:szCs w:val="20"/>
          <w:color w:val="auto"/>
        </w:rPr>
      </w:pPr>
      <w:r>
        <w:rPr>
          <w:rFonts w:ascii="Arial" w:cs="Arial" w:eastAsia="Arial" w:hAnsi="Arial"/>
          <w:sz w:val="18"/>
          <w:szCs w:val="18"/>
          <w:color w:val="auto"/>
        </w:rPr>
        <w:t>The weighted-average grant-date fair value of options granted to employees and directors during the nine months ended September 30, 2019 and 2020 were $259,000 and $2.1 million respectively. The remeasured weighted-average fair value of options granted to advisors during the nine months ended September 30, 2019 was $46,000. The weighted-average grant-date fair value of options granted to advisors during the nine months ended September 30, 2020 was $727,000.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option activity for the nine months ended September 30, 2020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Available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for Grant</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1,514,770</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4,343,534</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(994,293)</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994,293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(540,334)</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41,301</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(41,301)</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September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3,790,279</w:t>
            </w:r>
          </w:p>
        </w:tc>
        <w:tc>
          <w:tcPr>
            <w:tcW w:w="20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1,927,428</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8.18</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1,298,059</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12.71</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9.52</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7,460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5.43</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11,061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629,373</w:t>
            </w: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nine months ended September 30, 2020 was $219,000, which included $144,000 for options granted to employees and directors and $75,000 for options granted to advisors. The total fair value of options that vested during the nine months ended September 30, 2019 was $123,000, which included $64,000 for options granted to employees and directors and $59,000 for options granted to advisors.</w:t>
      </w:r>
    </w:p>
    <w:p>
      <w:pPr>
        <w:spacing w:after="0" w:line="170" w:lineRule="exact"/>
        <w:rPr>
          <w:sz w:val="20"/>
          <w:szCs w:val="20"/>
          <w:color w:val="auto"/>
        </w:rPr>
      </w:pPr>
    </w:p>
    <w:p>
      <w:pPr>
        <w:ind w:right="260" w:firstLine="576"/>
        <w:spacing w:after="0" w:line="243"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underlying all options that were in-the-money at September 30, 2020. The aggregate intrinsic value of options exercised was $4,000 and $ 9.4 million during the nine months ended September 30, 2019 and 2020, respectively, determined as of the date of option exercise. As of September 30, 2020, there was $2.9 million of total unrecognized compensation cost related to unvested stock options. The Company expects to recognize this cost over a remaining weighted-average period of 1.95 years. The Company utilizes newly issued shares to satisfy option exercises.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47" w:name="page248"/>
    <w:bookmarkEnd w:id="247"/>
    <w:p>
      <w:pPr>
        <w:ind w:left="580"/>
        <w:spacing w:after="0"/>
        <w:rPr>
          <w:sz w:val="20"/>
          <w:szCs w:val="20"/>
          <w:color w:val="auto"/>
        </w:rPr>
      </w:pPr>
      <w:r>
        <w:rPr>
          <w:rFonts w:ascii="Arial" w:cs="Arial" w:eastAsia="Arial" w:hAnsi="Arial"/>
          <w:sz w:val="18"/>
          <w:szCs w:val="18"/>
          <w:color w:val="auto"/>
        </w:rPr>
        <w:t>Stock options outstanding and exercisable consisted of the following at September 30, 2020: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2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760" w:type="dxa"/>
            <w:vAlign w:val="bottom"/>
            <w:gridSpan w:val="4"/>
          </w:tcPr>
          <w:p>
            <w:pPr>
              <w:ind w:left="380"/>
              <w:spacing w:after="0"/>
              <w:rPr>
                <w:sz w:val="20"/>
                <w:szCs w:val="20"/>
                <w:color w:val="auto"/>
              </w:rPr>
            </w:pPr>
            <w:r>
              <w:rPr>
                <w:rFonts w:ascii="Arial" w:cs="Arial" w:eastAsia="Arial" w:hAnsi="Arial"/>
                <w:sz w:val="14"/>
                <w:szCs w:val="14"/>
                <w:b w:val="1"/>
                <w:bCs w:val="1"/>
                <w:color w:val="auto"/>
              </w:rPr>
              <w:t>Employees and Directors</w:t>
            </w:r>
          </w:p>
        </w:tc>
        <w:tc>
          <w:tcPr>
            <w:tcW w:w="2640" w:type="dxa"/>
            <w:vAlign w:val="bottom"/>
            <w:gridSpan w:val="4"/>
          </w:tcPr>
          <w:p>
            <w:pPr>
              <w:ind w:left="720"/>
              <w:spacing w:after="0"/>
              <w:rPr>
                <w:sz w:val="20"/>
                <w:szCs w:val="20"/>
                <w:color w:val="auto"/>
              </w:rPr>
            </w:pPr>
            <w:r>
              <w:rPr>
                <w:rFonts w:ascii="Arial" w:cs="Arial" w:eastAsia="Arial" w:hAnsi="Arial"/>
                <w:sz w:val="14"/>
                <w:szCs w:val="14"/>
                <w:b w:val="1"/>
                <w:bCs w:val="1"/>
                <w:color w:val="auto"/>
              </w:rPr>
              <w:t>Non-employees</w:t>
            </w:r>
          </w:p>
        </w:tc>
      </w:tr>
      <w:tr>
        <w:trPr>
          <w:trHeight w:val="154"/>
        </w:trPr>
        <w:tc>
          <w:tcPr>
            <w:tcW w:w="1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Shares</w:t>
            </w:r>
          </w:p>
        </w:tc>
        <w:tc>
          <w:tcPr>
            <w:tcW w:w="11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Shares</w:t>
            </w:r>
          </w:p>
        </w:tc>
        <w:tc>
          <w:tcPr>
            <w:tcW w:w="116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r>
      <w:tr>
        <w:trPr>
          <w:trHeight w:val="184"/>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Exercisable</w:t>
            </w:r>
          </w:p>
        </w:tc>
      </w:tr>
      <w:tr>
        <w:trPr>
          <w:trHeight w:val="203"/>
        </w:trPr>
        <w:tc>
          <w:tcPr>
            <w:tcW w:w="1200" w:type="dxa"/>
            <w:vAlign w:val="bottom"/>
            <w:tcBorders>
              <w:top w:val="single" w:sz="8" w:color="auto"/>
            </w:tcBorders>
            <w:shd w:val="clear" w:color="auto" w:fill="CFF0FC"/>
          </w:tcPr>
          <w:p>
            <w:pPr>
              <w:spacing w:after="0" w:line="203" w:lineRule="exact"/>
              <w:rPr>
                <w:sz w:val="20"/>
                <w:szCs w:val="20"/>
                <w:color w:val="auto"/>
              </w:rPr>
            </w:pPr>
            <w:r>
              <w:rPr>
                <w:rFonts w:ascii="Arial" w:cs="Arial" w:eastAsia="Arial" w:hAnsi="Arial"/>
                <w:sz w:val="18"/>
                <w:szCs w:val="18"/>
                <w:color w:val="auto"/>
              </w:rPr>
              <w:t>0.16</w:t>
            </w:r>
          </w:p>
        </w:tc>
        <w:tc>
          <w:tcPr>
            <w:tcW w:w="46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12,611</w:t>
            </w: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12,611</w:t>
            </w: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0.48</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162,353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162,353</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1.00</w:t>
            </w:r>
          </w:p>
        </w:tc>
        <w:tc>
          <w:tcPr>
            <w:tcW w:w="4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70,933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70,933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31,525</w:t>
            </w:r>
          </w:p>
        </w:tc>
        <w:tc>
          <w:tcPr>
            <w:tcW w:w="10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52,645</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38,878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1.31</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1.35</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294,754</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27,529</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116,642</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63,049</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1.49</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10,508</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17.00</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747,770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195,453</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1,498,690</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449,681</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428,738</w:t>
            </w:r>
          </w:p>
        </w:tc>
        <w:tc>
          <w:tcPr>
            <w:tcW w:w="2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179,692</w:t>
            </w:r>
          </w:p>
        </w:tc>
        <w:tc>
          <w:tcPr>
            <w:tcW w:w="1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04"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 directors. If continued service terminates for any reason, the Company has the right to repurchase the unvested shares for no consideration. Shares subject to repurchase as of December 31, 2019 and September 30, 2020 were 8,407 shares and 4,204 shares, respectively, all of which were related to non-employee RSAs.</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RSA activity for the nine months ended September 30, 2020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r>
      <w:tr>
        <w:trPr>
          <w:trHeight w:val="177"/>
        </w:trPr>
        <w:tc>
          <w:tcPr>
            <w:tcW w:w="772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Equivalent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8,407</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(4,203)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Non-vested at September 30, 2020</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0" w:hanging="572"/>
        <w:spacing w:after="0"/>
        <w:tabs>
          <w:tab w:leader="none" w:pos="5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06"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8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520" w:type="dxa"/>
            <w:vAlign w:val="bottom"/>
            <w:gridSpan w:val="4"/>
          </w:tcPr>
          <w:p>
            <w:pPr>
              <w:ind w:left="52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5"/>
                <w:szCs w:val="15"/>
                <w:color w:val="auto"/>
              </w:rPr>
            </w:pPr>
          </w:p>
        </w:tc>
      </w:tr>
      <w:tr>
        <w:trPr>
          <w:trHeight w:val="169"/>
        </w:trPr>
        <w:tc>
          <w:tcPr>
            <w:tcW w:w="4840" w:type="dxa"/>
            <w:vAlign w:val="bottom"/>
            <w:tcBorders>
              <w:bottom w:val="single" w:sz="8" w:color="CFF0FC"/>
            </w:tcBorders>
          </w:tcPr>
          <w:p>
            <w:pPr>
              <w:spacing w:after="0"/>
              <w:rPr>
                <w:sz w:val="14"/>
                <w:szCs w:val="14"/>
                <w:color w:val="auto"/>
              </w:rPr>
            </w:pPr>
          </w:p>
        </w:tc>
        <w:tc>
          <w:tcPr>
            <w:tcW w:w="288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 basis</w:t>
            </w:r>
          </w:p>
        </w:tc>
        <w:tc>
          <w:tcPr>
            <w:tcW w:w="28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Unvested RSAs</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8,407</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4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1,498,377</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1,927,428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Common stock warrants</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4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880" w:type="dxa"/>
            <w:vAlign w:val="bottom"/>
            <w:tcBorders>
              <w:top w:val="single" w:sz="8" w:color="CFF0FC"/>
              <w:bottom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4,127,480</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1,931,632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81"/>
        </w:trPr>
        <w:tc>
          <w:tcPr>
            <w:tcW w:w="4840" w:type="dxa"/>
            <w:vAlign w:val="bottom"/>
          </w:tcPr>
          <w:p>
            <w:pPr>
              <w:spacing w:after="0"/>
              <w:rPr>
                <w:sz w:val="24"/>
                <w:szCs w:val="24"/>
                <w:color w:val="auto"/>
              </w:rPr>
            </w:pPr>
          </w:p>
        </w:tc>
        <w:tc>
          <w:tcPr>
            <w:tcW w:w="4720" w:type="dxa"/>
            <w:vAlign w:val="bottom"/>
            <w:gridSpan w:val="3"/>
          </w:tcPr>
          <w:p>
            <w:pPr>
              <w:ind w:left="600"/>
              <w:spacing w:after="0"/>
              <w:rPr>
                <w:sz w:val="20"/>
                <w:szCs w:val="20"/>
                <w:color w:val="auto"/>
              </w:rPr>
            </w:pPr>
            <w:r>
              <w:rPr>
                <w:rFonts w:ascii="Arial" w:cs="Arial" w:eastAsia="Arial" w:hAnsi="Arial"/>
                <w:sz w:val="18"/>
                <w:szCs w:val="18"/>
                <w:color w:val="auto"/>
              </w:rPr>
              <w:t>F-46</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84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248" w:name="page249"/>
    <w:bookmarkEnd w:id="248"/>
    <w:p>
      <w:pPr>
        <w:ind w:left="580" w:hanging="572"/>
        <w:spacing w:after="0"/>
        <w:tabs>
          <w:tab w:leader="none" w:pos="58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Exercise of Underwriters’ Option</w:t>
      </w:r>
    </w:p>
    <w:p>
      <w:pPr>
        <w:spacing w:after="0" w:line="10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On October 16, 2020, the Company sold an additional 1,397,712 shares of common stock to the underwriters of the IPO upon partial exercise of the underwriters’ option to purchase additional shares at the initial public offering price of $17.00 per share, less underwriting discounts and commissions, resulting in net proceeds to the Company of approximately $22.1 million.</w:t>
      </w: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58" w:right="459" w:bottom="1440" w:gutter="0" w:footer="0" w:header="0"/>
        </w:sectPr>
      </w:pPr>
    </w:p>
    <w:bookmarkStart w:id="249" w:name="page250"/>
    <w:bookmarkEnd w:id="2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4,000,000 Shares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582930</wp:posOffset>
            </wp:positionV>
            <wp:extent cx="118300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2941320</wp:posOffset>
            </wp:positionH>
            <wp:positionV relativeFrom="paragraph">
              <wp:posOffset>2014220</wp:posOffset>
            </wp:positionV>
            <wp:extent cx="118300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2461260</wp:posOffset>
            </wp:positionH>
            <wp:positionV relativeFrom="paragraph">
              <wp:posOffset>728345</wp:posOffset>
            </wp:positionV>
            <wp:extent cx="2143125" cy="10629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4312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5080" w:val="left"/>
          <w:tab w:leader="none" w:pos="105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4"/>
          <w:szCs w:val="24"/>
          <w:b w:val="1"/>
          <w:bCs w:val="1"/>
          <w:color w:val="auto"/>
        </w:rPr>
        <w:t>Stifel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242570</wp:posOffset>
            </wp:positionV>
            <wp:extent cx="118300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1485265</wp:posOffset>
            </wp:positionV>
            <wp:extent cx="71323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1545590</wp:posOffset>
            </wp:positionV>
            <wp:extent cx="713232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2111375</wp:posOffset>
            </wp:positionV>
            <wp:extent cx="714946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80" w:top="1440" w:right="39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6"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Estimated expenses, other than underwriting discounts and commissions, payable by the registrant in connection with the sale of the common stock being registered under this registration statement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 Paid or</w:t>
            </w:r>
          </w:p>
        </w:tc>
      </w:tr>
      <w:tr>
        <w:trPr>
          <w:trHeight w:val="177"/>
        </w:trPr>
        <w:tc>
          <w:tcPr>
            <w:tcW w:w="9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 Be Paid</w:t>
            </w:r>
          </w:p>
        </w:tc>
      </w:tr>
      <w:tr>
        <w:trPr>
          <w:trHeight w:val="209"/>
        </w:trPr>
        <w:tc>
          <w:tcPr>
            <w:tcW w:w="9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18,447</w:t>
            </w:r>
          </w:p>
        </w:tc>
        <w:tc>
          <w:tcPr>
            <w:tcW w:w="100" w:type="dxa"/>
            <w:vAlign w:val="bottom"/>
          </w:tcPr>
          <w:p>
            <w:pPr>
              <w:spacing w:after="0"/>
              <w:rPr>
                <w:sz w:val="18"/>
                <w:szCs w:val="18"/>
                <w:color w:val="auto"/>
              </w:rPr>
            </w:pPr>
          </w:p>
        </w:tc>
      </w:tr>
      <w:tr>
        <w:trPr>
          <w:trHeight w:val="216"/>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FF0FC"/>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tcPr>
          <w:p>
            <w:pPr>
              <w:spacing w:after="0"/>
              <w:rPr>
                <w:sz w:val="18"/>
                <w:szCs w:val="18"/>
                <w:color w:val="auto"/>
              </w:rPr>
            </w:pPr>
          </w:p>
        </w:tc>
      </w:tr>
      <w:tr>
        <w:trPr>
          <w:trHeight w:val="216"/>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FF0FC"/>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6"/>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8,999</w:t>
            </w:r>
          </w:p>
        </w:tc>
        <w:tc>
          <w:tcPr>
            <w:tcW w:w="100" w:type="dxa"/>
            <w:vAlign w:val="bottom"/>
            <w:shd w:val="clear" w:color="auto" w:fill="CFF0FC"/>
          </w:tcPr>
          <w:p>
            <w:pPr>
              <w:spacing w:after="0"/>
              <w:rPr>
                <w:sz w:val="18"/>
                <w:szCs w:val="18"/>
                <w:color w:val="auto"/>
              </w:rPr>
            </w:pPr>
          </w:p>
        </w:tc>
      </w:tr>
      <w:tr>
        <w:trPr>
          <w:trHeight w:val="209"/>
        </w:trPr>
        <w:tc>
          <w:tcPr>
            <w:tcW w:w="9040" w:type="dxa"/>
            <w:vAlign w:val="bottom"/>
          </w:tcPr>
          <w:p>
            <w:pPr>
              <w:ind w:left="2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516,000</w:t>
            </w:r>
          </w:p>
        </w:tc>
        <w:tc>
          <w:tcPr>
            <w:tcW w:w="100" w:type="dxa"/>
            <w:vAlign w:val="bottom"/>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its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to the fullest extent permitted under the Delaware General Corporation Law. In addition, the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0"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redemptions or other distributions or (4) for any transaction from which the director derived an improper personal benefit. The registrant’s certificate of incorporation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76" w:lineRule="exact"/>
        <w:rPr>
          <w:sz w:val="20"/>
          <w:szCs w:val="20"/>
          <w:color w:val="auto"/>
        </w:rPr>
      </w:pPr>
    </w:p>
    <w:p>
      <w:pPr>
        <w:ind w:right="640" w:firstLine="576"/>
        <w:spacing w:after="0" w:line="276"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51" w:name="page252"/>
    <w:bookmarkEnd w:id="251"/>
    <w:p>
      <w:pPr>
        <w:ind w:right="40"/>
        <w:spacing w:after="0" w:line="255" w:lineRule="auto"/>
        <w:rPr>
          <w:sz w:val="20"/>
          <w:szCs w:val="20"/>
          <w:color w:val="auto"/>
        </w:rPr>
      </w:pPr>
      <w:r>
        <w:rPr>
          <w:rFonts w:ascii="Arial" w:cs="Arial" w:eastAsia="Arial" w:hAnsi="Arial"/>
          <w:sz w:val="18"/>
          <w:szCs w:val="18"/>
          <w:color w:val="auto"/>
        </w:rPr>
        <w:t>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64" w:lineRule="exact"/>
        <w:rPr>
          <w:sz w:val="20"/>
          <w:szCs w:val="20"/>
          <w:color w:val="auto"/>
        </w:rPr>
      </w:pPr>
    </w:p>
    <w:p>
      <w:pPr>
        <w:jc w:val="both"/>
        <w:ind w:right="300" w:firstLine="576"/>
        <w:spacing w:after="0" w:line="255" w:lineRule="auto"/>
        <w:rPr>
          <w:sz w:val="20"/>
          <w:szCs w:val="20"/>
          <w:color w:val="auto"/>
        </w:rPr>
      </w:pPr>
      <w:r>
        <w:rPr>
          <w:rFonts w:ascii="Arial" w:cs="Arial" w:eastAsia="Arial" w:hAnsi="Arial"/>
          <w:sz w:val="18"/>
          <w:szCs w:val="18"/>
          <w:color w:val="auto"/>
        </w:rPr>
        <w:t>As permitted by the Delaware General Corporation Law, the registrant has entered into separate indemnification agreements with each of the registrant’s directors and certain of the registrant’s officers which require the registrant, among other things, to indemnify them against certain liabilities which may arise by reason of their status as directors, officers or certain other employees.</w:t>
      </w:r>
    </w:p>
    <w:p>
      <w:pPr>
        <w:spacing w:after="0" w:line="16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172" w:lineRule="exact"/>
        <w:rPr>
          <w:sz w:val="20"/>
          <w:szCs w:val="20"/>
          <w:color w:val="auto"/>
        </w:rPr>
      </w:pPr>
    </w:p>
    <w:p>
      <w:pPr>
        <w:ind w:right="120" w:firstLine="576"/>
        <w:spacing w:after="0" w:line="255"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w:t>
      </w:r>
    </w:p>
    <w:p>
      <w:pPr>
        <w:spacing w:after="0" w:line="16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underwriting agreement between the registrant and the underwriters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list sets forth information regarding all unregistered securities sold by us since January 1, 2018:</w:t>
      </w:r>
    </w:p>
    <w:p>
      <w:pPr>
        <w:spacing w:after="0" w:line="212" w:lineRule="exact"/>
        <w:rPr>
          <w:sz w:val="20"/>
          <w:szCs w:val="20"/>
          <w:color w:val="auto"/>
        </w:rPr>
      </w:pPr>
    </w:p>
    <w:p>
      <w:pPr>
        <w:ind w:right="40" w:firstLine="584"/>
        <w:spacing w:after="0" w:line="241" w:lineRule="auto"/>
        <w:tabs>
          <w:tab w:leader="none" w:pos="8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From January 1, 2018 through September 17, 2020, we granted 742,727 options to purchase shares of our common stock to our employees, directors and consultants at a weighted-average exercise price of $1.35 per share under our 2014 Equity Incentive Plan, or 2014 Plan. We also issued and sold an aggregate of 925,882 shares of our common stock to our employees, directors and consultants at a weighted-average exercise price of $0.79 per share pursuant to exercises of options granted under our 2014 Plan. On September 3, 2020, the board of directors authorized the grant of 943,223 options to purchase common stock to certain of our executives, employees, advisors and non-employee directors under the 2020 Equity Incentive Plan, at an exercise price equal to the initial public offering price as of the effective date of the registration statement.</w:t>
      </w:r>
    </w:p>
    <w:p>
      <w:pPr>
        <w:spacing w:after="0" w:line="178" w:lineRule="exact"/>
        <w:rPr>
          <w:rFonts w:ascii="Arial" w:cs="Arial" w:eastAsia="Arial" w:hAnsi="Arial"/>
          <w:sz w:val="18"/>
          <w:szCs w:val="18"/>
          <w:color w:val="auto"/>
        </w:rPr>
      </w:pPr>
    </w:p>
    <w:p>
      <w:pPr>
        <w:ind w:right="740" w:firstLine="584"/>
        <w:spacing w:after="0" w:line="276" w:lineRule="auto"/>
        <w:tabs>
          <w:tab w:leader="none" w:pos="8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From December 17, 2018 through January 13, 2020, we issued and sold subordinated convertible promissory notes in an aggregate principal amount of $3.8 million.</w:t>
      </w:r>
    </w:p>
    <w:p>
      <w:pPr>
        <w:spacing w:after="0" w:line="144" w:lineRule="exact"/>
        <w:rPr>
          <w:rFonts w:ascii="Arial" w:cs="Arial" w:eastAsia="Arial" w:hAnsi="Arial"/>
          <w:sz w:val="18"/>
          <w:szCs w:val="18"/>
          <w:color w:val="auto"/>
        </w:rPr>
      </w:pPr>
    </w:p>
    <w:p>
      <w:pPr>
        <w:ind w:right="60" w:firstLine="584"/>
        <w:spacing w:after="0" w:line="276" w:lineRule="auto"/>
        <w:tabs>
          <w:tab w:leader="none" w:pos="83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From January 1, 2018 to March 13, 2018, we issued and sold an aggregate of 10,088 shares of our Series A convertible preferred stock at a purchase price of $9.92 per share, for aggregate consideration of approximately $0.1 million.</w:t>
      </w:r>
    </w:p>
    <w:p>
      <w:pPr>
        <w:spacing w:after="0" w:line="144" w:lineRule="exact"/>
        <w:rPr>
          <w:rFonts w:ascii="Arial" w:cs="Arial" w:eastAsia="Arial" w:hAnsi="Arial"/>
          <w:sz w:val="18"/>
          <w:szCs w:val="18"/>
          <w:color w:val="auto"/>
        </w:rPr>
      </w:pPr>
    </w:p>
    <w:p>
      <w:pPr>
        <w:ind w:right="240" w:firstLine="584"/>
        <w:spacing w:after="0" w:line="276" w:lineRule="auto"/>
        <w:tabs>
          <w:tab w:leader="none" w:pos="8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November 2018, we issued 12,610 restricted shares of our common stock to an advisory board member as compensation for services provided to 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2" w:name="page253"/>
    <w:bookmarkEnd w:id="252"/>
    <w:p>
      <w:pPr>
        <w:ind w:right="760" w:firstLine="584"/>
        <w:spacing w:after="0" w:line="276" w:lineRule="auto"/>
        <w:tabs>
          <w:tab w:leader="none" w:pos="84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On May 29, 2020, we issued and sold an aggregate of 512,858 shares of our Series B-1 convertible preferred stock upon conversion of approximately $4.0 million in outstanding convertible notes, at a conversion price of $7.752 per share.</w:t>
      </w:r>
    </w:p>
    <w:p>
      <w:pPr>
        <w:spacing w:after="0" w:line="144" w:lineRule="exact"/>
        <w:rPr>
          <w:rFonts w:ascii="Arial" w:cs="Arial" w:eastAsia="Arial" w:hAnsi="Arial"/>
          <w:sz w:val="18"/>
          <w:szCs w:val="18"/>
          <w:color w:val="auto"/>
        </w:rPr>
      </w:pPr>
    </w:p>
    <w:p>
      <w:pPr>
        <w:ind w:right="200" w:firstLine="584"/>
        <w:spacing w:after="0" w:line="243" w:lineRule="auto"/>
        <w:tabs>
          <w:tab w:leader="none" w:pos="79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From May 29, 2020 through June 23, 2020, we issued and sold an aggregate of 9,372,765 shares of our Series B convertible preferred stock at a purchase price of $9.12 per share, for aggregate consideration of approximately $85.5 million. Concurrently with these issuances, we also issued and sold warrants to purchase 2,343,168 shares of our common stock at an exercise price of $0.08 per share to the purchasers of our Series B convertible preferred stock. Each purchaser of our Series B convertible preferred stock received warrants to purchase a number of shares of our common stock equal to 25% of the number of shares of our Series B convertible preferred stock purchased by such purchaser in the transaction.</w:t>
      </w:r>
    </w:p>
    <w:p>
      <w:pPr>
        <w:spacing w:after="0" w:line="173" w:lineRule="exact"/>
        <w:rPr>
          <w:rFonts w:ascii="Arial" w:cs="Arial" w:eastAsia="Arial" w:hAnsi="Arial"/>
          <w:sz w:val="18"/>
          <w:szCs w:val="18"/>
          <w:color w:val="auto"/>
        </w:rPr>
      </w:pPr>
    </w:p>
    <w:p>
      <w:pPr>
        <w:ind w:right="60" w:firstLine="584"/>
        <w:spacing w:after="0" w:line="255" w:lineRule="auto"/>
        <w:tabs>
          <w:tab w:leader="none" w:pos="84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On May 29, 2020, we issued warrants to purchase up to 127,481 shares of our Series B convertible preferred stock at an exercise price of $9.12 per share to JMP Securities LLC, in partial consideration for their services in connection with the sale and issuance of our Series B convertible preferred stock.</w:t>
      </w:r>
    </w:p>
    <w:p>
      <w:pPr>
        <w:spacing w:after="0" w:line="163" w:lineRule="exact"/>
        <w:rPr>
          <w:rFonts w:ascii="Arial" w:cs="Arial" w:eastAsia="Arial" w:hAnsi="Arial"/>
          <w:sz w:val="18"/>
          <w:szCs w:val="18"/>
          <w:color w:val="auto"/>
        </w:rPr>
      </w:pPr>
    </w:p>
    <w:p>
      <w:pPr>
        <w:ind w:right="200" w:firstLine="584"/>
        <w:spacing w:after="0" w:line="276" w:lineRule="auto"/>
        <w:tabs>
          <w:tab w:leader="none" w:pos="84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From May 29, 2020 to September 17, 2020, we issued an aggregate of 1,258,253 shares of our common stock upon exercise of warrants to purchase shares of our common stock, at an exercise price of $0.08 per share.</w:t>
      </w:r>
    </w:p>
    <w:p>
      <w:pPr>
        <w:spacing w:after="0" w:line="144" w:lineRule="exact"/>
        <w:rPr>
          <w:rFonts w:ascii="Arial" w:cs="Arial" w:eastAsia="Arial" w:hAnsi="Arial"/>
          <w:sz w:val="18"/>
          <w:szCs w:val="18"/>
          <w:color w:val="auto"/>
        </w:rPr>
      </w:pPr>
    </w:p>
    <w:p>
      <w:pPr>
        <w:ind w:left="800" w:hanging="216"/>
        <w:spacing w:after="0"/>
        <w:tabs>
          <w:tab w:leader="none" w:pos="8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On August 26, 2020, we issued a warrant to purchase up to 6,935 shares of our common stock at an exercise price per share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$9.52.</w:t>
      </w:r>
    </w:p>
    <w:p>
      <w:pPr>
        <w:spacing w:after="0" w:line="190" w:lineRule="exact"/>
        <w:rPr>
          <w:sz w:val="20"/>
          <w:szCs w:val="20"/>
          <w:color w:val="auto"/>
        </w:rPr>
      </w:pPr>
    </w:p>
    <w:p>
      <w:pPr>
        <w:ind w:right="120" w:firstLine="584"/>
        <w:spacing w:after="0" w:line="245" w:lineRule="auto"/>
        <w:tabs>
          <w:tab w:leader="none" w:pos="78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On September 22, 2020, upon the closing of our initial public offering, all shares of convertible preferred stock then outstanding automatically converted into 12,503,009 shares of common stock. In addition, warrants to purchase 127,481 shares of convertible preferred stock automatically converted into warrants to purchase 127,481 shares of our common stock. Such warrants were then automatically net exercised in 59,093 shares of common stock. In addition, warrants to purchase 1,095,159 shares of our common stock were cash exercised or automatically net exercised into an aggregate of 1,085,334 shares of our common stock.</w:t>
      </w:r>
    </w:p>
    <w:p>
      <w:pPr>
        <w:spacing w:after="0" w:line="172"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45"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The offers, sales and issuances of the securities described in Items 15(b), (c), (e), (f), (g), (h) and (i)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and had adequate access, through employment, business or other relationships, to information about the registrant.</w:t>
      </w:r>
    </w:p>
    <w:p>
      <w:pPr>
        <w:spacing w:after="0" w:line="17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offers, sales and issuances of the securities described in Item 15(a) and (d) were exempt from registration under the Securities Act under Section 4(a)(2) of the Securities Act in that such sales did not involve a public offering or under Rule 701 in that the transactions were under compensatory benefit plans and contracts relating to compensation as provided under Rule 701. The recipients of such securities were the registrant’s employees, consultants or directors and received the securities under the registrant’s 2014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3" w:name="page254"/>
    <w:bookmarkEnd w:id="253"/>
    <w:p>
      <w:pPr>
        <w:ind w:firstLine="576"/>
        <w:spacing w:after="0" w:line="241" w:lineRule="auto"/>
        <w:rPr>
          <w:sz w:val="20"/>
          <w:szCs w:val="20"/>
          <w:color w:val="auto"/>
        </w:rPr>
      </w:pPr>
      <w:r>
        <w:rPr>
          <w:rFonts w:ascii="Arial" w:cs="Arial" w:eastAsia="Arial" w:hAnsi="Arial"/>
          <w:sz w:val="18"/>
          <w:szCs w:val="18"/>
          <w:color w:val="auto"/>
        </w:rPr>
        <w:t>The issuance of common stock upon conversion of the convertible preferred stock, the issuance of common stock warrants upon conversion of the convertible preferred stock warrants and the issuance of common stock on the net exercise of common stock warrants described in Item 15(j) were exempt from the registration requirements of the Securities Act, pursuant to Section 3(a)(9) thereof, involving an exchange of securities exchanged by the issuer with its existing security holders exclusively where no commission or other remuneration is paid or given directly or indirectly for soliciting such exchange. The issuance of the common stock upon the cash exercise of common stock warrants was exempt from registration under the Securities Act pursuant to Section 4(a)(2) thereof as a transaction by an issuer not involving a public offering. No underwriters were involved in the issuance of the shares of common stock or common stock warrants.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60" w:type="dxa"/>
            <w:vAlign w:val="bottom"/>
            <w:gridSpan w:val="5"/>
          </w:tcPr>
          <w:p>
            <w:pPr>
              <w:ind w:left="7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9"/>
        </w:trPr>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5"/>
                <w:szCs w:val="15"/>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5"/>
                <w:szCs w:val="15"/>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22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335"/>
        </w:trPr>
        <w:tc>
          <w:tcPr>
            <w:tcW w:w="960" w:type="dxa"/>
            <w:vAlign w:val="bottom"/>
          </w:tcPr>
          <w:p>
            <w:pPr>
              <w:jc w:val="center"/>
              <w:ind w:right="413"/>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5100" w:type="dxa"/>
            <w:vAlign w:val="bottom"/>
            <w:gridSpan w:val="10"/>
          </w:tcPr>
          <w:p>
            <w:pPr>
              <w:ind w:left="40"/>
              <w:spacing w:after="0"/>
              <w:rPr>
                <w:rFonts w:ascii="Arial" w:cs="Arial" w:eastAsia="Arial" w:hAnsi="Arial"/>
                <w:sz w:val="18"/>
                <w:szCs w:val="18"/>
                <w:u w:val="single" w:color="auto"/>
                <w:color w:val="0000EE"/>
              </w:rPr>
            </w:pPr>
            <w:hyperlink w:anchor="page259">
              <w:r>
                <w:rPr>
                  <w:rFonts w:ascii="Arial" w:cs="Arial" w:eastAsia="Arial" w:hAnsi="Arial"/>
                  <w:sz w:val="18"/>
                  <w:szCs w:val="18"/>
                  <w:u w:val="single" w:color="auto"/>
                  <w:color w:val="0000EE"/>
                </w:rPr>
                <w:t>Form of Underwriting Agreement</w:t>
              </w:r>
            </w:hyperlink>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tcPr>
          <w:p>
            <w:pPr>
              <w:jc w:val="center"/>
              <w:ind w:right="413"/>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5100" w:type="dxa"/>
            <w:vAlign w:val="bottom"/>
            <w:gridSpan w:val="10"/>
          </w:tcPr>
          <w:p>
            <w:pPr>
              <w:spacing w:after="0"/>
              <w:rPr>
                <w:rFonts w:ascii="Arial" w:cs="Arial" w:eastAsia="Arial" w:hAnsi="Arial"/>
                <w:sz w:val="18"/>
                <w:szCs w:val="18"/>
                <w:u w:val="single" w:color="auto"/>
                <w:color w:val="0000EE"/>
              </w:rPr>
            </w:pPr>
            <w:hyperlink r:id="rId354">
              <w:r>
                <w:rPr>
                  <w:rFonts w:ascii="Arial" w:cs="Arial" w:eastAsia="Arial" w:hAnsi="Arial"/>
                  <w:sz w:val="18"/>
                  <w:szCs w:val="18"/>
                  <w:u w:val="single" w:color="auto"/>
                  <w:color w:val="0000EE"/>
                </w:rPr>
                <w:t>Amended and Restated Certificate of Incorporation</w:t>
              </w:r>
            </w:hyperlink>
          </w:p>
        </w:tc>
        <w:tc>
          <w:tcPr>
            <w:tcW w:w="940" w:type="dxa"/>
            <w:vAlign w:val="bottom"/>
            <w:gridSpan w:val="2"/>
          </w:tcPr>
          <w:p>
            <w:pPr>
              <w:spacing w:after="0"/>
              <w:rPr>
                <w:sz w:val="20"/>
                <w:szCs w:val="20"/>
                <w:color w:val="auto"/>
              </w:rPr>
            </w:pPr>
            <w:r>
              <w:rPr>
                <w:rFonts w:ascii="Arial" w:cs="Arial" w:eastAsia="Arial" w:hAnsi="Arial"/>
                <w:sz w:val="18"/>
                <w:szCs w:val="18"/>
                <w:color w:val="auto"/>
              </w:rPr>
              <w:t>10-Q</w:t>
            </w:r>
          </w:p>
        </w:tc>
        <w:tc>
          <w:tcPr>
            <w:tcW w:w="1100" w:type="dxa"/>
            <w:vAlign w:val="bottom"/>
          </w:tcPr>
          <w:p>
            <w:pPr>
              <w:spacing w:after="0"/>
              <w:rPr>
                <w:sz w:val="20"/>
                <w:szCs w:val="20"/>
                <w:color w:val="auto"/>
              </w:rPr>
            </w:pPr>
            <w:r>
              <w:rPr>
                <w:rFonts w:ascii="Arial" w:cs="Arial" w:eastAsia="Arial" w:hAnsi="Arial"/>
                <w:sz w:val="18"/>
                <w:szCs w:val="18"/>
                <w:color w:val="auto"/>
              </w:rPr>
              <w:t>001-39503</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2320" w:type="dxa"/>
            <w:vAlign w:val="bottom"/>
            <w:gridSpan w:val="2"/>
          </w:tcPr>
          <w:p>
            <w:pPr>
              <w:ind w:left="100"/>
              <w:spacing w:after="0"/>
              <w:rPr>
                <w:sz w:val="20"/>
                <w:szCs w:val="20"/>
                <w:color w:val="auto"/>
              </w:rPr>
            </w:pPr>
            <w:r>
              <w:rPr>
                <w:rFonts w:ascii="Arial" w:cs="Arial" w:eastAsia="Arial" w:hAnsi="Arial"/>
                <w:sz w:val="18"/>
                <w:szCs w:val="18"/>
                <w:color w:val="auto"/>
              </w:rPr>
              <w:t>November 12, 2020</w:t>
            </w:r>
          </w:p>
        </w:tc>
        <w:tc>
          <w:tcPr>
            <w:tcW w:w="0" w:type="dxa"/>
            <w:vAlign w:val="bottom"/>
          </w:tcPr>
          <w:p>
            <w:pPr>
              <w:spacing w:after="0"/>
              <w:rPr>
                <w:sz w:val="1"/>
                <w:szCs w:val="1"/>
                <w:color w:val="auto"/>
              </w:rPr>
            </w:pPr>
          </w:p>
        </w:tc>
      </w:tr>
      <w:tr>
        <w:trPr>
          <w:trHeight w:val="338"/>
        </w:trPr>
        <w:tc>
          <w:tcPr>
            <w:tcW w:w="960" w:type="dxa"/>
            <w:vAlign w:val="bottom"/>
          </w:tcPr>
          <w:p>
            <w:pPr>
              <w:jc w:val="center"/>
              <w:ind w:right="413"/>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5100" w:type="dxa"/>
            <w:vAlign w:val="bottom"/>
            <w:gridSpan w:val="10"/>
          </w:tcPr>
          <w:p>
            <w:pPr>
              <w:spacing w:after="0"/>
              <w:rPr>
                <w:rFonts w:ascii="Arial" w:cs="Arial" w:eastAsia="Arial" w:hAnsi="Arial"/>
                <w:sz w:val="18"/>
                <w:szCs w:val="18"/>
                <w:u w:val="single" w:color="auto"/>
                <w:color w:val="0000EE"/>
              </w:rPr>
            </w:pPr>
            <w:hyperlink r:id="rId355">
              <w:r>
                <w:rPr>
                  <w:rFonts w:ascii="Arial" w:cs="Arial" w:eastAsia="Arial" w:hAnsi="Arial"/>
                  <w:sz w:val="18"/>
                  <w:szCs w:val="18"/>
                  <w:u w:val="single" w:color="auto"/>
                  <w:color w:val="0000EE"/>
                </w:rPr>
                <w:t>Amended and Restated Bylaws</w:t>
              </w:r>
            </w:hyperlink>
          </w:p>
        </w:tc>
        <w:tc>
          <w:tcPr>
            <w:tcW w:w="940" w:type="dxa"/>
            <w:vAlign w:val="bottom"/>
            <w:gridSpan w:val="2"/>
          </w:tcPr>
          <w:p>
            <w:pPr>
              <w:spacing w:after="0"/>
              <w:rPr>
                <w:sz w:val="20"/>
                <w:szCs w:val="20"/>
                <w:color w:val="auto"/>
              </w:rPr>
            </w:pPr>
            <w:r>
              <w:rPr>
                <w:rFonts w:ascii="Arial" w:cs="Arial" w:eastAsia="Arial" w:hAnsi="Arial"/>
                <w:sz w:val="18"/>
                <w:szCs w:val="18"/>
                <w:color w:val="auto"/>
              </w:rPr>
              <w:t>10-Q</w:t>
            </w:r>
          </w:p>
        </w:tc>
        <w:tc>
          <w:tcPr>
            <w:tcW w:w="1100" w:type="dxa"/>
            <w:vAlign w:val="bottom"/>
          </w:tcPr>
          <w:p>
            <w:pPr>
              <w:spacing w:after="0"/>
              <w:rPr>
                <w:sz w:val="20"/>
                <w:szCs w:val="20"/>
                <w:color w:val="auto"/>
              </w:rPr>
            </w:pPr>
            <w:r>
              <w:rPr>
                <w:rFonts w:ascii="Arial" w:cs="Arial" w:eastAsia="Arial" w:hAnsi="Arial"/>
                <w:sz w:val="18"/>
                <w:szCs w:val="18"/>
                <w:color w:val="auto"/>
              </w:rPr>
              <w:t>001-39503</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2320" w:type="dxa"/>
            <w:vAlign w:val="bottom"/>
            <w:gridSpan w:val="2"/>
          </w:tcPr>
          <w:p>
            <w:pPr>
              <w:ind w:left="100"/>
              <w:spacing w:after="0"/>
              <w:rPr>
                <w:sz w:val="20"/>
                <w:szCs w:val="20"/>
                <w:color w:val="auto"/>
              </w:rPr>
            </w:pPr>
            <w:r>
              <w:rPr>
                <w:rFonts w:ascii="Arial" w:cs="Arial" w:eastAsia="Arial" w:hAnsi="Arial"/>
                <w:sz w:val="18"/>
                <w:szCs w:val="18"/>
                <w:color w:val="auto"/>
              </w:rPr>
              <w:t>November 12, 2020</w:t>
            </w:r>
          </w:p>
        </w:tc>
        <w:tc>
          <w:tcPr>
            <w:tcW w:w="0" w:type="dxa"/>
            <w:vAlign w:val="bottom"/>
          </w:tcPr>
          <w:p>
            <w:pPr>
              <w:spacing w:after="0"/>
              <w:rPr>
                <w:sz w:val="1"/>
                <w:szCs w:val="1"/>
                <w:color w:val="auto"/>
              </w:rPr>
            </w:pPr>
          </w:p>
        </w:tc>
      </w:tr>
      <w:tr>
        <w:trPr>
          <w:trHeight w:val="311"/>
        </w:trPr>
        <w:tc>
          <w:tcPr>
            <w:tcW w:w="960" w:type="dxa"/>
            <w:vAlign w:val="bottom"/>
          </w:tcPr>
          <w:p>
            <w:pPr>
              <w:jc w:val="center"/>
              <w:ind w:right="413"/>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5100" w:type="dxa"/>
            <w:vAlign w:val="bottom"/>
            <w:gridSpan w:val="10"/>
          </w:tcPr>
          <w:p>
            <w:pPr>
              <w:spacing w:after="0"/>
              <w:rPr>
                <w:rFonts w:ascii="Arial" w:cs="Arial" w:eastAsia="Arial" w:hAnsi="Arial"/>
                <w:sz w:val="18"/>
                <w:szCs w:val="18"/>
                <w:u w:val="single" w:color="auto"/>
                <w:color w:val="0000EE"/>
              </w:rPr>
            </w:pPr>
            <w:hyperlink r:id="rId356">
              <w:r>
                <w:rPr>
                  <w:rFonts w:ascii="Arial" w:cs="Arial" w:eastAsia="Arial" w:hAnsi="Arial"/>
                  <w:sz w:val="18"/>
                  <w:szCs w:val="18"/>
                  <w:u w:val="single" w:color="auto"/>
                  <w:color w:val="0000EE"/>
                </w:rPr>
                <w:t>Specimen Common Stock Certificate of the Registrant</w:t>
              </w:r>
            </w:hyperlink>
          </w:p>
        </w:tc>
        <w:tc>
          <w:tcPr>
            <w:tcW w:w="940" w:type="dxa"/>
            <w:vAlign w:val="bottom"/>
            <w:gridSpan w:val="2"/>
          </w:tcPr>
          <w:p>
            <w:pPr>
              <w:spacing w:after="0"/>
              <w:rPr>
                <w:sz w:val="20"/>
                <w:szCs w:val="20"/>
                <w:color w:val="auto"/>
              </w:rPr>
            </w:pPr>
            <w:r>
              <w:rPr>
                <w:rFonts w:ascii="Arial" w:cs="Arial" w:eastAsia="Arial" w:hAnsi="Arial"/>
                <w:sz w:val="18"/>
                <w:szCs w:val="18"/>
                <w:color w:val="auto"/>
              </w:rPr>
              <w:t>S-1/A</w:t>
            </w:r>
          </w:p>
        </w:tc>
        <w:tc>
          <w:tcPr>
            <w:tcW w:w="1100" w:type="dxa"/>
            <w:vAlign w:val="bottom"/>
          </w:tcPr>
          <w:p>
            <w:pPr>
              <w:spacing w:after="0"/>
              <w:rPr>
                <w:sz w:val="20"/>
                <w:szCs w:val="20"/>
                <w:color w:val="auto"/>
              </w:rPr>
            </w:pPr>
            <w:r>
              <w:rPr>
                <w:rFonts w:ascii="Arial" w:cs="Arial" w:eastAsia="Arial" w:hAnsi="Arial"/>
                <w:sz w:val="18"/>
                <w:szCs w:val="18"/>
                <w:color w:val="auto"/>
              </w:rPr>
              <w:t>333-248428</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2320" w:type="dxa"/>
            <w:vAlign w:val="bottom"/>
            <w:gridSpan w:val="2"/>
          </w:tcPr>
          <w:p>
            <w:pPr>
              <w:ind w:left="100"/>
              <w:spacing w:after="0"/>
              <w:rPr>
                <w:sz w:val="20"/>
                <w:szCs w:val="20"/>
                <w:color w:val="auto"/>
              </w:rPr>
            </w:pPr>
            <w:r>
              <w:rPr>
                <w:rFonts w:ascii="Arial" w:cs="Arial" w:eastAsia="Arial" w:hAnsi="Arial"/>
                <w:sz w:val="18"/>
                <w:szCs w:val="18"/>
                <w:color w:val="auto"/>
              </w:rPr>
              <w:t>September 14, 2020</w:t>
            </w:r>
          </w:p>
        </w:tc>
        <w:tc>
          <w:tcPr>
            <w:tcW w:w="0" w:type="dxa"/>
            <w:vAlign w:val="bottom"/>
          </w:tcPr>
          <w:p>
            <w:pPr>
              <w:spacing w:after="0"/>
              <w:rPr>
                <w:sz w:val="1"/>
                <w:szCs w:val="1"/>
                <w:color w:val="auto"/>
              </w:rPr>
            </w:pPr>
          </w:p>
        </w:tc>
      </w:tr>
      <w:tr>
        <w:trPr>
          <w:trHeight w:val="198"/>
        </w:trPr>
        <w:tc>
          <w:tcPr>
            <w:tcW w:w="960" w:type="dxa"/>
            <w:vAlign w:val="bottom"/>
          </w:tcPr>
          <w:p>
            <w:pPr>
              <w:jc w:val="center"/>
              <w:ind w:right="413"/>
              <w:spacing w:after="0" w:line="198"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7"/>
                <w:szCs w:val="17"/>
                <w:color w:val="auto"/>
              </w:rPr>
            </w:pPr>
          </w:p>
        </w:tc>
        <w:tc>
          <w:tcPr>
            <w:tcW w:w="5100" w:type="dxa"/>
            <w:vAlign w:val="bottom"/>
            <w:gridSpan w:val="10"/>
          </w:tcPr>
          <w:p>
            <w:pPr>
              <w:spacing w:after="0" w:line="198" w:lineRule="exact"/>
              <w:rPr>
                <w:rFonts w:ascii="Arial" w:cs="Arial" w:eastAsia="Arial" w:hAnsi="Arial"/>
                <w:sz w:val="18"/>
                <w:szCs w:val="18"/>
                <w:color w:val="0000EE"/>
              </w:rPr>
            </w:pPr>
            <w:hyperlink r:id="rId357">
              <w:r>
                <w:rPr>
                  <w:rFonts w:ascii="Arial" w:cs="Arial" w:eastAsia="Arial" w:hAnsi="Arial"/>
                  <w:sz w:val="18"/>
                  <w:szCs w:val="18"/>
                  <w:color w:val="0000EE"/>
                </w:rPr>
                <w:t>Investors’ Rights Agreement, dated May 29, 2020, as</w:t>
              </w:r>
            </w:hyperlink>
          </w:p>
        </w:tc>
        <w:tc>
          <w:tcPr>
            <w:tcW w:w="940" w:type="dxa"/>
            <w:vAlign w:val="bottom"/>
            <w:gridSpan w:val="2"/>
          </w:tcPr>
          <w:p>
            <w:pPr>
              <w:spacing w:after="0" w:line="198" w:lineRule="exact"/>
              <w:rPr>
                <w:sz w:val="20"/>
                <w:szCs w:val="20"/>
                <w:color w:val="auto"/>
              </w:rPr>
            </w:pPr>
            <w:r>
              <w:rPr>
                <w:rFonts w:ascii="Arial" w:cs="Arial" w:eastAsia="Arial" w:hAnsi="Arial"/>
                <w:sz w:val="18"/>
                <w:szCs w:val="18"/>
                <w:color w:val="auto"/>
              </w:rPr>
              <w:t>S-1/A</w:t>
            </w:r>
          </w:p>
        </w:tc>
        <w:tc>
          <w:tcPr>
            <w:tcW w:w="1100" w:type="dxa"/>
            <w:vAlign w:val="bottom"/>
          </w:tcPr>
          <w:p>
            <w:pPr>
              <w:spacing w:after="0" w:line="198" w:lineRule="exact"/>
              <w:rPr>
                <w:sz w:val="20"/>
                <w:szCs w:val="20"/>
                <w:color w:val="auto"/>
              </w:rPr>
            </w:pPr>
            <w:r>
              <w:rPr>
                <w:rFonts w:ascii="Arial" w:cs="Arial" w:eastAsia="Arial" w:hAnsi="Arial"/>
                <w:sz w:val="18"/>
                <w:szCs w:val="18"/>
                <w:color w:val="auto"/>
              </w:rPr>
              <w:t>333-248428</w:t>
            </w:r>
          </w:p>
        </w:tc>
        <w:tc>
          <w:tcPr>
            <w:tcW w:w="74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4.2</w:t>
            </w:r>
          </w:p>
        </w:tc>
        <w:tc>
          <w:tcPr>
            <w:tcW w:w="23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September 9, 2020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100" w:type="dxa"/>
            <w:vAlign w:val="bottom"/>
            <w:gridSpan w:val="10"/>
          </w:tcPr>
          <w:p>
            <w:pPr>
              <w:spacing w:after="0" w:line="182" w:lineRule="exact"/>
              <w:rPr>
                <w:rFonts w:ascii="Arial" w:cs="Arial" w:eastAsia="Arial" w:hAnsi="Arial"/>
                <w:sz w:val="18"/>
                <w:szCs w:val="18"/>
                <w:color w:val="0000EE"/>
              </w:rPr>
            </w:pPr>
            <w:hyperlink r:id="rId357">
              <w:r>
                <w:rPr>
                  <w:rFonts w:ascii="Arial" w:cs="Arial" w:eastAsia="Arial" w:hAnsi="Arial"/>
                  <w:sz w:val="18"/>
                  <w:szCs w:val="18"/>
                  <w:color w:val="0000EE"/>
                </w:rPr>
                <w:t>amended, by and among the Registrant and the Investors and</w:t>
              </w:r>
            </w:hyperlink>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357">
              <w:r>
                <w:rPr>
                  <w:rFonts w:ascii="Arial" w:cs="Arial" w:eastAsia="Arial" w:hAnsi="Arial"/>
                  <w:sz w:val="18"/>
                  <w:szCs w:val="18"/>
                  <w:color w:val="0000EE"/>
                </w:rPr>
                <w:t>Key Holders party thereto</w:t>
              </w:r>
            </w:hyperlink>
          </w:p>
        </w:tc>
        <w:tc>
          <w:tcPr>
            <w:tcW w:w="16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jc w:val="center"/>
              <w:ind w:right="413"/>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4"/>
                <w:szCs w:val="24"/>
                <w:color w:val="auto"/>
              </w:rPr>
            </w:pPr>
          </w:p>
        </w:tc>
        <w:tc>
          <w:tcPr>
            <w:tcW w:w="5100" w:type="dxa"/>
            <w:vAlign w:val="bottom"/>
            <w:gridSpan w:val="10"/>
          </w:tcPr>
          <w:p>
            <w:pPr>
              <w:spacing w:after="0"/>
              <w:rPr>
                <w:rFonts w:ascii="Arial" w:cs="Arial" w:eastAsia="Arial" w:hAnsi="Arial"/>
                <w:sz w:val="18"/>
                <w:szCs w:val="18"/>
                <w:color w:val="0000EE"/>
              </w:rPr>
            </w:pPr>
            <w:hyperlink w:anchor="page294">
              <w:r>
                <w:rPr>
                  <w:rFonts w:ascii="Arial" w:cs="Arial" w:eastAsia="Arial" w:hAnsi="Arial"/>
                  <w:sz w:val="18"/>
                  <w:szCs w:val="18"/>
                  <w:color w:val="0000EE"/>
                </w:rPr>
                <w:t>Opinion of Wilson Sonsini Goodrich &amp; Rosati, Professional</w:t>
              </w:r>
            </w:hyperlink>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294">
              <w:r>
                <w:rPr>
                  <w:rFonts w:ascii="Arial" w:cs="Arial" w:eastAsia="Arial" w:hAnsi="Arial"/>
                  <w:sz w:val="18"/>
                  <w:szCs w:val="18"/>
                  <w:color w:val="0000EE"/>
                </w:rPr>
                <w:t>Corporation</w:t>
              </w:r>
            </w:hyperlink>
          </w:p>
        </w:tc>
        <w:tc>
          <w:tcPr>
            <w:tcW w:w="44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jc w:val="center"/>
              <w:ind w:right="413"/>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5100" w:type="dxa"/>
            <w:vAlign w:val="bottom"/>
            <w:gridSpan w:val="10"/>
          </w:tcPr>
          <w:p>
            <w:pPr>
              <w:spacing w:after="0"/>
              <w:rPr>
                <w:rFonts w:ascii="Arial" w:cs="Arial" w:eastAsia="Arial" w:hAnsi="Arial"/>
                <w:sz w:val="18"/>
                <w:szCs w:val="18"/>
                <w:color w:val="0000EE"/>
              </w:rPr>
            </w:pPr>
            <w:hyperlink r:id="rId358">
              <w:r>
                <w:rPr>
                  <w:rFonts w:ascii="Arial" w:cs="Arial" w:eastAsia="Arial" w:hAnsi="Arial"/>
                  <w:sz w:val="18"/>
                  <w:szCs w:val="18"/>
                  <w:color w:val="0000EE"/>
                </w:rPr>
                <w:t>Form of Director and Executive Officer Indemnification</w:t>
              </w:r>
            </w:hyperlink>
          </w:p>
        </w:tc>
        <w:tc>
          <w:tcPr>
            <w:tcW w:w="940" w:type="dxa"/>
            <w:vAlign w:val="bottom"/>
            <w:gridSpan w:val="2"/>
          </w:tcPr>
          <w:p>
            <w:pPr>
              <w:spacing w:after="0"/>
              <w:rPr>
                <w:sz w:val="20"/>
                <w:szCs w:val="20"/>
                <w:color w:val="auto"/>
              </w:rPr>
            </w:pPr>
            <w:r>
              <w:rPr>
                <w:rFonts w:ascii="Arial" w:cs="Arial" w:eastAsia="Arial" w:hAnsi="Arial"/>
                <w:sz w:val="18"/>
                <w:szCs w:val="18"/>
                <w:color w:val="auto"/>
              </w:rPr>
              <w:t>S-1</w:t>
            </w:r>
          </w:p>
        </w:tc>
        <w:tc>
          <w:tcPr>
            <w:tcW w:w="1100" w:type="dxa"/>
            <w:vAlign w:val="bottom"/>
          </w:tcPr>
          <w:p>
            <w:pPr>
              <w:spacing w:after="0"/>
              <w:rPr>
                <w:sz w:val="20"/>
                <w:szCs w:val="20"/>
                <w:color w:val="auto"/>
              </w:rPr>
            </w:pPr>
            <w:r>
              <w:rPr>
                <w:rFonts w:ascii="Arial" w:cs="Arial" w:eastAsia="Arial" w:hAnsi="Arial"/>
                <w:sz w:val="18"/>
                <w:szCs w:val="18"/>
                <w:color w:val="auto"/>
              </w:rPr>
              <w:t>333-248428</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2320" w:type="dxa"/>
            <w:vAlign w:val="bottom"/>
            <w:gridSpan w:val="2"/>
          </w:tcPr>
          <w:p>
            <w:pPr>
              <w:ind w:left="100"/>
              <w:spacing w:after="0"/>
              <w:rPr>
                <w:sz w:val="20"/>
                <w:szCs w:val="20"/>
                <w:color w:val="auto"/>
              </w:rPr>
            </w:pPr>
            <w:r>
              <w:rPr>
                <w:rFonts w:ascii="Arial" w:cs="Arial" w:eastAsia="Arial" w:hAnsi="Arial"/>
                <w:sz w:val="18"/>
                <w:szCs w:val="18"/>
                <w:color w:val="auto"/>
              </w:rPr>
              <w:t>August 26, 2020</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3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358">
              <w:r>
                <w:rPr>
                  <w:rFonts w:ascii="Arial" w:cs="Arial" w:eastAsia="Arial" w:hAnsi="Arial"/>
                  <w:sz w:val="18"/>
                  <w:szCs w:val="18"/>
                  <w:color w:val="0000EE"/>
                </w:rPr>
                <w:t>Agreement</w:t>
              </w:r>
            </w:hyperlink>
          </w:p>
        </w:tc>
        <w:tc>
          <w:tcPr>
            <w:tcW w:w="120" w:type="dxa"/>
            <w:vAlign w:val="bottom"/>
          </w:tcPr>
          <w:p>
            <w:pPr>
              <w:spacing w:after="0"/>
              <w:rPr>
                <w:sz w:val="15"/>
                <w:szCs w:val="15"/>
                <w:color w:val="auto"/>
              </w:rPr>
            </w:pPr>
          </w:p>
        </w:tc>
        <w:tc>
          <w:tcPr>
            <w:tcW w:w="66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960" w:type="dxa"/>
            <w:vAlign w:val="bottom"/>
          </w:tcPr>
          <w:p>
            <w:pPr>
              <w:jc w:val="center"/>
              <w:ind w:right="413"/>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5100" w:type="dxa"/>
            <w:vAlign w:val="bottom"/>
            <w:gridSpan w:val="10"/>
          </w:tcPr>
          <w:p>
            <w:pPr>
              <w:spacing w:after="0"/>
              <w:rPr>
                <w:rFonts w:ascii="Arial" w:cs="Arial" w:eastAsia="Arial" w:hAnsi="Arial"/>
                <w:sz w:val="18"/>
                <w:szCs w:val="18"/>
                <w:u w:val="single" w:color="auto"/>
                <w:color w:val="0000EE"/>
              </w:rPr>
            </w:pPr>
            <w:hyperlink r:id="rId359">
              <w:r>
                <w:rPr>
                  <w:rFonts w:ascii="Arial" w:cs="Arial" w:eastAsia="Arial" w:hAnsi="Arial"/>
                  <w:sz w:val="18"/>
                  <w:szCs w:val="18"/>
                  <w:u w:val="single" w:color="auto"/>
                  <w:color w:val="0000EE"/>
                </w:rPr>
                <w:t>2014 Equity Incentive Plan, as amended</w:t>
              </w:r>
            </w:hyperlink>
          </w:p>
        </w:tc>
        <w:tc>
          <w:tcPr>
            <w:tcW w:w="940" w:type="dxa"/>
            <w:vAlign w:val="bottom"/>
            <w:gridSpan w:val="2"/>
          </w:tcPr>
          <w:p>
            <w:pPr>
              <w:spacing w:after="0"/>
              <w:rPr>
                <w:sz w:val="20"/>
                <w:szCs w:val="20"/>
                <w:color w:val="auto"/>
              </w:rPr>
            </w:pPr>
            <w:r>
              <w:rPr>
                <w:rFonts w:ascii="Arial" w:cs="Arial" w:eastAsia="Arial" w:hAnsi="Arial"/>
                <w:sz w:val="18"/>
                <w:szCs w:val="18"/>
                <w:color w:val="auto"/>
              </w:rPr>
              <w:t>S-1/A</w:t>
            </w:r>
          </w:p>
        </w:tc>
        <w:tc>
          <w:tcPr>
            <w:tcW w:w="1100" w:type="dxa"/>
            <w:vAlign w:val="bottom"/>
          </w:tcPr>
          <w:p>
            <w:pPr>
              <w:spacing w:after="0"/>
              <w:rPr>
                <w:sz w:val="20"/>
                <w:szCs w:val="20"/>
                <w:color w:val="auto"/>
              </w:rPr>
            </w:pPr>
            <w:r>
              <w:rPr>
                <w:rFonts w:ascii="Arial" w:cs="Arial" w:eastAsia="Arial" w:hAnsi="Arial"/>
                <w:sz w:val="18"/>
                <w:szCs w:val="18"/>
                <w:color w:val="auto"/>
              </w:rPr>
              <w:t>333-248428</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2320" w:type="dxa"/>
            <w:vAlign w:val="bottom"/>
            <w:gridSpan w:val="2"/>
          </w:tcPr>
          <w:p>
            <w:pPr>
              <w:ind w:left="100"/>
              <w:spacing w:after="0"/>
              <w:rPr>
                <w:sz w:val="20"/>
                <w:szCs w:val="20"/>
                <w:color w:val="auto"/>
              </w:rPr>
            </w:pPr>
            <w:r>
              <w:rPr>
                <w:rFonts w:ascii="Arial" w:cs="Arial" w:eastAsia="Arial" w:hAnsi="Arial"/>
                <w:sz w:val="18"/>
                <w:szCs w:val="18"/>
                <w:color w:val="auto"/>
              </w:rPr>
              <w:t>September 9, 2020</w:t>
            </w:r>
          </w:p>
        </w:tc>
        <w:tc>
          <w:tcPr>
            <w:tcW w:w="0" w:type="dxa"/>
            <w:vAlign w:val="bottom"/>
          </w:tcPr>
          <w:p>
            <w:pPr>
              <w:spacing w:after="0"/>
              <w:rPr>
                <w:sz w:val="1"/>
                <w:szCs w:val="1"/>
                <w:color w:val="auto"/>
              </w:rPr>
            </w:pPr>
          </w:p>
        </w:tc>
      </w:tr>
      <w:tr>
        <w:trPr>
          <w:trHeight w:val="293"/>
        </w:trPr>
        <w:tc>
          <w:tcPr>
            <w:tcW w:w="960" w:type="dxa"/>
            <w:vAlign w:val="bottom"/>
          </w:tcPr>
          <w:p>
            <w:pPr>
              <w:jc w:val="center"/>
              <w:ind w:right="413"/>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5100" w:type="dxa"/>
            <w:vAlign w:val="bottom"/>
            <w:gridSpan w:val="10"/>
          </w:tcPr>
          <w:p>
            <w:pPr>
              <w:spacing w:after="0"/>
              <w:rPr>
                <w:rFonts w:ascii="Arial" w:cs="Arial" w:eastAsia="Arial" w:hAnsi="Arial"/>
                <w:sz w:val="18"/>
                <w:szCs w:val="18"/>
                <w:color w:val="0000EE"/>
              </w:rPr>
            </w:pPr>
            <w:hyperlink r:id="rId360">
              <w:r>
                <w:rPr>
                  <w:rFonts w:ascii="Arial" w:cs="Arial" w:eastAsia="Arial" w:hAnsi="Arial"/>
                  <w:sz w:val="18"/>
                  <w:szCs w:val="18"/>
                  <w:color w:val="0000EE"/>
                </w:rPr>
                <w:t>Form of Stock Option Agreement under the 2014 Equity</w:t>
              </w:r>
            </w:hyperlink>
          </w:p>
        </w:tc>
        <w:tc>
          <w:tcPr>
            <w:tcW w:w="940" w:type="dxa"/>
            <w:vAlign w:val="bottom"/>
            <w:gridSpan w:val="2"/>
          </w:tcPr>
          <w:p>
            <w:pPr>
              <w:spacing w:after="0"/>
              <w:rPr>
                <w:sz w:val="20"/>
                <w:szCs w:val="20"/>
                <w:color w:val="auto"/>
              </w:rPr>
            </w:pPr>
            <w:r>
              <w:rPr>
                <w:rFonts w:ascii="Arial" w:cs="Arial" w:eastAsia="Arial" w:hAnsi="Arial"/>
                <w:sz w:val="18"/>
                <w:szCs w:val="18"/>
                <w:color w:val="auto"/>
              </w:rPr>
              <w:t>S-1/A</w:t>
            </w:r>
          </w:p>
        </w:tc>
        <w:tc>
          <w:tcPr>
            <w:tcW w:w="1100" w:type="dxa"/>
            <w:vAlign w:val="bottom"/>
          </w:tcPr>
          <w:p>
            <w:pPr>
              <w:spacing w:after="0"/>
              <w:rPr>
                <w:sz w:val="20"/>
                <w:szCs w:val="20"/>
                <w:color w:val="auto"/>
              </w:rPr>
            </w:pPr>
            <w:r>
              <w:rPr>
                <w:rFonts w:ascii="Arial" w:cs="Arial" w:eastAsia="Arial" w:hAnsi="Arial"/>
                <w:sz w:val="18"/>
                <w:szCs w:val="18"/>
                <w:color w:val="auto"/>
              </w:rPr>
              <w:t>333-248428</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2320" w:type="dxa"/>
            <w:vAlign w:val="bottom"/>
            <w:gridSpan w:val="2"/>
          </w:tcPr>
          <w:p>
            <w:pPr>
              <w:ind w:left="100"/>
              <w:spacing w:after="0"/>
              <w:rPr>
                <w:sz w:val="20"/>
                <w:szCs w:val="20"/>
                <w:color w:val="auto"/>
              </w:rPr>
            </w:pPr>
            <w:r>
              <w:rPr>
                <w:rFonts w:ascii="Arial" w:cs="Arial" w:eastAsia="Arial" w:hAnsi="Arial"/>
                <w:sz w:val="18"/>
                <w:szCs w:val="18"/>
                <w:color w:val="auto"/>
              </w:rPr>
              <w:t>September 9, 2020</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360">
              <w:r>
                <w:rPr>
                  <w:rFonts w:ascii="Arial" w:cs="Arial" w:eastAsia="Arial" w:hAnsi="Arial"/>
                  <w:sz w:val="18"/>
                  <w:szCs w:val="18"/>
                  <w:color w:val="0000EE"/>
                  <w:w w:val="99"/>
                </w:rPr>
                <w:t>Incentive Plan</w:t>
              </w:r>
            </w:hyperlink>
          </w:p>
        </w:tc>
        <w:tc>
          <w:tcPr>
            <w:tcW w:w="3300" w:type="dxa"/>
            <w:vAlign w:val="bottom"/>
            <w:tcBorders>
              <w:top w:val="single" w:sz="8" w:color="0000EE"/>
            </w:tcBorders>
            <w:gridSpan w:val="4"/>
          </w:tcPr>
          <w:p>
            <w:pPr>
              <w:spacing w:after="0"/>
              <w:rPr>
                <w:sz w:val="15"/>
                <w:szCs w:val="15"/>
                <w:color w:val="auto"/>
              </w:rPr>
            </w:pPr>
          </w:p>
        </w:tc>
        <w:tc>
          <w:tcPr>
            <w:tcW w:w="66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sectPr>
          <w:pgSz w:w="11900" w:h="16838" w:orient="portrait"/>
          <w:cols w:equalWidth="0" w:num="1">
            <w:col w:w="11240"/>
          </w:cols>
          <w:pgMar w:left="320" w:top="358" w:right="3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780" w:type="dxa"/>
            <w:vAlign w:val="bottom"/>
            <w:gridSpan w:val="4"/>
          </w:tcPr>
          <w:p>
            <w:pPr>
              <w:spacing w:after="0"/>
              <w:rPr>
                <w:rFonts w:ascii="Arial" w:cs="Arial" w:eastAsia="Arial" w:hAnsi="Arial"/>
                <w:sz w:val="18"/>
                <w:szCs w:val="18"/>
                <w:color w:val="0000EE"/>
              </w:rPr>
            </w:pPr>
            <w:hyperlink r:id="rId361">
              <w:r>
                <w:rPr>
                  <w:rFonts w:ascii="Arial" w:cs="Arial" w:eastAsia="Arial" w:hAnsi="Arial"/>
                  <w:sz w:val="18"/>
                  <w:szCs w:val="18"/>
                  <w:color w:val="0000EE"/>
                </w:rPr>
                <w:t>Form of Restricted Share Award under the 2014 Equity</w:t>
              </w:r>
            </w:hyperlink>
          </w:p>
        </w:tc>
        <w:tc>
          <w:tcPr>
            <w:tcW w:w="1020" w:type="dxa"/>
            <w:vAlign w:val="bottom"/>
          </w:tcPr>
          <w:p>
            <w:pPr>
              <w:ind w:left="320"/>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1720" w:type="dxa"/>
            <w:vAlign w:val="bottom"/>
          </w:tcPr>
          <w:p>
            <w:pPr>
              <w:ind w:left="200"/>
              <w:spacing w:after="0"/>
              <w:rPr>
                <w:sz w:val="20"/>
                <w:szCs w:val="20"/>
                <w:color w:val="auto"/>
              </w:rPr>
            </w:pPr>
            <w:r>
              <w:rPr>
                <w:rFonts w:ascii="Arial" w:cs="Arial" w:eastAsia="Arial" w:hAnsi="Arial"/>
                <w:sz w:val="18"/>
                <w:szCs w:val="18"/>
                <w:color w:val="auto"/>
                <w:w w:val="97"/>
              </w:rPr>
              <w:t>September 9, 2020</w:t>
            </w:r>
          </w:p>
        </w:tc>
      </w:tr>
      <w:tr>
        <w:trPr>
          <w:trHeight w:val="183"/>
        </w:trPr>
        <w:tc>
          <w:tcPr>
            <w:tcW w:w="11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r:id="rId361">
              <w:r>
                <w:rPr>
                  <w:rFonts w:ascii="Arial" w:cs="Arial" w:eastAsia="Arial" w:hAnsi="Arial"/>
                  <w:sz w:val="18"/>
                  <w:szCs w:val="18"/>
                  <w:color w:val="0000EE"/>
                  <w:w w:val="99"/>
                </w:rPr>
                <w:t>Incentive Plan</w:t>
              </w:r>
            </w:hyperlink>
          </w:p>
        </w:tc>
        <w:tc>
          <w:tcPr>
            <w:tcW w:w="32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8"/>
        </w:trPr>
        <w:tc>
          <w:tcPr>
            <w:tcW w:w="4780" w:type="dxa"/>
            <w:vAlign w:val="bottom"/>
            <w:gridSpan w:val="4"/>
          </w:tcPr>
          <w:p>
            <w:pPr>
              <w:spacing w:after="0"/>
              <w:rPr>
                <w:rFonts w:ascii="Arial" w:cs="Arial" w:eastAsia="Arial" w:hAnsi="Arial"/>
                <w:sz w:val="18"/>
                <w:szCs w:val="18"/>
                <w:u w:val="single" w:color="auto"/>
                <w:color w:val="0000EE"/>
              </w:rPr>
            </w:pPr>
            <w:hyperlink r:id="rId362">
              <w:r>
                <w:rPr>
                  <w:rFonts w:ascii="Arial" w:cs="Arial" w:eastAsia="Arial" w:hAnsi="Arial"/>
                  <w:sz w:val="18"/>
                  <w:szCs w:val="18"/>
                  <w:u w:val="single" w:color="auto"/>
                  <w:color w:val="0000EE"/>
                </w:rPr>
                <w:t>2020 Equity Incentive Plan</w:t>
              </w:r>
            </w:hyperlink>
          </w:p>
        </w:tc>
        <w:tc>
          <w:tcPr>
            <w:tcW w:w="1020" w:type="dxa"/>
            <w:vAlign w:val="bottom"/>
          </w:tcPr>
          <w:p>
            <w:pPr>
              <w:ind w:left="320"/>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1720" w:type="dxa"/>
            <w:vAlign w:val="bottom"/>
          </w:tcPr>
          <w:p>
            <w:pPr>
              <w:ind w:left="200"/>
              <w:spacing w:after="0"/>
              <w:rPr>
                <w:sz w:val="20"/>
                <w:szCs w:val="20"/>
                <w:color w:val="auto"/>
              </w:rPr>
            </w:pPr>
            <w:r>
              <w:rPr>
                <w:rFonts w:ascii="Arial" w:cs="Arial" w:eastAsia="Arial" w:hAnsi="Arial"/>
                <w:sz w:val="18"/>
                <w:szCs w:val="18"/>
                <w:color w:val="auto"/>
                <w:w w:val="97"/>
              </w:rPr>
              <w:t>September 9, 2020</w:t>
            </w:r>
          </w:p>
        </w:tc>
      </w:tr>
      <w:tr>
        <w:trPr>
          <w:trHeight w:val="293"/>
        </w:trPr>
        <w:tc>
          <w:tcPr>
            <w:tcW w:w="4780" w:type="dxa"/>
            <w:vAlign w:val="bottom"/>
            <w:gridSpan w:val="4"/>
          </w:tcPr>
          <w:p>
            <w:pPr>
              <w:spacing w:after="0"/>
              <w:rPr>
                <w:rFonts w:ascii="Arial" w:cs="Arial" w:eastAsia="Arial" w:hAnsi="Arial"/>
                <w:sz w:val="18"/>
                <w:szCs w:val="18"/>
                <w:color w:val="0000EE"/>
              </w:rPr>
            </w:pPr>
            <w:hyperlink r:id="rId363">
              <w:r>
                <w:rPr>
                  <w:rFonts w:ascii="Arial" w:cs="Arial" w:eastAsia="Arial" w:hAnsi="Arial"/>
                  <w:sz w:val="18"/>
                  <w:szCs w:val="18"/>
                  <w:color w:val="0000EE"/>
                </w:rPr>
                <w:t>Form of Stock Option Agreement under the 2020 Equity</w:t>
              </w:r>
            </w:hyperlink>
          </w:p>
        </w:tc>
        <w:tc>
          <w:tcPr>
            <w:tcW w:w="1020" w:type="dxa"/>
            <w:vAlign w:val="bottom"/>
          </w:tcPr>
          <w:p>
            <w:pPr>
              <w:ind w:left="320"/>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10.6</w:t>
            </w:r>
          </w:p>
        </w:tc>
        <w:tc>
          <w:tcPr>
            <w:tcW w:w="1720" w:type="dxa"/>
            <w:vAlign w:val="bottom"/>
          </w:tcPr>
          <w:p>
            <w:pPr>
              <w:ind w:left="200"/>
              <w:spacing w:after="0"/>
              <w:rPr>
                <w:sz w:val="20"/>
                <w:szCs w:val="20"/>
                <w:color w:val="auto"/>
              </w:rPr>
            </w:pPr>
            <w:r>
              <w:rPr>
                <w:rFonts w:ascii="Arial" w:cs="Arial" w:eastAsia="Arial" w:hAnsi="Arial"/>
                <w:sz w:val="18"/>
                <w:szCs w:val="18"/>
                <w:color w:val="auto"/>
                <w:w w:val="97"/>
              </w:rPr>
              <w:t>September 9, 2020</w:t>
            </w:r>
          </w:p>
        </w:tc>
      </w:tr>
      <w:tr>
        <w:trPr>
          <w:trHeight w:val="183"/>
        </w:trPr>
        <w:tc>
          <w:tcPr>
            <w:tcW w:w="11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r:id="rId363">
              <w:r>
                <w:rPr>
                  <w:rFonts w:ascii="Arial" w:cs="Arial" w:eastAsia="Arial" w:hAnsi="Arial"/>
                  <w:sz w:val="18"/>
                  <w:szCs w:val="18"/>
                  <w:color w:val="0000EE"/>
                  <w:w w:val="99"/>
                </w:rPr>
                <w:t>Incentive Plan</w:t>
              </w:r>
            </w:hyperlink>
          </w:p>
        </w:tc>
        <w:tc>
          <w:tcPr>
            <w:tcW w:w="3300" w:type="dxa"/>
            <w:vAlign w:val="bottom"/>
            <w:tcBorders>
              <w:top w:val="single" w:sz="8" w:color="0000EE"/>
            </w:tcBorders>
            <w:gridSpan w:val="2"/>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20" w:type="dxa"/>
            <w:vAlign w:val="bottom"/>
          </w:tcPr>
          <w:p>
            <w:pPr>
              <w:spacing w:after="0"/>
              <w:rPr>
                <w:sz w:val="15"/>
                <w:szCs w:val="15"/>
                <w:color w:val="auto"/>
              </w:rPr>
            </w:pPr>
          </w:p>
        </w:tc>
      </w:tr>
    </w:tbl>
    <w:p>
      <w:pPr>
        <w:spacing w:after="0" w:line="104" w:lineRule="exact"/>
        <w:rPr>
          <w:sz w:val="20"/>
          <w:szCs w:val="20"/>
          <w:color w:val="auto"/>
        </w:rPr>
      </w:pPr>
    </w:p>
    <w:p>
      <w:pPr>
        <w:sectPr>
          <w:pgSz w:w="11900" w:h="16838" w:orient="portrait"/>
          <w:cols w:equalWidth="0" w:num="2">
            <w:col w:w="460" w:space="580"/>
            <w:col w:w="10200"/>
          </w:cols>
          <w:pgMar w:left="320" w:top="35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490"/>
              <w:spacing w:after="0"/>
              <w:rPr>
                <w:sz w:val="20"/>
                <w:szCs w:val="20"/>
                <w:color w:val="auto"/>
              </w:rPr>
            </w:pPr>
            <w:r>
              <w:rPr>
                <w:rFonts w:ascii="Arial" w:cs="Arial" w:eastAsia="Arial" w:hAnsi="Arial"/>
                <w:sz w:val="18"/>
                <w:szCs w:val="18"/>
                <w:color w:val="auto"/>
                <w:w w:val="96"/>
              </w:rPr>
              <w:t>10.7+</w:t>
            </w:r>
          </w:p>
        </w:tc>
        <w:tc>
          <w:tcPr>
            <w:tcW w:w="4740" w:type="dxa"/>
            <w:vAlign w:val="bottom"/>
            <w:tcBorders>
              <w:bottom w:val="single" w:sz="8" w:color="0000EE"/>
            </w:tcBorders>
            <w:gridSpan w:val="2"/>
          </w:tcPr>
          <w:p>
            <w:pPr>
              <w:spacing w:after="0"/>
              <w:rPr>
                <w:rFonts w:ascii="Arial" w:cs="Arial" w:eastAsia="Arial" w:hAnsi="Arial"/>
                <w:sz w:val="18"/>
                <w:szCs w:val="18"/>
                <w:color w:val="0000EE"/>
                <w:w w:val="99"/>
              </w:rPr>
            </w:pPr>
            <w:hyperlink r:id="rId364">
              <w:r>
                <w:rPr>
                  <w:rFonts w:ascii="Arial" w:cs="Arial" w:eastAsia="Arial" w:hAnsi="Arial"/>
                  <w:sz w:val="18"/>
                  <w:szCs w:val="18"/>
                  <w:color w:val="0000EE"/>
                  <w:w w:val="99"/>
                </w:rPr>
                <w:t>Form of Restricted Stock Award Agreement under the 2020</w:t>
              </w:r>
            </w:hyperlink>
          </w:p>
        </w:tc>
        <w:tc>
          <w:tcPr>
            <w:tcW w:w="1060" w:type="dxa"/>
            <w:vAlign w:val="bottom"/>
          </w:tcPr>
          <w:p>
            <w:pPr>
              <w:ind w:left="360"/>
              <w:spacing w:after="0"/>
              <w:rPr>
                <w:sz w:val="20"/>
                <w:szCs w:val="20"/>
                <w:color w:val="auto"/>
              </w:rPr>
            </w:pPr>
            <w:r>
              <w:rPr>
                <w:rFonts w:ascii="Arial" w:cs="Arial" w:eastAsia="Arial" w:hAnsi="Arial"/>
                <w:sz w:val="18"/>
                <w:szCs w:val="18"/>
                <w:color w:val="auto"/>
              </w:rPr>
              <w:t>S-1/A</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333-248428   10,7</w:t>
            </w:r>
          </w:p>
        </w:tc>
        <w:tc>
          <w:tcPr>
            <w:tcW w:w="1720" w:type="dxa"/>
            <w:vAlign w:val="bottom"/>
          </w:tcPr>
          <w:p>
            <w:pPr>
              <w:ind w:left="200"/>
              <w:spacing w:after="0"/>
              <w:rPr>
                <w:sz w:val="20"/>
                <w:szCs w:val="20"/>
                <w:color w:val="auto"/>
              </w:rPr>
            </w:pPr>
            <w:r>
              <w:rPr>
                <w:rFonts w:ascii="Arial" w:cs="Arial" w:eastAsia="Arial" w:hAnsi="Arial"/>
                <w:sz w:val="18"/>
                <w:szCs w:val="18"/>
                <w:color w:val="auto"/>
                <w:w w:val="97"/>
              </w:rPr>
              <w:t>September 9, 2020</w:t>
            </w:r>
          </w:p>
        </w:tc>
      </w:tr>
      <w:tr>
        <w:trPr>
          <w:trHeight w:val="183"/>
        </w:trPr>
        <w:tc>
          <w:tcPr>
            <w:tcW w:w="1040" w:type="dxa"/>
            <w:vAlign w:val="bottom"/>
          </w:tcPr>
          <w:p>
            <w:pPr>
              <w:spacing w:after="0"/>
              <w:rPr>
                <w:sz w:val="15"/>
                <w:szCs w:val="15"/>
                <w:color w:val="auto"/>
              </w:rPr>
            </w:pPr>
          </w:p>
        </w:tc>
        <w:tc>
          <w:tcPr>
            <w:tcW w:w="4740" w:type="dxa"/>
            <w:vAlign w:val="bottom"/>
            <w:gridSpan w:val="2"/>
          </w:tcPr>
          <w:p>
            <w:pPr>
              <w:spacing w:after="0" w:line="182" w:lineRule="exact"/>
              <w:rPr>
                <w:rFonts w:ascii="Arial" w:cs="Arial" w:eastAsia="Arial" w:hAnsi="Arial"/>
                <w:sz w:val="18"/>
                <w:szCs w:val="18"/>
                <w:color w:val="0000EE"/>
              </w:rPr>
            </w:pPr>
            <w:hyperlink r:id="rId364">
              <w:r>
                <w:rPr>
                  <w:rFonts w:ascii="Arial" w:cs="Arial" w:eastAsia="Arial" w:hAnsi="Arial"/>
                  <w:sz w:val="18"/>
                  <w:szCs w:val="18"/>
                  <w:color w:val="0000EE"/>
                </w:rPr>
                <w:t>Equity Incentive Plan</w:t>
              </w:r>
            </w:hyperlink>
          </w:p>
        </w:tc>
        <w:tc>
          <w:tcPr>
            <w:tcW w:w="10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12" w:lineRule="exact"/>
        <w:rPr>
          <w:sz w:val="20"/>
          <w:szCs w:val="20"/>
          <w:color w:val="auto"/>
        </w:rPr>
      </w:pPr>
    </w:p>
    <w:p>
      <w:pPr>
        <w:sectPr>
          <w:pgSz w:w="11900" w:h="16838" w:orient="portrait"/>
          <w:cols w:equalWidth="0" w:num="1">
            <w:col w:w="11240"/>
          </w:cols>
          <w:pgMar w:left="320" w:top="358" w:right="339" w:bottom="1440" w:gutter="0" w:footer="0" w:header="0"/>
          <w:type w:val="continuous"/>
        </w:sectPr>
      </w:pPr>
    </w:p>
    <w:p>
      <w:pPr>
        <w:spacing w:after="0"/>
        <w:rPr>
          <w:sz w:val="20"/>
          <w:szCs w:val="20"/>
          <w:color w:val="auto"/>
        </w:rPr>
      </w:pPr>
      <w:r>
        <w:rPr>
          <w:rFonts w:ascii="Arial" w:cs="Arial" w:eastAsia="Arial" w:hAnsi="Arial"/>
          <w:sz w:val="18"/>
          <w:szCs w:val="18"/>
          <w:color w:val="auto"/>
        </w:rPr>
        <w:t>10.8+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5040" w:type="dxa"/>
            <w:vAlign w:val="bottom"/>
            <w:gridSpan w:val="6"/>
          </w:tcPr>
          <w:p>
            <w:pPr>
              <w:spacing w:after="0"/>
              <w:rPr>
                <w:rFonts w:ascii="Arial" w:cs="Arial" w:eastAsia="Arial" w:hAnsi="Arial"/>
                <w:sz w:val="18"/>
                <w:szCs w:val="18"/>
                <w:u w:val="single" w:color="auto"/>
                <w:color w:val="0000EE"/>
              </w:rPr>
            </w:pPr>
            <w:hyperlink r:id="rId365">
              <w:r>
                <w:rPr>
                  <w:rFonts w:ascii="Arial" w:cs="Arial" w:eastAsia="Arial" w:hAnsi="Arial"/>
                  <w:sz w:val="18"/>
                  <w:szCs w:val="18"/>
                  <w:u w:val="single" w:color="auto"/>
                  <w:color w:val="0000EE"/>
                </w:rPr>
                <w:t>Form of RSU Agreement under the 2020 Equity Incentive Plan</w:t>
              </w:r>
            </w:hyperlink>
          </w:p>
        </w:tc>
        <w:tc>
          <w:tcPr>
            <w:tcW w:w="760" w:type="dxa"/>
            <w:vAlign w:val="bottom"/>
          </w:tcPr>
          <w:p>
            <w:pPr>
              <w:ind w:left="60"/>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720" w:type="dxa"/>
            <w:vAlign w:val="bottom"/>
          </w:tcPr>
          <w:p>
            <w:pPr>
              <w:ind w:left="120"/>
              <w:spacing w:after="0"/>
              <w:rPr>
                <w:sz w:val="20"/>
                <w:szCs w:val="20"/>
                <w:color w:val="auto"/>
              </w:rPr>
            </w:pPr>
            <w:r>
              <w:rPr>
                <w:rFonts w:ascii="Arial" w:cs="Arial" w:eastAsia="Arial" w:hAnsi="Arial"/>
                <w:sz w:val="18"/>
                <w:szCs w:val="18"/>
                <w:color w:val="auto"/>
              </w:rPr>
              <w:t>10.8</w:t>
            </w:r>
          </w:p>
        </w:tc>
        <w:tc>
          <w:tcPr>
            <w:tcW w:w="1660" w:type="dxa"/>
            <w:vAlign w:val="bottom"/>
          </w:tcPr>
          <w:p>
            <w:pPr>
              <w:ind w:left="140"/>
              <w:spacing w:after="0"/>
              <w:rPr>
                <w:sz w:val="20"/>
                <w:szCs w:val="20"/>
                <w:color w:val="auto"/>
              </w:rPr>
            </w:pPr>
            <w:r>
              <w:rPr>
                <w:rFonts w:ascii="Arial" w:cs="Arial" w:eastAsia="Arial" w:hAnsi="Arial"/>
                <w:sz w:val="18"/>
                <w:szCs w:val="18"/>
                <w:color w:val="auto"/>
                <w:w w:val="97"/>
              </w:rPr>
              <w:t>September 9, 2020</w:t>
            </w:r>
          </w:p>
        </w:tc>
      </w:tr>
      <w:tr>
        <w:trPr>
          <w:trHeight w:val="293"/>
        </w:trPr>
        <w:tc>
          <w:tcPr>
            <w:tcW w:w="4300" w:type="dxa"/>
            <w:vAlign w:val="bottom"/>
            <w:tcBorders>
              <w:bottom w:val="single" w:sz="8" w:color="0000EE"/>
            </w:tcBorders>
            <w:gridSpan w:val="4"/>
          </w:tcPr>
          <w:p>
            <w:pPr>
              <w:spacing w:after="0"/>
              <w:rPr>
                <w:rFonts w:ascii="Arial" w:cs="Arial" w:eastAsia="Arial" w:hAnsi="Arial"/>
                <w:sz w:val="18"/>
                <w:szCs w:val="18"/>
                <w:color w:val="0000EE"/>
                <w:w w:val="99"/>
              </w:rPr>
            </w:pPr>
            <w:hyperlink r:id="rId366">
              <w:r>
                <w:rPr>
                  <w:rFonts w:ascii="Arial" w:cs="Arial" w:eastAsia="Arial" w:hAnsi="Arial"/>
                  <w:sz w:val="18"/>
                  <w:szCs w:val="18"/>
                  <w:color w:val="0000EE"/>
                  <w:w w:val="99"/>
                </w:rPr>
                <w:t>Amended and Restated Standard Exclusive Licensing</w:t>
              </w:r>
            </w:hyperlink>
          </w:p>
        </w:tc>
        <w:tc>
          <w:tcPr>
            <w:tcW w:w="740" w:type="dxa"/>
            <w:vAlign w:val="bottom"/>
            <w:gridSpan w:val="2"/>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S-1</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720" w:type="dxa"/>
            <w:vAlign w:val="bottom"/>
          </w:tcPr>
          <w:p>
            <w:pPr>
              <w:ind w:left="120"/>
              <w:spacing w:after="0"/>
              <w:rPr>
                <w:sz w:val="20"/>
                <w:szCs w:val="20"/>
                <w:color w:val="auto"/>
              </w:rPr>
            </w:pPr>
            <w:r>
              <w:rPr>
                <w:rFonts w:ascii="Arial" w:cs="Arial" w:eastAsia="Arial" w:hAnsi="Arial"/>
                <w:sz w:val="18"/>
                <w:szCs w:val="18"/>
                <w:color w:val="auto"/>
              </w:rPr>
              <w:t>10.9</w:t>
            </w:r>
          </w:p>
        </w:tc>
        <w:tc>
          <w:tcPr>
            <w:tcW w:w="1660" w:type="dxa"/>
            <w:vAlign w:val="bottom"/>
          </w:tcPr>
          <w:p>
            <w:pPr>
              <w:ind w:left="140"/>
              <w:spacing w:after="0"/>
              <w:rPr>
                <w:sz w:val="20"/>
                <w:szCs w:val="20"/>
                <w:color w:val="auto"/>
              </w:rPr>
            </w:pPr>
            <w:r>
              <w:rPr>
                <w:rFonts w:ascii="Arial" w:cs="Arial" w:eastAsia="Arial" w:hAnsi="Arial"/>
                <w:sz w:val="18"/>
                <w:szCs w:val="18"/>
                <w:color w:val="auto"/>
              </w:rPr>
              <w:t>August 26, 2020</w:t>
            </w:r>
          </w:p>
        </w:tc>
      </w:tr>
      <w:tr>
        <w:trPr>
          <w:trHeight w:val="182"/>
        </w:trPr>
        <w:tc>
          <w:tcPr>
            <w:tcW w:w="5040" w:type="dxa"/>
            <w:vAlign w:val="bottom"/>
            <w:gridSpan w:val="6"/>
          </w:tcPr>
          <w:p>
            <w:pPr>
              <w:spacing w:after="0" w:line="182" w:lineRule="exact"/>
              <w:rPr>
                <w:rFonts w:ascii="Arial" w:cs="Arial" w:eastAsia="Arial" w:hAnsi="Arial"/>
                <w:sz w:val="18"/>
                <w:szCs w:val="18"/>
                <w:color w:val="0000EE"/>
              </w:rPr>
            </w:pPr>
            <w:hyperlink r:id="rId366">
              <w:r>
                <w:rPr>
                  <w:rFonts w:ascii="Arial" w:cs="Arial" w:eastAsia="Arial" w:hAnsi="Arial"/>
                  <w:sz w:val="18"/>
                  <w:szCs w:val="18"/>
                  <w:color w:val="0000EE"/>
                </w:rPr>
                <w:t>Agreement with Sublicensing Terms, dated October 28, 2015,</w:t>
              </w:r>
            </w:hyperlink>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49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366">
              <w:r>
                <w:rPr>
                  <w:rFonts w:ascii="Arial" w:cs="Arial" w:eastAsia="Arial" w:hAnsi="Arial"/>
                  <w:sz w:val="18"/>
                  <w:szCs w:val="18"/>
                  <w:color w:val="0000EE"/>
                </w:rPr>
                <w:t>by and between the Registrant and Washington State</w:t>
              </w:r>
            </w:hyperlink>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426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r:id="rId366">
              <w:r>
                <w:rPr>
                  <w:rFonts w:ascii="Arial" w:cs="Arial" w:eastAsia="Arial" w:hAnsi="Arial"/>
                  <w:sz w:val="18"/>
                  <w:szCs w:val="18"/>
                  <w:color w:val="0000EE"/>
                </w:rPr>
                <w:t>University, and amendments thereto</w:t>
              </w:r>
            </w:hyperlink>
          </w:p>
        </w:tc>
        <w:tc>
          <w:tcPr>
            <w:tcW w:w="78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0"/>
        </w:trPr>
        <w:tc>
          <w:tcPr>
            <w:tcW w:w="28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04"/>
        </w:trPr>
        <w:tc>
          <w:tcPr>
            <w:tcW w:w="5040" w:type="dxa"/>
            <w:vAlign w:val="bottom"/>
            <w:gridSpan w:val="6"/>
          </w:tcPr>
          <w:p>
            <w:pPr>
              <w:spacing w:after="0"/>
              <w:rPr>
                <w:rFonts w:ascii="Arial" w:cs="Arial" w:eastAsia="Arial" w:hAnsi="Arial"/>
                <w:sz w:val="18"/>
                <w:szCs w:val="18"/>
                <w:color w:val="0000EE"/>
              </w:rPr>
            </w:pPr>
            <w:hyperlink r:id="rId367">
              <w:r>
                <w:rPr>
                  <w:rFonts w:ascii="Arial" w:cs="Arial" w:eastAsia="Arial" w:hAnsi="Arial"/>
                  <w:sz w:val="18"/>
                  <w:szCs w:val="18"/>
                  <w:color w:val="0000EE"/>
                </w:rPr>
                <w:t>2020 Employee Stock Purchase Plan and Form of</w:t>
              </w:r>
            </w:hyperlink>
          </w:p>
        </w:tc>
        <w:tc>
          <w:tcPr>
            <w:tcW w:w="760" w:type="dxa"/>
            <w:vAlign w:val="bottom"/>
          </w:tcPr>
          <w:p>
            <w:pPr>
              <w:ind w:left="60"/>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720" w:type="dxa"/>
            <w:vAlign w:val="bottom"/>
          </w:tcPr>
          <w:p>
            <w:pPr>
              <w:ind w:left="120"/>
              <w:spacing w:after="0"/>
              <w:rPr>
                <w:sz w:val="20"/>
                <w:szCs w:val="20"/>
                <w:color w:val="auto"/>
              </w:rPr>
            </w:pPr>
            <w:r>
              <w:rPr>
                <w:rFonts w:ascii="Arial" w:cs="Arial" w:eastAsia="Arial" w:hAnsi="Arial"/>
                <w:sz w:val="18"/>
                <w:szCs w:val="18"/>
                <w:color w:val="auto"/>
              </w:rPr>
              <w:t>10.10</w:t>
            </w:r>
          </w:p>
        </w:tc>
        <w:tc>
          <w:tcPr>
            <w:tcW w:w="1660" w:type="dxa"/>
            <w:vAlign w:val="bottom"/>
          </w:tcPr>
          <w:p>
            <w:pPr>
              <w:ind w:left="140"/>
              <w:spacing w:after="0"/>
              <w:rPr>
                <w:sz w:val="20"/>
                <w:szCs w:val="20"/>
                <w:color w:val="auto"/>
              </w:rPr>
            </w:pPr>
            <w:r>
              <w:rPr>
                <w:rFonts w:ascii="Arial" w:cs="Arial" w:eastAsia="Arial" w:hAnsi="Arial"/>
                <w:sz w:val="18"/>
                <w:szCs w:val="18"/>
                <w:color w:val="auto"/>
                <w:w w:val="97"/>
              </w:rPr>
              <w:t>September 9, 2020</w:t>
            </w:r>
          </w:p>
        </w:tc>
      </w:tr>
      <w:tr>
        <w:trPr>
          <w:trHeight w:val="183"/>
        </w:trPr>
        <w:tc>
          <w:tcPr>
            <w:tcW w:w="400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r:id="rId367">
              <w:r>
                <w:rPr>
                  <w:rFonts w:ascii="Arial" w:cs="Arial" w:eastAsia="Arial" w:hAnsi="Arial"/>
                  <w:sz w:val="18"/>
                  <w:szCs w:val="18"/>
                  <w:color w:val="0000EE"/>
                </w:rPr>
                <w:t>Subscription Agreement Thereunder.</w:t>
              </w:r>
            </w:hyperlink>
          </w:p>
        </w:tc>
        <w:tc>
          <w:tcPr>
            <w:tcW w:w="104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0"/>
        </w:trPr>
        <w:tc>
          <w:tcPr>
            <w:tcW w:w="288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112" w:lineRule="exact"/>
        <w:rPr>
          <w:sz w:val="20"/>
          <w:szCs w:val="20"/>
          <w:color w:val="auto"/>
        </w:rPr>
      </w:pPr>
    </w:p>
    <w:p>
      <w:pPr>
        <w:sectPr>
          <w:pgSz w:w="11900" w:h="16838" w:orient="portrait"/>
          <w:cols w:equalWidth="0" w:num="2">
            <w:col w:w="560" w:space="480"/>
            <w:col w:w="10200"/>
          </w:cols>
          <w:pgMar w:left="320" w:top="358" w:right="339" w:bottom="1440" w:gutter="0" w:footer="0" w:header="0"/>
          <w:type w:val="continuous"/>
        </w:sectPr>
      </w:pPr>
    </w:p>
    <w:p>
      <w:pPr>
        <w:ind w:left="1040" w:right="700" w:hanging="1038"/>
        <w:spacing w:after="0" w:line="276"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368">
        <w:r>
          <w:rPr>
            <w:rFonts w:ascii="Arial" w:cs="Arial" w:eastAsia="Arial" w:hAnsi="Arial"/>
            <w:sz w:val="18"/>
            <w:szCs w:val="18"/>
            <w:u w:val="single" w:color="auto"/>
            <w:color w:val="0000EE"/>
          </w:rPr>
          <w:t xml:space="preserve">Lease agreement, dated July 20, 2020, by and between the </w:t>
        </w:r>
      </w:hyperlink>
      <w:r>
        <w:rPr>
          <w:rFonts w:ascii="Arial" w:cs="Arial" w:eastAsia="Arial" w:hAnsi="Arial"/>
          <w:sz w:val="18"/>
          <w:szCs w:val="18"/>
          <w:color w:val="000000"/>
        </w:rPr>
        <w:t>S-1/A 333-248428 10.11 September 9, 2020</w:t>
      </w:r>
      <w:r>
        <w:rPr>
          <w:rFonts w:ascii="Arial" w:cs="Arial" w:eastAsia="Arial" w:hAnsi="Arial"/>
          <w:sz w:val="18"/>
          <w:szCs w:val="18"/>
          <w:u w:val="single" w:color="auto"/>
          <w:color w:val="0000EE"/>
        </w:rPr>
        <w:t xml:space="preserve"> </w:t>
      </w:r>
      <w:hyperlink r:id="rId368">
        <w:r>
          <w:rPr>
            <w:rFonts w:ascii="Arial" w:cs="Arial" w:eastAsia="Arial" w:hAnsi="Arial"/>
            <w:sz w:val="18"/>
            <w:szCs w:val="18"/>
            <w:u w:val="single" w:color="auto"/>
            <w:color w:val="0000EE"/>
          </w:rPr>
          <w:t>Registrant and North Creek Parkway Center Investors, LP</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255" w:name="page256"/>
    <w:bookmarkEnd w:id="255"/>
    <w:tbl>
      <w:tblPr>
        <w:tblLayout w:type="fixed"/>
        <w:tblInd w:w="0" w:type="dxa"/>
        <w:tblCellMar>
          <w:top w:w="0" w:type="dxa"/>
          <w:left w:w="0" w:type="dxa"/>
          <w:bottom w:w="0" w:type="dxa"/>
          <w:right w:w="0" w:type="dxa"/>
        </w:tblCellMar>
      </w:tblPr>
      <w:tr>
        <w:trPr>
          <w:trHeight w:val="243"/>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4880" w:type="dxa"/>
            <w:vAlign w:val="bottom"/>
            <w:gridSpan w:val="17"/>
          </w:tcPr>
          <w:p>
            <w:pPr>
              <w:spacing w:after="0"/>
              <w:rPr>
                <w:rFonts w:ascii="Arial" w:cs="Arial" w:eastAsia="Arial" w:hAnsi="Arial"/>
                <w:sz w:val="18"/>
                <w:szCs w:val="18"/>
                <w:u w:val="single" w:color="auto"/>
                <w:color w:val="0000EE"/>
              </w:rPr>
            </w:pPr>
            <w:hyperlink r:id="rId370">
              <w:r>
                <w:rPr>
                  <w:rFonts w:ascii="Arial" w:cs="Arial" w:eastAsia="Arial" w:hAnsi="Arial"/>
                  <w:sz w:val="18"/>
                  <w:szCs w:val="18"/>
                  <w:u w:val="single" w:color="auto"/>
                  <w:color w:val="0000EE"/>
                </w:rPr>
                <w:t>Outside Director Compensation Policy</w:t>
              </w:r>
            </w:hyperlink>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4880" w:type="dxa"/>
            <w:vAlign w:val="bottom"/>
            <w:gridSpan w:val="17"/>
          </w:tcPr>
          <w:p>
            <w:pPr>
              <w:spacing w:after="0"/>
              <w:rPr>
                <w:rFonts w:ascii="Arial" w:cs="Arial" w:eastAsia="Arial" w:hAnsi="Arial"/>
                <w:sz w:val="18"/>
                <w:szCs w:val="18"/>
                <w:u w:val="single" w:color="auto"/>
                <w:color w:val="0000EE"/>
              </w:rPr>
            </w:pPr>
            <w:hyperlink r:id="rId371">
              <w:r>
                <w:rPr>
                  <w:rFonts w:ascii="Arial" w:cs="Arial" w:eastAsia="Arial" w:hAnsi="Arial"/>
                  <w:sz w:val="18"/>
                  <w:szCs w:val="18"/>
                  <w:u w:val="single" w:color="auto"/>
                  <w:color w:val="0000EE"/>
                </w:rPr>
                <w:t>Executive Incentive Compensation Plan</w:t>
              </w:r>
            </w:hyperlink>
          </w:p>
        </w:tc>
      </w:tr>
      <w:tr>
        <w:trPr>
          <w:trHeight w:val="293"/>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4880" w:type="dxa"/>
            <w:vAlign w:val="bottom"/>
            <w:gridSpan w:val="17"/>
          </w:tcPr>
          <w:p>
            <w:pPr>
              <w:spacing w:after="0"/>
              <w:rPr>
                <w:rFonts w:ascii="Arial" w:cs="Arial" w:eastAsia="Arial" w:hAnsi="Arial"/>
                <w:sz w:val="18"/>
                <w:szCs w:val="18"/>
                <w:color w:val="0000EE"/>
              </w:rPr>
            </w:pPr>
            <w:hyperlink r:id="rId372">
              <w:r>
                <w:rPr>
                  <w:rFonts w:ascii="Arial" w:cs="Arial" w:eastAsia="Arial" w:hAnsi="Arial"/>
                  <w:sz w:val="18"/>
                  <w:szCs w:val="18"/>
                  <w:color w:val="0000EE"/>
                </w:rPr>
                <w:t>Confirmatory Employment Letter between the Registrant and</w:t>
              </w:r>
            </w:hyperlink>
          </w:p>
        </w:tc>
      </w:tr>
      <w:tr>
        <w:trPr>
          <w:trHeight w:val="183"/>
        </w:trPr>
        <w:tc>
          <w:tcPr>
            <w:tcW w:w="1040" w:type="dxa"/>
            <w:vAlign w:val="bottom"/>
          </w:tcPr>
          <w:p>
            <w:pPr>
              <w:spacing w:after="0"/>
              <w:rPr>
                <w:sz w:val="15"/>
                <w:szCs w:val="15"/>
                <w:color w:val="auto"/>
              </w:rPr>
            </w:pPr>
          </w:p>
        </w:tc>
        <w:tc>
          <w:tcPr>
            <w:tcW w:w="48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372">
              <w:r>
                <w:rPr>
                  <w:rFonts w:ascii="Arial" w:cs="Arial" w:eastAsia="Arial" w:hAnsi="Arial"/>
                  <w:sz w:val="18"/>
                  <w:szCs w:val="18"/>
                  <w:color w:val="0000EE"/>
                </w:rPr>
                <w:t>Leen Kawas, Ph.D.</w:t>
              </w:r>
            </w:hyperlink>
          </w:p>
        </w:tc>
        <w:tc>
          <w:tcPr>
            <w:tcW w:w="4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4880" w:type="dxa"/>
            <w:vAlign w:val="bottom"/>
            <w:gridSpan w:val="17"/>
          </w:tcPr>
          <w:p>
            <w:pPr>
              <w:spacing w:after="0"/>
              <w:rPr>
                <w:rFonts w:ascii="Arial" w:cs="Arial" w:eastAsia="Arial" w:hAnsi="Arial"/>
                <w:sz w:val="18"/>
                <w:szCs w:val="18"/>
                <w:color w:val="0000EE"/>
              </w:rPr>
            </w:pPr>
            <w:hyperlink r:id="rId373">
              <w:r>
                <w:rPr>
                  <w:rFonts w:ascii="Arial" w:cs="Arial" w:eastAsia="Arial" w:hAnsi="Arial"/>
                  <w:sz w:val="18"/>
                  <w:szCs w:val="18"/>
                  <w:color w:val="0000EE"/>
                </w:rPr>
                <w:t>Confirmatory Employment Letter between the Registrant and</w:t>
              </w:r>
            </w:hyperlink>
          </w:p>
        </w:tc>
      </w:tr>
      <w:tr>
        <w:trPr>
          <w:trHeight w:val="183"/>
        </w:trPr>
        <w:tc>
          <w:tcPr>
            <w:tcW w:w="1040" w:type="dxa"/>
            <w:vAlign w:val="bottom"/>
          </w:tcPr>
          <w:p>
            <w:pPr>
              <w:spacing w:after="0"/>
              <w:rPr>
                <w:sz w:val="15"/>
                <w:szCs w:val="15"/>
                <w:color w:val="auto"/>
              </w:rPr>
            </w:pPr>
          </w:p>
        </w:tc>
        <w:tc>
          <w:tcPr>
            <w:tcW w:w="48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373">
              <w:r>
                <w:rPr>
                  <w:rFonts w:ascii="Arial" w:cs="Arial" w:eastAsia="Arial" w:hAnsi="Arial"/>
                  <w:sz w:val="18"/>
                  <w:szCs w:val="18"/>
                  <w:color w:val="0000EE"/>
                </w:rPr>
                <w:t>Mark Litton, Ph.D.</w:t>
              </w:r>
            </w:hyperlink>
          </w:p>
        </w:tc>
        <w:tc>
          <w:tcPr>
            <w:tcW w:w="4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4880" w:type="dxa"/>
            <w:vAlign w:val="bottom"/>
            <w:gridSpan w:val="17"/>
          </w:tcPr>
          <w:p>
            <w:pPr>
              <w:spacing w:after="0"/>
              <w:rPr>
                <w:rFonts w:ascii="Arial" w:cs="Arial" w:eastAsia="Arial" w:hAnsi="Arial"/>
                <w:sz w:val="18"/>
                <w:szCs w:val="18"/>
                <w:color w:val="0000EE"/>
              </w:rPr>
            </w:pPr>
            <w:hyperlink r:id="rId374">
              <w:r>
                <w:rPr>
                  <w:rFonts w:ascii="Arial" w:cs="Arial" w:eastAsia="Arial" w:hAnsi="Arial"/>
                  <w:sz w:val="18"/>
                  <w:szCs w:val="18"/>
                  <w:color w:val="0000EE"/>
                </w:rPr>
                <w:t>Confirmatory Employment Letter between the Registrant and</w:t>
              </w:r>
            </w:hyperlink>
          </w:p>
        </w:tc>
      </w:tr>
      <w:tr>
        <w:trPr>
          <w:trHeight w:val="183"/>
        </w:trPr>
        <w:tc>
          <w:tcPr>
            <w:tcW w:w="1040" w:type="dxa"/>
            <w:vAlign w:val="bottom"/>
          </w:tcPr>
          <w:p>
            <w:pPr>
              <w:spacing w:after="0"/>
              <w:rPr>
                <w:sz w:val="15"/>
                <w:szCs w:val="15"/>
                <w:color w:val="auto"/>
              </w:rPr>
            </w:pPr>
          </w:p>
        </w:tc>
        <w:tc>
          <w:tcPr>
            <w:tcW w:w="16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374">
              <w:r>
                <w:rPr>
                  <w:rFonts w:ascii="Arial" w:cs="Arial" w:eastAsia="Arial" w:hAnsi="Arial"/>
                  <w:sz w:val="18"/>
                  <w:szCs w:val="18"/>
                  <w:color w:val="0000EE"/>
                  <w:w w:val="99"/>
                </w:rPr>
                <w:t>Kevin Church, Ph.D.</w:t>
              </w:r>
            </w:hyperlink>
          </w:p>
        </w:tc>
        <w:tc>
          <w:tcPr>
            <w:tcW w:w="3200" w:type="dxa"/>
            <w:vAlign w:val="bottom"/>
            <w:tcBorders>
              <w:top w:val="single" w:sz="8" w:color="0000EE"/>
            </w:tcBorders>
            <w:gridSpan w:val="11"/>
          </w:tcPr>
          <w:p>
            <w:pPr>
              <w:spacing w:after="0"/>
              <w:rPr>
                <w:sz w:val="15"/>
                <w:szCs w:val="15"/>
                <w:color w:val="auto"/>
              </w:rPr>
            </w:pPr>
          </w:p>
        </w:tc>
        <w:tc>
          <w:tcPr>
            <w:tcW w:w="40" w:type="dxa"/>
            <w:vAlign w:val="bottom"/>
          </w:tcPr>
          <w:p>
            <w:pPr>
              <w:spacing w:after="0"/>
              <w:rPr>
                <w:sz w:val="15"/>
                <w:szCs w:val="15"/>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4880" w:type="dxa"/>
            <w:vAlign w:val="bottom"/>
            <w:gridSpan w:val="17"/>
          </w:tcPr>
          <w:p>
            <w:pPr>
              <w:spacing w:after="0"/>
              <w:rPr>
                <w:rFonts w:ascii="Arial" w:cs="Arial" w:eastAsia="Arial" w:hAnsi="Arial"/>
                <w:sz w:val="18"/>
                <w:szCs w:val="18"/>
                <w:color w:val="0000EE"/>
              </w:rPr>
            </w:pPr>
            <w:hyperlink r:id="rId375">
              <w:r>
                <w:rPr>
                  <w:rFonts w:ascii="Arial" w:cs="Arial" w:eastAsia="Arial" w:hAnsi="Arial"/>
                  <w:sz w:val="18"/>
                  <w:szCs w:val="18"/>
                  <w:color w:val="0000EE"/>
                </w:rPr>
                <w:t>Confirmatory Employment Letter between the Registrant and</w:t>
              </w:r>
            </w:hyperlink>
          </w:p>
        </w:tc>
      </w:tr>
      <w:tr>
        <w:trPr>
          <w:trHeight w:val="183"/>
        </w:trPr>
        <w:tc>
          <w:tcPr>
            <w:tcW w:w="104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375">
              <w:r>
                <w:rPr>
                  <w:rFonts w:ascii="Arial" w:cs="Arial" w:eastAsia="Arial" w:hAnsi="Arial"/>
                  <w:sz w:val="18"/>
                  <w:szCs w:val="18"/>
                  <w:color w:val="0000EE"/>
                  <w:w w:val="99"/>
                </w:rPr>
                <w:t>Glenna Mileson</w:t>
              </w:r>
            </w:hyperlink>
          </w:p>
        </w:tc>
        <w:tc>
          <w:tcPr>
            <w:tcW w:w="3580" w:type="dxa"/>
            <w:vAlign w:val="bottom"/>
            <w:tcBorders>
              <w:top w:val="single" w:sz="8" w:color="0000EE"/>
            </w:tcBorders>
            <w:gridSpan w:val="14"/>
          </w:tcPr>
          <w:p>
            <w:pPr>
              <w:spacing w:after="0"/>
              <w:rPr>
                <w:sz w:val="15"/>
                <w:szCs w:val="15"/>
                <w:color w:val="auto"/>
              </w:rPr>
            </w:pPr>
          </w:p>
        </w:tc>
        <w:tc>
          <w:tcPr>
            <w:tcW w:w="40" w:type="dxa"/>
            <w:vAlign w:val="bottom"/>
          </w:tcPr>
          <w:p>
            <w:pPr>
              <w:spacing w:after="0"/>
              <w:rPr>
                <w:sz w:val="15"/>
                <w:szCs w:val="15"/>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4880" w:type="dxa"/>
            <w:vAlign w:val="bottom"/>
            <w:gridSpan w:val="17"/>
          </w:tcPr>
          <w:p>
            <w:pPr>
              <w:spacing w:after="0"/>
              <w:rPr>
                <w:rFonts w:ascii="Arial" w:cs="Arial" w:eastAsia="Arial" w:hAnsi="Arial"/>
                <w:sz w:val="18"/>
                <w:szCs w:val="18"/>
                <w:color w:val="0000EE"/>
              </w:rPr>
            </w:pPr>
            <w:hyperlink r:id="rId376">
              <w:r>
                <w:rPr>
                  <w:rFonts w:ascii="Arial" w:cs="Arial" w:eastAsia="Arial" w:hAnsi="Arial"/>
                  <w:sz w:val="18"/>
                  <w:szCs w:val="18"/>
                  <w:color w:val="0000EE"/>
                </w:rPr>
                <w:t>Change in Control and Severance Agreement between the</w:t>
              </w:r>
            </w:hyperlink>
          </w:p>
        </w:tc>
      </w:tr>
      <w:tr>
        <w:trPr>
          <w:trHeight w:val="183"/>
        </w:trPr>
        <w:tc>
          <w:tcPr>
            <w:tcW w:w="1040" w:type="dxa"/>
            <w:vAlign w:val="bottom"/>
          </w:tcPr>
          <w:p>
            <w:pPr>
              <w:spacing w:after="0"/>
              <w:rPr>
                <w:sz w:val="15"/>
                <w:szCs w:val="15"/>
                <w:color w:val="auto"/>
              </w:rPr>
            </w:pPr>
          </w:p>
        </w:tc>
        <w:tc>
          <w:tcPr>
            <w:tcW w:w="468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376">
              <w:r>
                <w:rPr>
                  <w:rFonts w:ascii="Arial" w:cs="Arial" w:eastAsia="Arial" w:hAnsi="Arial"/>
                  <w:sz w:val="18"/>
                  <w:szCs w:val="18"/>
                  <w:color w:val="0000EE"/>
                </w:rPr>
                <w:t>Registrant and Leen Kawas, Ph.D.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4880" w:type="dxa"/>
            <w:vAlign w:val="bottom"/>
            <w:gridSpan w:val="17"/>
          </w:tcPr>
          <w:p>
            <w:pPr>
              <w:spacing w:after="0"/>
              <w:rPr>
                <w:rFonts w:ascii="Arial" w:cs="Arial" w:eastAsia="Arial" w:hAnsi="Arial"/>
                <w:sz w:val="18"/>
                <w:szCs w:val="18"/>
                <w:color w:val="0000EE"/>
              </w:rPr>
            </w:pPr>
            <w:hyperlink r:id="rId377">
              <w:r>
                <w:rPr>
                  <w:rFonts w:ascii="Arial" w:cs="Arial" w:eastAsia="Arial" w:hAnsi="Arial"/>
                  <w:sz w:val="18"/>
                  <w:szCs w:val="18"/>
                  <w:color w:val="0000EE"/>
                </w:rPr>
                <w:t>Change in Control and Severance Agreement between the</w:t>
              </w:r>
            </w:hyperlink>
          </w:p>
        </w:tc>
      </w:tr>
      <w:tr>
        <w:trPr>
          <w:trHeight w:val="183"/>
        </w:trPr>
        <w:tc>
          <w:tcPr>
            <w:tcW w:w="1040" w:type="dxa"/>
            <w:vAlign w:val="bottom"/>
          </w:tcPr>
          <w:p>
            <w:pPr>
              <w:spacing w:after="0"/>
              <w:rPr>
                <w:sz w:val="15"/>
                <w:szCs w:val="15"/>
                <w:color w:val="auto"/>
              </w:rPr>
            </w:pPr>
          </w:p>
        </w:tc>
        <w:tc>
          <w:tcPr>
            <w:tcW w:w="468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377">
              <w:r>
                <w:rPr>
                  <w:rFonts w:ascii="Arial" w:cs="Arial" w:eastAsia="Arial" w:hAnsi="Arial"/>
                  <w:sz w:val="18"/>
                  <w:szCs w:val="18"/>
                  <w:color w:val="0000EE"/>
                </w:rPr>
                <w:t>Registrant and Mark Litton, Ph.D.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4880" w:type="dxa"/>
            <w:vAlign w:val="bottom"/>
            <w:gridSpan w:val="17"/>
          </w:tcPr>
          <w:p>
            <w:pPr>
              <w:spacing w:after="0"/>
              <w:rPr>
                <w:rFonts w:ascii="Arial" w:cs="Arial" w:eastAsia="Arial" w:hAnsi="Arial"/>
                <w:sz w:val="18"/>
                <w:szCs w:val="18"/>
                <w:color w:val="0000EE"/>
              </w:rPr>
            </w:pPr>
            <w:hyperlink r:id="rId378">
              <w:r>
                <w:rPr>
                  <w:rFonts w:ascii="Arial" w:cs="Arial" w:eastAsia="Arial" w:hAnsi="Arial"/>
                  <w:sz w:val="18"/>
                  <w:szCs w:val="18"/>
                  <w:color w:val="0000EE"/>
                </w:rPr>
                <w:t>Change in Control and Severance Agreement between the</w:t>
              </w:r>
            </w:hyperlink>
          </w:p>
        </w:tc>
      </w:tr>
      <w:tr>
        <w:trPr>
          <w:trHeight w:val="183"/>
        </w:trPr>
        <w:tc>
          <w:tcPr>
            <w:tcW w:w="104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378">
              <w:r>
                <w:rPr>
                  <w:rFonts w:ascii="Arial" w:cs="Arial" w:eastAsia="Arial" w:hAnsi="Arial"/>
                  <w:sz w:val="18"/>
                  <w:szCs w:val="18"/>
                  <w:color w:val="0000EE"/>
                  <w:w w:val="99"/>
                </w:rPr>
                <w:t>Registrant and Glenna Mileson</w:t>
              </w:r>
            </w:hyperlink>
          </w:p>
        </w:tc>
        <w:tc>
          <w:tcPr>
            <w:tcW w:w="220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4880" w:type="dxa"/>
            <w:vAlign w:val="bottom"/>
            <w:gridSpan w:val="17"/>
          </w:tcPr>
          <w:p>
            <w:pPr>
              <w:spacing w:after="0"/>
              <w:rPr>
                <w:rFonts w:ascii="Arial" w:cs="Arial" w:eastAsia="Arial" w:hAnsi="Arial"/>
                <w:sz w:val="18"/>
                <w:szCs w:val="18"/>
                <w:color w:val="0000EE"/>
              </w:rPr>
            </w:pPr>
            <w:hyperlink r:id="rId379">
              <w:r>
                <w:rPr>
                  <w:rFonts w:ascii="Arial" w:cs="Arial" w:eastAsia="Arial" w:hAnsi="Arial"/>
                  <w:sz w:val="18"/>
                  <w:szCs w:val="18"/>
                  <w:color w:val="0000EE"/>
                </w:rPr>
                <w:t>Employment Offer Letter between the Registrant and Hans</w:t>
              </w:r>
            </w:hyperlink>
          </w:p>
        </w:tc>
      </w:tr>
      <w:tr>
        <w:trPr>
          <w:trHeight w:val="183"/>
        </w:trPr>
        <w:tc>
          <w:tcPr>
            <w:tcW w:w="1040" w:type="dxa"/>
            <w:vAlign w:val="bottom"/>
          </w:tcPr>
          <w:p>
            <w:pPr>
              <w:spacing w:after="0"/>
              <w:rPr>
                <w:sz w:val="15"/>
                <w:szCs w:val="15"/>
                <w:color w:val="auto"/>
              </w:rPr>
            </w:pPr>
          </w:p>
        </w:tc>
        <w:tc>
          <w:tcPr>
            <w:tcW w:w="12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r:id="rId379">
              <w:r>
                <w:rPr>
                  <w:rFonts w:ascii="Arial" w:cs="Arial" w:eastAsia="Arial" w:hAnsi="Arial"/>
                  <w:sz w:val="18"/>
                  <w:szCs w:val="18"/>
                  <w:color w:val="0000EE"/>
                  <w:w w:val="99"/>
                </w:rPr>
                <w:t>Moebius, Ph.D.</w:t>
              </w:r>
            </w:hyperlink>
          </w:p>
        </w:tc>
        <w:tc>
          <w:tcPr>
            <w:tcW w:w="346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10.22+</w:t>
            </w:r>
          </w:p>
        </w:tc>
        <w:tc>
          <w:tcPr>
            <w:tcW w:w="4880" w:type="dxa"/>
            <w:vAlign w:val="bottom"/>
            <w:gridSpan w:val="17"/>
          </w:tcPr>
          <w:p>
            <w:pPr>
              <w:spacing w:after="0"/>
              <w:rPr>
                <w:rFonts w:ascii="Arial" w:cs="Arial" w:eastAsia="Arial" w:hAnsi="Arial"/>
                <w:sz w:val="18"/>
                <w:szCs w:val="18"/>
                <w:color w:val="0000EE"/>
              </w:rPr>
            </w:pPr>
            <w:hyperlink r:id="rId380">
              <w:r>
                <w:rPr>
                  <w:rFonts w:ascii="Arial" w:cs="Arial" w:eastAsia="Arial" w:hAnsi="Arial"/>
                  <w:sz w:val="18"/>
                  <w:szCs w:val="18"/>
                  <w:color w:val="0000EE"/>
                </w:rPr>
                <w:t>Change in Control and Severance Agreement between the</w:t>
              </w:r>
            </w:hyperlink>
          </w:p>
        </w:tc>
      </w:tr>
      <w:tr>
        <w:trPr>
          <w:trHeight w:val="183"/>
        </w:trPr>
        <w:tc>
          <w:tcPr>
            <w:tcW w:w="1040" w:type="dxa"/>
            <w:vAlign w:val="bottom"/>
          </w:tcPr>
          <w:p>
            <w:pPr>
              <w:spacing w:after="0"/>
              <w:rPr>
                <w:sz w:val="15"/>
                <w:szCs w:val="15"/>
                <w:color w:val="auto"/>
              </w:rPr>
            </w:pPr>
          </w:p>
        </w:tc>
        <w:tc>
          <w:tcPr>
            <w:tcW w:w="468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380">
              <w:r>
                <w:rPr>
                  <w:rFonts w:ascii="Arial" w:cs="Arial" w:eastAsia="Arial" w:hAnsi="Arial"/>
                  <w:sz w:val="18"/>
                  <w:szCs w:val="18"/>
                  <w:color w:val="0000EE"/>
                </w:rPr>
                <w:t>Registrant and Hans Moebius, Ph.D.</w:t>
              </w:r>
            </w:hyperlink>
          </w:p>
        </w:tc>
        <w:tc>
          <w:tcPr>
            <w:tcW w:w="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349"/>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292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381">
              <w:r>
                <w:rPr>
                  <w:rFonts w:ascii="Arial" w:cs="Arial" w:eastAsia="Arial" w:hAnsi="Arial"/>
                  <w:sz w:val="18"/>
                  <w:szCs w:val="18"/>
                  <w:u w:val="single" w:color="auto"/>
                  <w:color w:val="0000EE"/>
                </w:rPr>
                <w:t>List of subsidiaries of the Registrant</w:t>
              </w:r>
            </w:hyperlink>
          </w:p>
        </w:tc>
        <w:tc>
          <w:tcPr>
            <w:tcW w:w="1960" w:type="dxa"/>
            <w:vAlign w:val="bottom"/>
            <w:gridSpan w:val="6"/>
          </w:tcPr>
          <w:p>
            <w:pPr>
              <w:spacing w:after="0"/>
              <w:rPr>
                <w:sz w:val="24"/>
                <w:szCs w:val="24"/>
                <w:color w:val="auto"/>
              </w:rPr>
            </w:pPr>
          </w:p>
        </w:tc>
      </w:tr>
      <w:tr>
        <w:trPr>
          <w:trHeight w:val="293"/>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4880" w:type="dxa"/>
            <w:vAlign w:val="bottom"/>
            <w:gridSpan w:val="17"/>
          </w:tcPr>
          <w:p>
            <w:pPr>
              <w:spacing w:after="0"/>
              <w:rPr>
                <w:rFonts w:ascii="Arial" w:cs="Arial" w:eastAsia="Arial" w:hAnsi="Arial"/>
                <w:sz w:val="18"/>
                <w:szCs w:val="18"/>
                <w:color w:val="0000EE"/>
              </w:rPr>
            </w:pPr>
            <w:hyperlink w:anchor="page296">
              <w:r>
                <w:rPr>
                  <w:rFonts w:ascii="Arial" w:cs="Arial" w:eastAsia="Arial" w:hAnsi="Arial"/>
                  <w:sz w:val="18"/>
                  <w:szCs w:val="18"/>
                  <w:color w:val="0000EE"/>
                </w:rPr>
                <w:t>Consent of Ernst and Young, LLP, Independent Registered</w:t>
              </w:r>
            </w:hyperlink>
          </w:p>
        </w:tc>
      </w:tr>
      <w:tr>
        <w:trPr>
          <w:trHeight w:val="183"/>
        </w:trPr>
        <w:tc>
          <w:tcPr>
            <w:tcW w:w="1040" w:type="dxa"/>
            <w:vAlign w:val="bottom"/>
          </w:tcPr>
          <w:p>
            <w:pPr>
              <w:spacing w:after="0"/>
              <w:rPr>
                <w:sz w:val="15"/>
                <w:szCs w:val="15"/>
                <w:color w:val="auto"/>
              </w:rPr>
            </w:pPr>
          </w:p>
        </w:tc>
        <w:tc>
          <w:tcPr>
            <w:tcW w:w="46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296">
              <w:r>
                <w:rPr>
                  <w:rFonts w:ascii="Arial" w:cs="Arial" w:eastAsia="Arial" w:hAnsi="Arial"/>
                  <w:sz w:val="18"/>
                  <w:szCs w:val="18"/>
                  <w:color w:val="0000EE"/>
                </w:rPr>
                <w:t>Public Accounting Firm</w:t>
              </w:r>
            </w:hyperlink>
          </w:p>
        </w:tc>
        <w:tc>
          <w:tcPr>
            <w:tcW w:w="6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23.2</w:t>
            </w:r>
          </w:p>
        </w:tc>
        <w:tc>
          <w:tcPr>
            <w:tcW w:w="4880" w:type="dxa"/>
            <w:vAlign w:val="bottom"/>
            <w:gridSpan w:val="17"/>
          </w:tcPr>
          <w:p>
            <w:pPr>
              <w:spacing w:after="0"/>
              <w:rPr>
                <w:rFonts w:ascii="Arial" w:cs="Arial" w:eastAsia="Arial" w:hAnsi="Arial"/>
                <w:sz w:val="18"/>
                <w:szCs w:val="18"/>
                <w:color w:val="0000EE"/>
              </w:rPr>
            </w:pPr>
            <w:hyperlink w:anchor="page294">
              <w:r>
                <w:rPr>
                  <w:rFonts w:ascii="Arial" w:cs="Arial" w:eastAsia="Arial" w:hAnsi="Arial"/>
                  <w:sz w:val="18"/>
                  <w:szCs w:val="18"/>
                  <w:color w:val="0000EE"/>
                </w:rPr>
                <w:t>Consent of Wilson Sonsini Goodrich &amp; Rosati, Professional</w:t>
              </w:r>
            </w:hyperlink>
          </w:p>
        </w:tc>
      </w:tr>
      <w:tr>
        <w:trPr>
          <w:trHeight w:val="183"/>
        </w:trPr>
        <w:tc>
          <w:tcPr>
            <w:tcW w:w="1040" w:type="dxa"/>
            <w:vAlign w:val="bottom"/>
          </w:tcPr>
          <w:p>
            <w:pPr>
              <w:spacing w:after="0"/>
              <w:rPr>
                <w:sz w:val="15"/>
                <w:szCs w:val="15"/>
                <w:color w:val="auto"/>
              </w:rPr>
            </w:pPr>
          </w:p>
        </w:tc>
        <w:tc>
          <w:tcPr>
            <w:tcW w:w="47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294">
              <w:r>
                <w:rPr>
                  <w:rFonts w:ascii="Arial" w:cs="Arial" w:eastAsia="Arial" w:hAnsi="Arial"/>
                  <w:sz w:val="18"/>
                  <w:szCs w:val="18"/>
                  <w:color w:val="0000EE"/>
                </w:rPr>
                <w:t>Corporation (included in Exhibit 5.1)</w:t>
              </w:r>
            </w:hyperlink>
          </w:p>
        </w:tc>
        <w:tc>
          <w:tcPr>
            <w:tcW w:w="160" w:type="dxa"/>
            <w:vAlign w:val="bottom"/>
            <w:gridSpan w:val="2"/>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r>
      <w:tr>
        <w:trPr>
          <w:trHeight w:val="348"/>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4880" w:type="dxa"/>
            <w:vAlign w:val="bottom"/>
            <w:gridSpan w:val="17"/>
          </w:tcPr>
          <w:p>
            <w:pPr>
              <w:spacing w:after="0"/>
              <w:rPr>
                <w:sz w:val="20"/>
                <w:szCs w:val="20"/>
                <w:color w:val="auto"/>
              </w:rPr>
            </w:pPr>
            <w:r>
              <w:rPr>
                <w:rFonts w:ascii="Arial" w:cs="Arial" w:eastAsia="Arial" w:hAnsi="Arial"/>
                <w:sz w:val="18"/>
                <w:szCs w:val="18"/>
                <w:color w:val="auto"/>
              </w:rPr>
              <w:t>Power of Attorney (included in page II-8 herein)</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8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8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8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8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7"/>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8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80" w:type="dxa"/>
            <w:vAlign w:val="bottom"/>
            <w:gridSpan w:val="17"/>
          </w:tcPr>
          <w:p>
            <w:pPr>
              <w:spacing w:after="0"/>
              <w:rPr>
                <w:sz w:val="20"/>
                <w:szCs w:val="20"/>
                <w:color w:val="auto"/>
              </w:rPr>
            </w:pPr>
            <w:r>
              <w:rPr>
                <w:rFonts w:ascii="Arial" w:cs="Arial" w:eastAsia="Arial" w:hAnsi="Arial"/>
                <w:sz w:val="18"/>
                <w:szCs w:val="18"/>
                <w:color w:val="auto"/>
                <w:w w:val="99"/>
              </w:rPr>
              <w:t>XBRL Taxonomy Extension Presentation Linkbase Document</w:t>
            </w:r>
          </w:p>
        </w:tc>
      </w:tr>
      <w:tr>
        <w:trPr>
          <w:trHeight w:val="432"/>
        </w:trPr>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gridSpan w:val="6"/>
          </w:tcPr>
          <w:p>
            <w:pPr>
              <w:ind w:left="1540"/>
              <w:spacing w:after="0"/>
              <w:rPr>
                <w:sz w:val="20"/>
                <w:szCs w:val="20"/>
                <w:color w:val="auto"/>
              </w:rPr>
            </w:pPr>
            <w:r>
              <w:rPr>
                <w:rFonts w:ascii="Arial" w:cs="Arial" w:eastAsia="Arial" w:hAnsi="Arial"/>
                <w:sz w:val="18"/>
                <w:szCs w:val="18"/>
                <w:color w:val="auto"/>
              </w:rPr>
              <w:t>II-6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494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720" w:type="dxa"/>
            <w:vAlign w:val="bottom"/>
          </w:tcPr>
          <w:p>
            <w:pPr>
              <w:ind w:left="120"/>
              <w:spacing w:after="0"/>
              <w:rPr>
                <w:sz w:val="20"/>
                <w:szCs w:val="20"/>
                <w:color w:val="auto"/>
              </w:rPr>
            </w:pPr>
            <w:r>
              <w:rPr>
                <w:rFonts w:ascii="Arial" w:cs="Arial" w:eastAsia="Arial" w:hAnsi="Arial"/>
                <w:sz w:val="18"/>
                <w:szCs w:val="18"/>
                <w:color w:val="auto"/>
              </w:rPr>
              <w:t>10.12</w:t>
            </w:r>
          </w:p>
        </w:tc>
        <w:tc>
          <w:tcPr>
            <w:tcW w:w="1760" w:type="dxa"/>
            <w:vAlign w:val="bottom"/>
          </w:tcPr>
          <w:p>
            <w:pPr>
              <w:ind w:left="140"/>
              <w:spacing w:after="0"/>
              <w:rPr>
                <w:sz w:val="20"/>
                <w:szCs w:val="20"/>
                <w:color w:val="auto"/>
              </w:rPr>
            </w:pPr>
            <w:r>
              <w:rPr>
                <w:rFonts w:ascii="Arial" w:cs="Arial" w:eastAsia="Arial" w:hAnsi="Arial"/>
                <w:sz w:val="18"/>
                <w:szCs w:val="18"/>
                <w:color w:val="auto"/>
              </w:rPr>
              <w:t>September 9, 2020</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720" w:type="dxa"/>
            <w:vAlign w:val="bottom"/>
          </w:tcPr>
          <w:p>
            <w:pPr>
              <w:ind w:left="120"/>
              <w:spacing w:after="0"/>
              <w:rPr>
                <w:sz w:val="20"/>
                <w:szCs w:val="20"/>
                <w:color w:val="auto"/>
              </w:rPr>
            </w:pPr>
            <w:r>
              <w:rPr>
                <w:rFonts w:ascii="Arial" w:cs="Arial" w:eastAsia="Arial" w:hAnsi="Arial"/>
                <w:sz w:val="18"/>
                <w:szCs w:val="18"/>
                <w:color w:val="auto"/>
              </w:rPr>
              <w:t>10.13</w:t>
            </w:r>
          </w:p>
        </w:tc>
        <w:tc>
          <w:tcPr>
            <w:tcW w:w="1760" w:type="dxa"/>
            <w:vAlign w:val="bottom"/>
          </w:tcPr>
          <w:p>
            <w:pPr>
              <w:ind w:left="140"/>
              <w:spacing w:after="0"/>
              <w:rPr>
                <w:sz w:val="20"/>
                <w:szCs w:val="20"/>
                <w:color w:val="auto"/>
              </w:rPr>
            </w:pPr>
            <w:r>
              <w:rPr>
                <w:rFonts w:ascii="Arial" w:cs="Arial" w:eastAsia="Arial" w:hAnsi="Arial"/>
                <w:sz w:val="18"/>
                <w:szCs w:val="18"/>
                <w:color w:val="auto"/>
              </w:rPr>
              <w:t>September 9, 2020</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720" w:type="dxa"/>
            <w:vAlign w:val="bottom"/>
          </w:tcPr>
          <w:p>
            <w:pPr>
              <w:ind w:left="120"/>
              <w:spacing w:after="0"/>
              <w:rPr>
                <w:sz w:val="20"/>
                <w:szCs w:val="20"/>
                <w:color w:val="auto"/>
              </w:rPr>
            </w:pPr>
            <w:r>
              <w:rPr>
                <w:rFonts w:ascii="Arial" w:cs="Arial" w:eastAsia="Arial" w:hAnsi="Arial"/>
                <w:sz w:val="18"/>
                <w:szCs w:val="18"/>
                <w:color w:val="auto"/>
              </w:rPr>
              <w:t>10.14</w:t>
            </w:r>
          </w:p>
        </w:tc>
        <w:tc>
          <w:tcPr>
            <w:tcW w:w="1760" w:type="dxa"/>
            <w:vAlign w:val="bottom"/>
          </w:tcPr>
          <w:p>
            <w:pPr>
              <w:ind w:left="140"/>
              <w:spacing w:after="0"/>
              <w:rPr>
                <w:sz w:val="20"/>
                <w:szCs w:val="20"/>
                <w:color w:val="auto"/>
              </w:rPr>
            </w:pPr>
            <w:r>
              <w:rPr>
                <w:rFonts w:ascii="Arial" w:cs="Arial" w:eastAsia="Arial" w:hAnsi="Arial"/>
                <w:sz w:val="18"/>
                <w:szCs w:val="18"/>
                <w:color w:val="auto"/>
              </w:rPr>
              <w:t>September 9, 2020</w:t>
            </w:r>
          </w:p>
        </w:tc>
      </w:tr>
      <w:tr>
        <w:trPr>
          <w:trHeight w:val="527"/>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720" w:type="dxa"/>
            <w:vAlign w:val="bottom"/>
          </w:tcPr>
          <w:p>
            <w:pPr>
              <w:ind w:left="120"/>
              <w:spacing w:after="0"/>
              <w:rPr>
                <w:sz w:val="20"/>
                <w:szCs w:val="20"/>
                <w:color w:val="auto"/>
              </w:rPr>
            </w:pPr>
            <w:r>
              <w:rPr>
                <w:rFonts w:ascii="Arial" w:cs="Arial" w:eastAsia="Arial" w:hAnsi="Arial"/>
                <w:sz w:val="18"/>
                <w:szCs w:val="18"/>
                <w:color w:val="auto"/>
              </w:rPr>
              <w:t>10.15</w:t>
            </w:r>
          </w:p>
        </w:tc>
        <w:tc>
          <w:tcPr>
            <w:tcW w:w="1760" w:type="dxa"/>
            <w:vAlign w:val="bottom"/>
          </w:tcPr>
          <w:p>
            <w:pPr>
              <w:ind w:left="140"/>
              <w:spacing w:after="0"/>
              <w:rPr>
                <w:sz w:val="20"/>
                <w:szCs w:val="20"/>
                <w:color w:val="auto"/>
              </w:rPr>
            </w:pPr>
            <w:r>
              <w:rPr>
                <w:rFonts w:ascii="Arial" w:cs="Arial" w:eastAsia="Arial" w:hAnsi="Arial"/>
                <w:sz w:val="18"/>
                <w:szCs w:val="18"/>
                <w:color w:val="auto"/>
              </w:rPr>
              <w:t>September 9, 2020</w:t>
            </w:r>
          </w:p>
        </w:tc>
      </w:tr>
      <w:tr>
        <w:trPr>
          <w:trHeight w:val="527"/>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720" w:type="dxa"/>
            <w:vAlign w:val="bottom"/>
          </w:tcPr>
          <w:p>
            <w:pPr>
              <w:ind w:left="120"/>
              <w:spacing w:after="0"/>
              <w:rPr>
                <w:sz w:val="20"/>
                <w:szCs w:val="20"/>
                <w:color w:val="auto"/>
              </w:rPr>
            </w:pPr>
            <w:r>
              <w:rPr>
                <w:rFonts w:ascii="Arial" w:cs="Arial" w:eastAsia="Arial" w:hAnsi="Arial"/>
                <w:sz w:val="18"/>
                <w:szCs w:val="18"/>
                <w:color w:val="auto"/>
              </w:rPr>
              <w:t>10.16</w:t>
            </w:r>
          </w:p>
        </w:tc>
        <w:tc>
          <w:tcPr>
            <w:tcW w:w="1760" w:type="dxa"/>
            <w:vAlign w:val="bottom"/>
          </w:tcPr>
          <w:p>
            <w:pPr>
              <w:ind w:left="140"/>
              <w:spacing w:after="0"/>
              <w:rPr>
                <w:sz w:val="20"/>
                <w:szCs w:val="20"/>
                <w:color w:val="auto"/>
              </w:rPr>
            </w:pPr>
            <w:r>
              <w:rPr>
                <w:rFonts w:ascii="Arial" w:cs="Arial" w:eastAsia="Arial" w:hAnsi="Arial"/>
                <w:sz w:val="18"/>
                <w:szCs w:val="18"/>
                <w:color w:val="auto"/>
              </w:rPr>
              <w:t>September 9, 2020</w:t>
            </w:r>
          </w:p>
        </w:tc>
      </w:tr>
      <w:tr>
        <w:trPr>
          <w:trHeight w:val="526"/>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720" w:type="dxa"/>
            <w:vAlign w:val="bottom"/>
          </w:tcPr>
          <w:p>
            <w:pPr>
              <w:ind w:left="120"/>
              <w:spacing w:after="0"/>
              <w:rPr>
                <w:sz w:val="20"/>
                <w:szCs w:val="20"/>
                <w:color w:val="auto"/>
              </w:rPr>
            </w:pPr>
            <w:r>
              <w:rPr>
                <w:rFonts w:ascii="Arial" w:cs="Arial" w:eastAsia="Arial" w:hAnsi="Arial"/>
                <w:sz w:val="18"/>
                <w:szCs w:val="18"/>
                <w:color w:val="auto"/>
              </w:rPr>
              <w:t>10.17</w:t>
            </w:r>
          </w:p>
        </w:tc>
        <w:tc>
          <w:tcPr>
            <w:tcW w:w="1760" w:type="dxa"/>
            <w:vAlign w:val="bottom"/>
          </w:tcPr>
          <w:p>
            <w:pPr>
              <w:ind w:left="140"/>
              <w:spacing w:after="0"/>
              <w:rPr>
                <w:sz w:val="20"/>
                <w:szCs w:val="20"/>
                <w:color w:val="auto"/>
              </w:rPr>
            </w:pPr>
            <w:r>
              <w:rPr>
                <w:rFonts w:ascii="Arial" w:cs="Arial" w:eastAsia="Arial" w:hAnsi="Arial"/>
                <w:sz w:val="18"/>
                <w:szCs w:val="18"/>
                <w:color w:val="auto"/>
              </w:rPr>
              <w:t>September 9, 2020</w:t>
            </w:r>
          </w:p>
        </w:tc>
      </w:tr>
      <w:tr>
        <w:trPr>
          <w:trHeight w:val="527"/>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720" w:type="dxa"/>
            <w:vAlign w:val="bottom"/>
          </w:tcPr>
          <w:p>
            <w:pPr>
              <w:ind w:left="120"/>
              <w:spacing w:after="0"/>
              <w:rPr>
                <w:sz w:val="20"/>
                <w:szCs w:val="20"/>
                <w:color w:val="auto"/>
              </w:rPr>
            </w:pPr>
            <w:r>
              <w:rPr>
                <w:rFonts w:ascii="Arial" w:cs="Arial" w:eastAsia="Arial" w:hAnsi="Arial"/>
                <w:sz w:val="18"/>
                <w:szCs w:val="18"/>
                <w:color w:val="auto"/>
              </w:rPr>
              <w:t>10.18</w:t>
            </w:r>
          </w:p>
        </w:tc>
        <w:tc>
          <w:tcPr>
            <w:tcW w:w="1760" w:type="dxa"/>
            <w:vAlign w:val="bottom"/>
          </w:tcPr>
          <w:p>
            <w:pPr>
              <w:ind w:left="140"/>
              <w:spacing w:after="0"/>
              <w:rPr>
                <w:sz w:val="20"/>
                <w:szCs w:val="20"/>
                <w:color w:val="auto"/>
              </w:rPr>
            </w:pPr>
            <w:r>
              <w:rPr>
                <w:rFonts w:ascii="Arial" w:cs="Arial" w:eastAsia="Arial" w:hAnsi="Arial"/>
                <w:sz w:val="18"/>
                <w:szCs w:val="18"/>
                <w:color w:val="auto"/>
              </w:rPr>
              <w:t>September 9, 2020</w:t>
            </w:r>
          </w:p>
        </w:tc>
      </w:tr>
      <w:tr>
        <w:trPr>
          <w:trHeight w:val="527"/>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720" w:type="dxa"/>
            <w:vAlign w:val="bottom"/>
          </w:tcPr>
          <w:p>
            <w:pPr>
              <w:ind w:left="120"/>
              <w:spacing w:after="0"/>
              <w:rPr>
                <w:sz w:val="20"/>
                <w:szCs w:val="20"/>
                <w:color w:val="auto"/>
              </w:rPr>
            </w:pPr>
            <w:r>
              <w:rPr>
                <w:rFonts w:ascii="Arial" w:cs="Arial" w:eastAsia="Arial" w:hAnsi="Arial"/>
                <w:sz w:val="18"/>
                <w:szCs w:val="18"/>
                <w:color w:val="auto"/>
              </w:rPr>
              <w:t>10.19</w:t>
            </w:r>
          </w:p>
        </w:tc>
        <w:tc>
          <w:tcPr>
            <w:tcW w:w="1760" w:type="dxa"/>
            <w:vAlign w:val="bottom"/>
          </w:tcPr>
          <w:p>
            <w:pPr>
              <w:ind w:left="140"/>
              <w:spacing w:after="0"/>
              <w:rPr>
                <w:sz w:val="20"/>
                <w:szCs w:val="20"/>
                <w:color w:val="auto"/>
              </w:rPr>
            </w:pPr>
            <w:r>
              <w:rPr>
                <w:rFonts w:ascii="Arial" w:cs="Arial" w:eastAsia="Arial" w:hAnsi="Arial"/>
                <w:sz w:val="18"/>
                <w:szCs w:val="18"/>
                <w:color w:val="auto"/>
              </w:rPr>
              <w:t>September 9, 2020</w:t>
            </w:r>
          </w:p>
        </w:tc>
      </w:tr>
      <w:tr>
        <w:trPr>
          <w:trHeight w:val="527"/>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720" w:type="dxa"/>
            <w:vAlign w:val="bottom"/>
          </w:tcPr>
          <w:p>
            <w:pPr>
              <w:ind w:left="120"/>
              <w:spacing w:after="0"/>
              <w:rPr>
                <w:sz w:val="20"/>
                <w:szCs w:val="20"/>
                <w:color w:val="auto"/>
              </w:rPr>
            </w:pPr>
            <w:r>
              <w:rPr>
                <w:rFonts w:ascii="Arial" w:cs="Arial" w:eastAsia="Arial" w:hAnsi="Arial"/>
                <w:sz w:val="18"/>
                <w:szCs w:val="18"/>
                <w:color w:val="auto"/>
              </w:rPr>
              <w:t>10.20</w:t>
            </w:r>
          </w:p>
        </w:tc>
        <w:tc>
          <w:tcPr>
            <w:tcW w:w="1760" w:type="dxa"/>
            <w:vAlign w:val="bottom"/>
          </w:tcPr>
          <w:p>
            <w:pPr>
              <w:ind w:left="140"/>
              <w:spacing w:after="0"/>
              <w:rPr>
                <w:sz w:val="20"/>
                <w:szCs w:val="20"/>
                <w:color w:val="auto"/>
              </w:rPr>
            </w:pPr>
            <w:r>
              <w:rPr>
                <w:rFonts w:ascii="Arial" w:cs="Arial" w:eastAsia="Arial" w:hAnsi="Arial"/>
                <w:sz w:val="18"/>
                <w:szCs w:val="18"/>
                <w:color w:val="auto"/>
              </w:rPr>
              <w:t>September 9, 2020</w:t>
            </w:r>
          </w:p>
        </w:tc>
      </w:tr>
      <w:tr>
        <w:trPr>
          <w:trHeight w:val="526"/>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720" w:type="dxa"/>
            <w:vAlign w:val="bottom"/>
          </w:tcPr>
          <w:p>
            <w:pPr>
              <w:ind w:left="120"/>
              <w:spacing w:after="0"/>
              <w:rPr>
                <w:sz w:val="20"/>
                <w:szCs w:val="20"/>
                <w:color w:val="auto"/>
              </w:rPr>
            </w:pPr>
            <w:r>
              <w:rPr>
                <w:rFonts w:ascii="Arial" w:cs="Arial" w:eastAsia="Arial" w:hAnsi="Arial"/>
                <w:sz w:val="18"/>
                <w:szCs w:val="18"/>
                <w:color w:val="auto"/>
              </w:rPr>
              <w:t>10.21</w:t>
            </w:r>
          </w:p>
        </w:tc>
        <w:tc>
          <w:tcPr>
            <w:tcW w:w="1760" w:type="dxa"/>
            <w:vAlign w:val="bottom"/>
          </w:tcPr>
          <w:p>
            <w:pPr>
              <w:ind w:left="140"/>
              <w:spacing w:after="0"/>
              <w:rPr>
                <w:sz w:val="20"/>
                <w:szCs w:val="20"/>
                <w:color w:val="auto"/>
              </w:rPr>
            </w:pPr>
            <w:r>
              <w:rPr>
                <w:rFonts w:ascii="Arial" w:cs="Arial" w:eastAsia="Arial" w:hAnsi="Arial"/>
                <w:sz w:val="18"/>
                <w:szCs w:val="18"/>
                <w:color w:val="auto"/>
                <w:w w:val="98"/>
              </w:rPr>
              <w:t>September 14, 2020</w:t>
            </w:r>
          </w:p>
        </w:tc>
      </w:tr>
      <w:tr>
        <w:trPr>
          <w:trHeight w:val="527"/>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720" w:type="dxa"/>
            <w:vAlign w:val="bottom"/>
          </w:tcPr>
          <w:p>
            <w:pPr>
              <w:ind w:left="120"/>
              <w:spacing w:after="0"/>
              <w:rPr>
                <w:sz w:val="20"/>
                <w:szCs w:val="20"/>
                <w:color w:val="auto"/>
              </w:rPr>
            </w:pPr>
            <w:r>
              <w:rPr>
                <w:rFonts w:ascii="Arial" w:cs="Arial" w:eastAsia="Arial" w:hAnsi="Arial"/>
                <w:sz w:val="18"/>
                <w:szCs w:val="18"/>
                <w:color w:val="auto"/>
              </w:rPr>
              <w:t>10.22</w:t>
            </w:r>
          </w:p>
        </w:tc>
        <w:tc>
          <w:tcPr>
            <w:tcW w:w="1760" w:type="dxa"/>
            <w:vAlign w:val="bottom"/>
          </w:tcPr>
          <w:p>
            <w:pPr>
              <w:ind w:left="140"/>
              <w:spacing w:after="0"/>
              <w:rPr>
                <w:sz w:val="20"/>
                <w:szCs w:val="20"/>
                <w:color w:val="auto"/>
              </w:rPr>
            </w:pPr>
            <w:r>
              <w:rPr>
                <w:rFonts w:ascii="Arial" w:cs="Arial" w:eastAsia="Arial" w:hAnsi="Arial"/>
                <w:sz w:val="18"/>
                <w:szCs w:val="18"/>
                <w:color w:val="auto"/>
                <w:w w:val="98"/>
              </w:rPr>
              <w:t>September 14, 2020</w:t>
            </w:r>
          </w:p>
        </w:tc>
      </w:tr>
      <w:tr>
        <w:trPr>
          <w:trHeight w:val="527"/>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333-248428</w:t>
            </w:r>
          </w:p>
        </w:tc>
        <w:tc>
          <w:tcPr>
            <w:tcW w:w="720" w:type="dxa"/>
            <w:vAlign w:val="bottom"/>
          </w:tcPr>
          <w:p>
            <w:pPr>
              <w:ind w:left="120"/>
              <w:spacing w:after="0"/>
              <w:rPr>
                <w:sz w:val="20"/>
                <w:szCs w:val="20"/>
                <w:color w:val="auto"/>
              </w:rPr>
            </w:pPr>
            <w:r>
              <w:rPr>
                <w:rFonts w:ascii="Arial" w:cs="Arial" w:eastAsia="Arial" w:hAnsi="Arial"/>
                <w:sz w:val="18"/>
                <w:szCs w:val="18"/>
                <w:color w:val="auto"/>
              </w:rPr>
              <w:t>21.1</w:t>
            </w:r>
          </w:p>
        </w:tc>
        <w:tc>
          <w:tcPr>
            <w:tcW w:w="1760" w:type="dxa"/>
            <w:vAlign w:val="bottom"/>
          </w:tcPr>
          <w:p>
            <w:pPr>
              <w:ind w:left="140"/>
              <w:spacing w:after="0"/>
              <w:rPr>
                <w:sz w:val="20"/>
                <w:szCs w:val="20"/>
                <w:color w:val="auto"/>
              </w:rPr>
            </w:pPr>
            <w:r>
              <w:rPr>
                <w:rFonts w:ascii="Arial" w:cs="Arial" w:eastAsia="Arial" w:hAnsi="Arial"/>
                <w:sz w:val="18"/>
                <w:szCs w:val="18"/>
                <w:color w:val="auto"/>
              </w:rPr>
              <w:t>September 9, 2020</w:t>
            </w:r>
          </w:p>
        </w:tc>
      </w:tr>
    </w:tbl>
    <w:p>
      <w:pPr>
        <w:sectPr>
          <w:pgSz w:w="11900" w:h="16838" w:orient="portrait"/>
          <w:cols w:equalWidth="0" w:num="2">
            <w:col w:w="5920" w:space="220"/>
            <w:col w:w="4500"/>
          </w:cols>
          <w:pgMar w:left="320" w:top="481" w:right="939" w:bottom="1440" w:gutter="0" w:footer="0" w:header="0"/>
        </w:sectPr>
      </w:pPr>
    </w:p>
    <w:bookmarkStart w:id="256" w:name="page257"/>
    <w:bookmarkEnd w:id="256"/>
    <w:p>
      <w:pPr>
        <w:ind w:left="480" w:hanging="472"/>
        <w:spacing w:after="0"/>
        <w:tabs>
          <w:tab w:leader="none" w:pos="480" w:val="left"/>
        </w:tabs>
        <w:numPr>
          <w:ilvl w:val="0"/>
          <w:numId w:val="17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2834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728345" cy="8255"/>
                    </a:xfrm>
                    <a:prstGeom prst="rect">
                      <a:avLst/>
                    </a:prstGeom>
                    <a:noFill/>
                  </pic:spPr>
                </pic:pic>
              </a:graphicData>
            </a:graphic>
          </wp:anchor>
        </w:drawing>
        <w:t>Indicates a management contract or compensatory plan.</w:t>
      </w:r>
    </w:p>
    <w:p>
      <w:pPr>
        <w:spacing w:after="0" w:line="42" w:lineRule="exact"/>
        <w:rPr>
          <w:sz w:val="20"/>
          <w:szCs w:val="20"/>
          <w:color w:val="auto"/>
        </w:rPr>
      </w:pPr>
    </w:p>
    <w:p>
      <w:pPr>
        <w:ind w:left="480" w:right="660" w:hanging="472"/>
        <w:spacing w:after="0" w:line="291" w:lineRule="auto"/>
        <w:tabs>
          <w:tab w:leader="none" w:pos="48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Pursuant to Item 601(b)(10) of Regulation S-K, certain portions of this exhibit have been omitted by means of marking such portions with asterisks because the Registrant has determined that the information is not material and would likely cause competitive harm to the Registrant if publicly disclosed.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04" w:lineRule="exact"/>
        <w:rPr>
          <w:sz w:val="20"/>
          <w:szCs w:val="20"/>
          <w:color w:val="auto"/>
        </w:rPr>
      </w:pPr>
    </w:p>
    <w:p>
      <w:pPr>
        <w:ind w:right="360" w:firstLine="576"/>
        <w:spacing w:after="0" w:line="276"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06"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undersigned registrant hereby undertakes that:</w:t>
      </w:r>
    </w:p>
    <w:p>
      <w:pPr>
        <w:spacing w:after="0" w:line="104" w:lineRule="exact"/>
        <w:rPr>
          <w:sz w:val="20"/>
          <w:szCs w:val="20"/>
          <w:color w:val="auto"/>
        </w:rPr>
      </w:pPr>
    </w:p>
    <w:p>
      <w:pPr>
        <w:ind w:left="1000" w:hanging="425"/>
        <w:spacing w:after="0" w:line="248" w:lineRule="auto"/>
        <w:tabs>
          <w:tab w:leader="none" w:pos="10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62" w:lineRule="exact"/>
        <w:rPr>
          <w:rFonts w:ascii="Arial" w:cs="Arial" w:eastAsia="Arial" w:hAnsi="Arial"/>
          <w:sz w:val="18"/>
          <w:szCs w:val="18"/>
          <w:color w:val="auto"/>
        </w:rPr>
      </w:pPr>
    </w:p>
    <w:p>
      <w:pPr>
        <w:ind w:left="1000" w:right="100" w:hanging="425"/>
        <w:spacing w:after="0" w:line="255" w:lineRule="auto"/>
        <w:tabs>
          <w:tab w:leader="none" w:pos="10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57" w:name="page258"/>
    <w:bookmarkEnd w:id="257"/>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14"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Seattle, State of Washington, on January 19, 2021.</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ATHIRA PHARMA, INC.</w:t>
      </w:r>
    </w:p>
    <w:p>
      <w:pPr>
        <w:spacing w:after="0" w:line="214" w:lineRule="exact"/>
        <w:rPr>
          <w:sz w:val="20"/>
          <w:szCs w:val="20"/>
          <w:color w:val="auto"/>
        </w:rPr>
      </w:pPr>
    </w:p>
    <w:p>
      <w:pPr>
        <w:ind w:left="56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20320</wp:posOffset>
            </wp:positionV>
            <wp:extent cx="31889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Leen Kawas</w:t>
      </w:r>
    </w:p>
    <w:p>
      <w:pPr>
        <w:spacing w:after="0" w:line="4"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President and Chief Executive Officer</w:t>
      </w: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1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KNOW ALL PERSONS BY THESE PRESENTS, that each person whose individual signature appears below hereby authorizes and appoints Leen Kawas and Glenna Mileson,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registration statement on Form S-1, and to file the same, with all exhibits thereto, and all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80"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4980" w:type="dxa"/>
            <w:vAlign w:val="bottom"/>
          </w:tcPr>
          <w:p>
            <w:pPr>
              <w:ind w:left="2760"/>
              <w:spacing w:after="0"/>
              <w:rPr>
                <w:sz w:val="20"/>
                <w:szCs w:val="20"/>
                <w:color w:val="auto"/>
              </w:rPr>
            </w:pPr>
            <w:r>
              <w:rPr>
                <w:rFonts w:ascii="Arial" w:cs="Arial" w:eastAsia="Arial" w:hAnsi="Arial"/>
                <w:sz w:val="14"/>
                <w:szCs w:val="14"/>
                <w:b w:val="1"/>
                <w:bCs w:val="1"/>
                <w:color w:val="auto"/>
              </w:rPr>
              <w:t>Title</w:t>
            </w:r>
          </w:p>
        </w:tc>
        <w:tc>
          <w:tcPr>
            <w:tcW w:w="2600" w:type="dxa"/>
            <w:vAlign w:val="bottom"/>
          </w:tcPr>
          <w:p>
            <w:pPr>
              <w:jc w:val="center"/>
              <w:ind w:left="1132"/>
              <w:spacing w:after="0"/>
              <w:rPr>
                <w:sz w:val="20"/>
                <w:szCs w:val="20"/>
                <w:color w:val="auto"/>
              </w:rPr>
            </w:pPr>
            <w:r>
              <w:rPr>
                <w:rFonts w:ascii="Arial" w:cs="Arial" w:eastAsia="Arial" w:hAnsi="Arial"/>
                <w:sz w:val="14"/>
                <w:szCs w:val="14"/>
                <w:b w:val="1"/>
                <w:bCs w:val="1"/>
                <w:color w:val="auto"/>
                <w:w w:val="98"/>
              </w:rPr>
              <w:t>Date</w:t>
            </w:r>
          </w:p>
        </w:tc>
      </w:tr>
      <w:tr>
        <w:trPr>
          <w:trHeight w:val="313"/>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Leen Kawas</w:t>
            </w:r>
          </w:p>
        </w:tc>
        <w:tc>
          <w:tcPr>
            <w:tcW w:w="4980" w:type="dxa"/>
            <w:vAlign w:val="bottom"/>
          </w:tcPr>
          <w:p>
            <w:pPr>
              <w:ind w:left="60"/>
              <w:spacing w:after="0"/>
              <w:rPr>
                <w:sz w:val="20"/>
                <w:szCs w:val="20"/>
                <w:color w:val="auto"/>
              </w:rPr>
            </w:pPr>
            <w:r>
              <w:rPr>
                <w:rFonts w:ascii="Arial" w:cs="Arial" w:eastAsia="Arial" w:hAnsi="Arial"/>
                <w:sz w:val="18"/>
                <w:szCs w:val="18"/>
                <w:color w:val="auto"/>
              </w:rPr>
              <w:t>President, Chief Executive Officer and Director</w:t>
            </w:r>
          </w:p>
        </w:tc>
        <w:tc>
          <w:tcPr>
            <w:tcW w:w="2600" w:type="dxa"/>
            <w:vAlign w:val="bottom"/>
          </w:tcPr>
          <w:p>
            <w:pPr>
              <w:jc w:val="center"/>
              <w:ind w:left="1132"/>
              <w:spacing w:after="0"/>
              <w:rPr>
                <w:sz w:val="20"/>
                <w:szCs w:val="20"/>
                <w:color w:val="auto"/>
              </w:rPr>
            </w:pPr>
            <w:r>
              <w:rPr>
                <w:rFonts w:ascii="Arial" w:cs="Arial" w:eastAsia="Arial" w:hAnsi="Arial"/>
                <w:sz w:val="18"/>
                <w:szCs w:val="18"/>
                <w:color w:val="auto"/>
                <w:w w:val="99"/>
              </w:rPr>
              <w:t>January 19, 2021</w:t>
            </w:r>
          </w:p>
        </w:tc>
      </w:tr>
      <w:tr>
        <w:trPr>
          <w:trHeight w:val="236"/>
        </w:trPr>
        <w:tc>
          <w:tcPr>
            <w:tcW w:w="3280" w:type="dxa"/>
            <w:vAlign w:val="bottom"/>
          </w:tcPr>
          <w:p>
            <w:pPr>
              <w:jc w:val="center"/>
              <w:spacing w:after="0"/>
              <w:rPr>
                <w:sz w:val="20"/>
                <w:szCs w:val="20"/>
                <w:color w:val="auto"/>
              </w:rPr>
            </w:pPr>
            <w:r>
              <w:rPr>
                <w:rFonts w:ascii="Arial" w:cs="Arial" w:eastAsia="Arial" w:hAnsi="Arial"/>
                <w:sz w:val="18"/>
                <w:szCs w:val="18"/>
                <w:color w:val="auto"/>
              </w:rPr>
              <w:t>Leen Kawas</w:t>
            </w:r>
          </w:p>
        </w:tc>
        <w:tc>
          <w:tcPr>
            <w:tcW w:w="4980" w:type="dxa"/>
            <w:vAlign w:val="bottom"/>
          </w:tcPr>
          <w:p>
            <w:pPr>
              <w:ind w:left="60"/>
              <w:spacing w:after="0"/>
              <w:rPr>
                <w:sz w:val="20"/>
                <w:szCs w:val="20"/>
                <w:color w:val="auto"/>
              </w:rPr>
            </w:pPr>
            <w:r>
              <w:rPr>
                <w:rFonts w:ascii="Arial" w:cs="Arial" w:eastAsia="Arial" w:hAnsi="Arial"/>
                <w:sz w:val="18"/>
                <w:szCs w:val="18"/>
                <w:i w:val="1"/>
                <w:iCs w:val="1"/>
                <w:color w:val="auto"/>
              </w:rPr>
              <w:t>(Principal Executive Officer)</w:t>
            </w:r>
          </w:p>
        </w:tc>
        <w:tc>
          <w:tcPr>
            <w:tcW w:w="2600" w:type="dxa"/>
            <w:vAlign w:val="bottom"/>
          </w:tcPr>
          <w:p>
            <w:pPr>
              <w:spacing w:after="0"/>
              <w:rPr>
                <w:sz w:val="20"/>
                <w:szCs w:val="20"/>
                <w:color w:val="auto"/>
              </w:rPr>
            </w:pPr>
          </w:p>
        </w:tc>
      </w:tr>
      <w:tr>
        <w:trPr>
          <w:trHeight w:val="31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Glenna Mileson</w:t>
            </w:r>
          </w:p>
        </w:tc>
        <w:tc>
          <w:tcPr>
            <w:tcW w:w="4980" w:type="dxa"/>
            <w:vAlign w:val="bottom"/>
          </w:tcPr>
          <w:p>
            <w:pPr>
              <w:ind w:left="60"/>
              <w:spacing w:after="0"/>
              <w:rPr>
                <w:sz w:val="20"/>
                <w:szCs w:val="20"/>
                <w:color w:val="auto"/>
              </w:rPr>
            </w:pPr>
            <w:r>
              <w:rPr>
                <w:rFonts w:ascii="Arial" w:cs="Arial" w:eastAsia="Arial" w:hAnsi="Arial"/>
                <w:sz w:val="18"/>
                <w:szCs w:val="18"/>
                <w:color w:val="auto"/>
              </w:rPr>
              <w:t>Chief Financial Officer</w:t>
            </w:r>
          </w:p>
        </w:tc>
        <w:tc>
          <w:tcPr>
            <w:tcW w:w="2600" w:type="dxa"/>
            <w:vAlign w:val="bottom"/>
          </w:tcPr>
          <w:p>
            <w:pPr>
              <w:jc w:val="center"/>
              <w:ind w:left="1132"/>
              <w:spacing w:after="0"/>
              <w:rPr>
                <w:sz w:val="20"/>
                <w:szCs w:val="20"/>
                <w:color w:val="auto"/>
              </w:rPr>
            </w:pPr>
            <w:r>
              <w:rPr>
                <w:rFonts w:ascii="Arial" w:cs="Arial" w:eastAsia="Arial" w:hAnsi="Arial"/>
                <w:sz w:val="18"/>
                <w:szCs w:val="18"/>
                <w:color w:val="auto"/>
                <w:w w:val="99"/>
              </w:rPr>
              <w:t>January 19, 2021</w:t>
            </w:r>
          </w:p>
        </w:tc>
      </w:tr>
      <w:tr>
        <w:trPr>
          <w:trHeight w:val="236"/>
        </w:trPr>
        <w:tc>
          <w:tcPr>
            <w:tcW w:w="3280" w:type="dxa"/>
            <w:vAlign w:val="bottom"/>
          </w:tcPr>
          <w:p>
            <w:pPr>
              <w:jc w:val="center"/>
              <w:spacing w:after="0"/>
              <w:rPr>
                <w:sz w:val="20"/>
                <w:szCs w:val="20"/>
                <w:color w:val="auto"/>
              </w:rPr>
            </w:pPr>
            <w:r>
              <w:rPr>
                <w:rFonts w:ascii="Arial" w:cs="Arial" w:eastAsia="Arial" w:hAnsi="Arial"/>
                <w:sz w:val="18"/>
                <w:szCs w:val="18"/>
                <w:color w:val="auto"/>
                <w:w w:val="99"/>
              </w:rPr>
              <w:t>Glenna Mileson</w:t>
            </w:r>
          </w:p>
        </w:tc>
        <w:tc>
          <w:tcPr>
            <w:tcW w:w="498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and Accounting Officer)</w:t>
            </w:r>
          </w:p>
        </w:tc>
        <w:tc>
          <w:tcPr>
            <w:tcW w:w="2600" w:type="dxa"/>
            <w:vAlign w:val="bottom"/>
          </w:tcPr>
          <w:p>
            <w:pPr>
              <w:spacing w:after="0"/>
              <w:rPr>
                <w:sz w:val="20"/>
                <w:szCs w:val="20"/>
                <w:color w:val="auto"/>
              </w:rPr>
            </w:pPr>
          </w:p>
        </w:tc>
      </w:tr>
      <w:tr>
        <w:trPr>
          <w:trHeight w:val="31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Tadataka Yamada</w:t>
            </w:r>
          </w:p>
        </w:tc>
        <w:tc>
          <w:tcPr>
            <w:tcW w:w="4980" w:type="dxa"/>
            <w:vAlign w:val="bottom"/>
          </w:tcPr>
          <w:p>
            <w:pPr>
              <w:ind w:left="60"/>
              <w:spacing w:after="0"/>
              <w:rPr>
                <w:sz w:val="20"/>
                <w:szCs w:val="20"/>
                <w:color w:val="auto"/>
              </w:rPr>
            </w:pPr>
            <w:r>
              <w:rPr>
                <w:rFonts w:ascii="Arial" w:cs="Arial" w:eastAsia="Arial" w:hAnsi="Arial"/>
                <w:sz w:val="18"/>
                <w:szCs w:val="18"/>
                <w:color w:val="auto"/>
              </w:rPr>
              <w:t>Chairman of the Board of Directors</w:t>
            </w:r>
          </w:p>
        </w:tc>
        <w:tc>
          <w:tcPr>
            <w:tcW w:w="2600" w:type="dxa"/>
            <w:vAlign w:val="bottom"/>
          </w:tcPr>
          <w:p>
            <w:pPr>
              <w:jc w:val="center"/>
              <w:ind w:left="1132"/>
              <w:spacing w:after="0"/>
              <w:rPr>
                <w:sz w:val="20"/>
                <w:szCs w:val="20"/>
                <w:color w:val="auto"/>
              </w:rPr>
            </w:pPr>
            <w:r>
              <w:rPr>
                <w:rFonts w:ascii="Arial" w:cs="Arial" w:eastAsia="Arial" w:hAnsi="Arial"/>
                <w:sz w:val="18"/>
                <w:szCs w:val="18"/>
                <w:color w:val="auto"/>
                <w:w w:val="99"/>
              </w:rPr>
              <w:t>January 19, 2021</w:t>
            </w:r>
          </w:p>
        </w:tc>
      </w:tr>
      <w:tr>
        <w:trPr>
          <w:trHeight w:val="236"/>
        </w:trPr>
        <w:tc>
          <w:tcPr>
            <w:tcW w:w="3280" w:type="dxa"/>
            <w:vAlign w:val="bottom"/>
          </w:tcPr>
          <w:p>
            <w:pPr>
              <w:jc w:val="center"/>
              <w:spacing w:after="0"/>
              <w:rPr>
                <w:sz w:val="20"/>
                <w:szCs w:val="20"/>
                <w:color w:val="auto"/>
              </w:rPr>
            </w:pPr>
            <w:r>
              <w:rPr>
                <w:rFonts w:ascii="Arial" w:cs="Arial" w:eastAsia="Arial" w:hAnsi="Arial"/>
                <w:sz w:val="18"/>
                <w:szCs w:val="18"/>
                <w:color w:val="auto"/>
                <w:w w:val="97"/>
              </w:rPr>
              <w:t>Tadataka Yamada</w:t>
            </w:r>
          </w:p>
        </w:tc>
        <w:tc>
          <w:tcPr>
            <w:tcW w:w="498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31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Joseph Edelman</w:t>
            </w:r>
          </w:p>
        </w:tc>
        <w:tc>
          <w:tcPr>
            <w:tcW w:w="49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1132"/>
              <w:spacing w:after="0"/>
              <w:rPr>
                <w:sz w:val="20"/>
                <w:szCs w:val="20"/>
                <w:color w:val="auto"/>
              </w:rPr>
            </w:pPr>
            <w:r>
              <w:rPr>
                <w:rFonts w:ascii="Arial" w:cs="Arial" w:eastAsia="Arial" w:hAnsi="Arial"/>
                <w:sz w:val="18"/>
                <w:szCs w:val="18"/>
                <w:color w:val="auto"/>
                <w:w w:val="99"/>
              </w:rPr>
              <w:t>January 19, 2021</w:t>
            </w:r>
          </w:p>
        </w:tc>
      </w:tr>
      <w:tr>
        <w:trPr>
          <w:trHeight w:val="236"/>
        </w:trPr>
        <w:tc>
          <w:tcPr>
            <w:tcW w:w="3280" w:type="dxa"/>
            <w:vAlign w:val="bottom"/>
          </w:tcPr>
          <w:p>
            <w:pPr>
              <w:jc w:val="center"/>
              <w:spacing w:after="0"/>
              <w:rPr>
                <w:sz w:val="20"/>
                <w:szCs w:val="20"/>
                <w:color w:val="auto"/>
              </w:rPr>
            </w:pPr>
            <w:r>
              <w:rPr>
                <w:rFonts w:ascii="Arial" w:cs="Arial" w:eastAsia="Arial" w:hAnsi="Arial"/>
                <w:sz w:val="18"/>
                <w:szCs w:val="18"/>
                <w:color w:val="auto"/>
                <w:w w:val="99"/>
              </w:rPr>
              <w:t>Joseph Edelman</w:t>
            </w:r>
          </w:p>
        </w:tc>
        <w:tc>
          <w:tcPr>
            <w:tcW w:w="498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31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John M. Fluke, Jr.</w:t>
            </w:r>
          </w:p>
        </w:tc>
        <w:tc>
          <w:tcPr>
            <w:tcW w:w="49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1132"/>
              <w:spacing w:after="0"/>
              <w:rPr>
                <w:sz w:val="20"/>
                <w:szCs w:val="20"/>
                <w:color w:val="auto"/>
              </w:rPr>
            </w:pPr>
            <w:r>
              <w:rPr>
                <w:rFonts w:ascii="Arial" w:cs="Arial" w:eastAsia="Arial" w:hAnsi="Arial"/>
                <w:sz w:val="18"/>
                <w:szCs w:val="18"/>
                <w:color w:val="auto"/>
                <w:w w:val="99"/>
              </w:rPr>
              <w:t>January 19, 2021</w:t>
            </w:r>
          </w:p>
        </w:tc>
      </w:tr>
      <w:tr>
        <w:trPr>
          <w:trHeight w:val="236"/>
        </w:trPr>
        <w:tc>
          <w:tcPr>
            <w:tcW w:w="3280" w:type="dxa"/>
            <w:vAlign w:val="bottom"/>
          </w:tcPr>
          <w:p>
            <w:pPr>
              <w:jc w:val="center"/>
              <w:spacing w:after="0"/>
              <w:rPr>
                <w:sz w:val="20"/>
                <w:szCs w:val="20"/>
                <w:color w:val="auto"/>
              </w:rPr>
            </w:pPr>
            <w:r>
              <w:rPr>
                <w:rFonts w:ascii="Arial" w:cs="Arial" w:eastAsia="Arial" w:hAnsi="Arial"/>
                <w:sz w:val="18"/>
                <w:szCs w:val="18"/>
                <w:color w:val="auto"/>
                <w:w w:val="99"/>
              </w:rPr>
              <w:t>John M. Fluke, Jr.</w:t>
            </w:r>
          </w:p>
        </w:tc>
        <w:tc>
          <w:tcPr>
            <w:tcW w:w="498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31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James A. Johnson</w:t>
            </w:r>
          </w:p>
        </w:tc>
        <w:tc>
          <w:tcPr>
            <w:tcW w:w="49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1132"/>
              <w:spacing w:after="0"/>
              <w:rPr>
                <w:sz w:val="20"/>
                <w:szCs w:val="20"/>
                <w:color w:val="auto"/>
              </w:rPr>
            </w:pPr>
            <w:r>
              <w:rPr>
                <w:rFonts w:ascii="Arial" w:cs="Arial" w:eastAsia="Arial" w:hAnsi="Arial"/>
                <w:sz w:val="18"/>
                <w:szCs w:val="18"/>
                <w:color w:val="auto"/>
                <w:w w:val="99"/>
              </w:rPr>
              <w:t>January 19, 2021</w:t>
            </w:r>
          </w:p>
        </w:tc>
      </w:tr>
      <w:tr>
        <w:trPr>
          <w:trHeight w:val="236"/>
        </w:trPr>
        <w:tc>
          <w:tcPr>
            <w:tcW w:w="3280" w:type="dxa"/>
            <w:vAlign w:val="bottom"/>
          </w:tcPr>
          <w:p>
            <w:pPr>
              <w:jc w:val="center"/>
              <w:spacing w:after="0"/>
              <w:rPr>
                <w:sz w:val="20"/>
                <w:szCs w:val="20"/>
                <w:color w:val="auto"/>
              </w:rPr>
            </w:pPr>
            <w:r>
              <w:rPr>
                <w:rFonts w:ascii="Arial" w:cs="Arial" w:eastAsia="Arial" w:hAnsi="Arial"/>
                <w:sz w:val="18"/>
                <w:szCs w:val="18"/>
                <w:color w:val="auto"/>
                <w:w w:val="99"/>
              </w:rPr>
              <w:t>James A. Johnson</w:t>
            </w:r>
          </w:p>
        </w:tc>
        <w:tc>
          <w:tcPr>
            <w:tcW w:w="498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31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Kelly A. Romano</w:t>
            </w:r>
          </w:p>
        </w:tc>
        <w:tc>
          <w:tcPr>
            <w:tcW w:w="4980" w:type="dxa"/>
            <w:vAlign w:val="bottom"/>
          </w:tcPr>
          <w:p>
            <w:pPr>
              <w:ind w:left="6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1132"/>
              <w:spacing w:after="0"/>
              <w:rPr>
                <w:sz w:val="20"/>
                <w:szCs w:val="20"/>
                <w:color w:val="auto"/>
              </w:rPr>
            </w:pPr>
            <w:r>
              <w:rPr>
                <w:rFonts w:ascii="Arial" w:cs="Arial" w:eastAsia="Arial" w:hAnsi="Arial"/>
                <w:sz w:val="18"/>
                <w:szCs w:val="18"/>
                <w:color w:val="auto"/>
                <w:w w:val="99"/>
              </w:rPr>
              <w:t>January 19, 2021</w:t>
            </w:r>
          </w:p>
        </w:tc>
      </w:tr>
      <w:tr>
        <w:trPr>
          <w:trHeight w:val="236"/>
        </w:trPr>
        <w:tc>
          <w:tcPr>
            <w:tcW w:w="3280" w:type="dxa"/>
            <w:vAlign w:val="bottom"/>
          </w:tcPr>
          <w:p>
            <w:pPr>
              <w:jc w:val="center"/>
              <w:spacing w:after="0"/>
              <w:rPr>
                <w:sz w:val="20"/>
                <w:szCs w:val="20"/>
                <w:color w:val="auto"/>
              </w:rPr>
            </w:pPr>
            <w:r>
              <w:rPr>
                <w:rFonts w:ascii="Arial" w:cs="Arial" w:eastAsia="Arial" w:hAnsi="Arial"/>
                <w:sz w:val="18"/>
                <w:szCs w:val="18"/>
                <w:color w:val="auto"/>
                <w:w w:val="99"/>
              </w:rPr>
              <w:t>Kelly A. Romano</w:t>
            </w:r>
          </w:p>
        </w:tc>
        <w:tc>
          <w:tcPr>
            <w:tcW w:w="4980" w:type="dxa"/>
            <w:vAlign w:val="bottom"/>
          </w:tcPr>
          <w:p>
            <w:pPr>
              <w:spacing w:after="0"/>
              <w:rPr>
                <w:sz w:val="20"/>
                <w:szCs w:val="20"/>
                <w:color w:val="auto"/>
              </w:rPr>
            </w:pPr>
          </w:p>
        </w:tc>
        <w:tc>
          <w:tcPr>
            <w:tcW w:w="26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160"/>
          </w:cols>
          <w:pgMar w:left="320" w:top="547" w:right="41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color w:val="auto"/>
        </w:rPr>
        <w:t>Exhibit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 par value $0.0001 per share</w:t>
      </w:r>
    </w:p>
    <w:p>
      <w:pPr>
        <w:spacing w:after="0" w:line="2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_________</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Underwriting Agreement</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Goldman Sachs &amp; Co.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Jefferies LLC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representatives (the “Representatives”) of the several Underwriters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named in Schedule I hereto</w:t>
      </w:r>
    </w:p>
    <w:p>
      <w:pPr>
        <w:sectPr>
          <w:pgSz w:w="11900" w:h="16838" w:orient="portrait"/>
          <w:cols w:equalWidth="0" w:num="1">
            <w:col w:w="11240"/>
          </w:cols>
          <w:pgMar w:left="320" w:top="121" w:right="33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Goldman Sachs &amp; 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 West Street</w:t>
      </w:r>
    </w:p>
    <w:p>
      <w:pPr>
        <w:spacing w:after="0"/>
        <w:rPr>
          <w:sz w:val="20"/>
          <w:szCs w:val="20"/>
          <w:color w:val="auto"/>
        </w:rPr>
      </w:pPr>
      <w:r>
        <w:rPr>
          <w:rFonts w:ascii="Times New Roman" w:cs="Times New Roman" w:eastAsia="Times New Roman" w:hAnsi="Times New Roman"/>
          <w:sz w:val="19"/>
          <w:szCs w:val="19"/>
          <w:color w:val="auto"/>
        </w:rPr>
        <w:t>New York, New York 10282</w:t>
      </w:r>
    </w:p>
    <w:p>
      <w:pPr>
        <w:spacing w:after="0" w:line="200" w:lineRule="exact"/>
        <w:rPr>
          <w:sz w:val="20"/>
          <w:szCs w:val="20"/>
          <w:color w:val="auto"/>
        </w:rPr>
      </w:pPr>
    </w:p>
    <w:p>
      <w:pPr>
        <w:sectPr>
          <w:pgSz w:w="11900" w:h="16838" w:orient="portrait"/>
          <w:cols w:equalWidth="0" w:num="2">
            <w:col w:w="240" w:space="620"/>
            <w:col w:w="10380"/>
          </w:cols>
          <w:pgMar w:left="320" w:top="121" w:right="3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20"/>
          <w:szCs w:val="20"/>
          <w:color w:val="auto"/>
        </w:rPr>
        <w:t>Jefferies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520 Madison Avenue</w:t>
      </w:r>
    </w:p>
    <w:p>
      <w:pPr>
        <w:spacing w:after="0"/>
        <w:rPr>
          <w:sz w:val="20"/>
          <w:szCs w:val="20"/>
          <w:color w:val="auto"/>
        </w:rPr>
      </w:pPr>
      <w:r>
        <w:rPr>
          <w:rFonts w:ascii="Times New Roman" w:cs="Times New Roman" w:eastAsia="Times New Roman" w:hAnsi="Times New Roman"/>
          <w:sz w:val="19"/>
          <w:szCs w:val="19"/>
          <w:color w:val="auto"/>
        </w:rPr>
        <w:t>New York, New York 10022</w:t>
      </w:r>
    </w:p>
    <w:p>
      <w:pPr>
        <w:spacing w:after="0" w:line="200" w:lineRule="exact"/>
        <w:rPr>
          <w:sz w:val="20"/>
          <w:szCs w:val="20"/>
          <w:color w:val="auto"/>
        </w:rPr>
      </w:pPr>
    </w:p>
    <w:p>
      <w:pPr>
        <w:sectPr>
          <w:pgSz w:w="11900" w:h="16838" w:orient="portrait"/>
          <w:cols w:equalWidth="0" w:num="2">
            <w:col w:w="240" w:space="640"/>
            <w:col w:w="10360"/>
          </w:cols>
          <w:pgMar w:left="320" w:top="121"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ind w:firstLine="864"/>
        <w:spacing w:after="0" w:line="264" w:lineRule="auto"/>
        <w:rPr>
          <w:sz w:val="20"/>
          <w:szCs w:val="20"/>
          <w:color w:val="auto"/>
        </w:rPr>
      </w:pPr>
      <w:r>
        <w:rPr>
          <w:rFonts w:ascii="Times New Roman" w:cs="Times New Roman" w:eastAsia="Times New Roman" w:hAnsi="Times New Roman"/>
          <w:sz w:val="19"/>
          <w:szCs w:val="19"/>
          <w:color w:val="auto"/>
        </w:rPr>
        <w:t>Athira Pharma, Inc., a Delaware corporation (the “Company”), proposes, subject to the terms and conditions stated in this agreement (this “Agreement”), to issue and sell to the several Underwriters named in Schedule I hereto (the “Underwriters”) an aggregate of</w:t>
      </w:r>
    </w:p>
    <w:p>
      <w:pPr>
        <w:jc w:val="both"/>
        <w:ind w:firstLine="8"/>
        <w:spacing w:after="0" w:line="241" w:lineRule="auto"/>
        <w:tabs>
          <w:tab w:leader="none" w:pos="313"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shares (the “Firm Shares”) and, at the election of the Underwriters, up to [●] additional shares (the “Optional Shares”) of common stock, par value $0.0001 per share (“Stock”), of the Company (the Firm Shares and the Optional Shares that the Underwriters elect to purchase pursuant to Section 2 hereof being collectively called the “Shares”). In the event that the Company has a single subsidiary or does not have any subsidiaries, then all references herein to “subsidiaries” of the Company shall be deemed to refer to such single subsidiary or to the Company, respectively,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800" w:hanging="792"/>
        <w:spacing w:after="0"/>
        <w:tabs>
          <w:tab w:leader="none" w:pos="8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represents and warrants to, and agrees with, each of the Underwriters that:</w:t>
      </w:r>
    </w:p>
    <w:p>
      <w:pPr>
        <w:spacing w:after="0" w:line="215" w:lineRule="exact"/>
        <w:rPr>
          <w:rFonts w:ascii="Times New Roman" w:cs="Times New Roman" w:eastAsia="Times New Roman" w:hAnsi="Times New Roman"/>
          <w:sz w:val="20"/>
          <w:szCs w:val="20"/>
          <w:color w:val="auto"/>
        </w:rPr>
      </w:pPr>
    </w:p>
    <w:p>
      <w:pPr>
        <w:jc w:val="both"/>
        <w:ind w:firstLine="872"/>
        <w:spacing w:after="0" w:line="233" w:lineRule="exact"/>
        <w:tabs>
          <w:tab w:leader="none" w:pos="1731"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registration statement on Form S-1 (File No. 333–[●]) (the “Initial Registration Statement”) in respect of the Shares has been filed with the Securities and Exchange Commission (the “Commission”); the Initial Registration Statement and any post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4946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9" w:name="page260"/>
    <w:bookmarkEnd w:id="259"/>
    <w:p>
      <w:pPr>
        <w:jc w:val="both"/>
        <w:spacing w:after="0" w:line="255" w:lineRule="auto"/>
        <w:rPr>
          <w:sz w:val="20"/>
          <w:szCs w:val="20"/>
          <w:color w:val="auto"/>
        </w:rPr>
      </w:pPr>
      <w:r>
        <w:rPr>
          <w:rFonts w:ascii="Times New Roman" w:cs="Times New Roman" w:eastAsia="Times New Roman" w:hAnsi="Times New Roman"/>
          <w:sz w:val="19"/>
          <w:szCs w:val="19"/>
          <w:color w:val="auto"/>
        </w:rPr>
        <w:t>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 and any “bona fide electronic road show” as defined in Rule 433(h)(5) under the Act that has been made available without restriction to any person is hereinafter called a “broadly available road show”;</w:t>
      </w:r>
    </w:p>
    <w:p>
      <w:pPr>
        <w:spacing w:after="0" w:line="182" w:lineRule="exact"/>
        <w:rPr>
          <w:sz w:val="20"/>
          <w:szCs w:val="20"/>
          <w:color w:val="auto"/>
        </w:rPr>
      </w:pPr>
    </w:p>
    <w:p>
      <w:pPr>
        <w:jc w:val="both"/>
        <w:ind w:firstLine="872"/>
        <w:spacing w:after="0" w:line="260" w:lineRule="auto"/>
        <w:tabs>
          <w:tab w:leader="none" w:pos="1742"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of this Agreement);</w:t>
      </w:r>
    </w:p>
    <w:p>
      <w:pPr>
        <w:spacing w:after="0" w:line="172" w:lineRule="exact"/>
        <w:rPr>
          <w:rFonts w:ascii="Times New Roman" w:cs="Times New Roman" w:eastAsia="Times New Roman" w:hAnsi="Times New Roman"/>
          <w:sz w:val="19"/>
          <w:szCs w:val="19"/>
          <w:color w:val="auto"/>
        </w:rPr>
      </w:pPr>
    </w:p>
    <w:p>
      <w:pPr>
        <w:jc w:val="both"/>
        <w:ind w:firstLine="872"/>
        <w:spacing w:after="0" w:line="242" w:lineRule="auto"/>
        <w:tabs>
          <w:tab w:leader="none" w:pos="1731"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Agreement, the “Applicable Time” is [ ● ] p.m., New York City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each broadly available road show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187" w:lineRule="exact"/>
        <w:rPr>
          <w:rFonts w:ascii="Times New Roman" w:cs="Times New Roman" w:eastAsia="Times New Roman" w:hAnsi="Times New Roman"/>
          <w:sz w:val="20"/>
          <w:szCs w:val="20"/>
          <w:color w:val="auto"/>
        </w:rPr>
      </w:pPr>
    </w:p>
    <w:p>
      <w:pPr>
        <w:jc w:val="both"/>
        <w:ind w:firstLine="872"/>
        <w:spacing w:after="0" w:line="244" w:lineRule="auto"/>
        <w:tabs>
          <w:tab w:leader="none" w:pos="1742"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Statement, at the time it was declared effective, conformed, and the Prospectus and any further amendments or supplements to the Registration Statement and the Prospectus, on the date when such prospectus is filed,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20"/>
          <w:szCs w:val="20"/>
          <w:color w:val="auto"/>
        </w:rPr>
        <w:t>apply to any statements or omissions made in reliance upon and in conformity with the Underwriter Information;</w:t>
      </w:r>
    </w:p>
    <w:p>
      <w:pPr>
        <w:spacing w:after="0" w:line="216" w:lineRule="exact"/>
        <w:rPr>
          <w:sz w:val="20"/>
          <w:szCs w:val="20"/>
          <w:color w:val="auto"/>
        </w:rPr>
      </w:pPr>
    </w:p>
    <w:p>
      <w:pPr>
        <w:jc w:val="both"/>
        <w:ind w:firstLine="872"/>
        <w:spacing w:after="0" w:line="255" w:lineRule="auto"/>
        <w:tabs>
          <w:tab w:leader="none" w:pos="1731" w:val="left"/>
        </w:tabs>
        <w:numPr>
          <w:ilvl w:val="1"/>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any of its subsidiaries has, since the date of the latest audited financial statements included in the Pricing Prospectus, (i) sustained any material loss or material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w:t>
      </w:r>
    </w:p>
    <w:p>
      <w:pPr>
        <w:spacing w:after="0" w:line="3" w:lineRule="exact"/>
        <w:rPr>
          <w:rFonts w:ascii="Times New Roman" w:cs="Times New Roman" w:eastAsia="Times New Roman" w:hAnsi="Times New Roman"/>
          <w:sz w:val="19"/>
          <w:szCs w:val="19"/>
          <w:color w:val="auto"/>
        </w:rPr>
      </w:pPr>
    </w:p>
    <w:p>
      <w:pPr>
        <w:jc w:val="both"/>
        <w:ind w:firstLine="8"/>
        <w:spacing w:after="0" w:line="232" w:lineRule="exact"/>
        <w:tabs>
          <w:tab w:leader="none" w:pos="239"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exercise, if any, of stock options or the award, if any, of stock options or restricted stock in the ordinary course of business pursuant to the Company’s equity plans that are described in the Pricing Prospectus and the Prospectus, (ii) the repurchase of shares of capital stock pursuant to agreements providing for an option to repurchase or a right of first refusal on behalf of the Company that are described in the Pricing Prospectus and the Prospectus or (iii) the issuance, if any, of stock upon exercise or conversion of Company securities as described in the Pricing Prospectus and the Prospectus) or long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debt of the Company or any of its subsidiaries or (y) any Material Adverse Effect (as defined below); as used in this Agreement, “Material Adverse Effect” shall mean a material adverse change or effect, or any development involving a prospective material adverse change or effect, in or affecting (i) the business, properties, general affairs, management, financial position, stockholders’ equity, prospects or results of operations of the Company and its subsidiaries, taken as a whole,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190" w:lineRule="exact"/>
        <w:rPr>
          <w:rFonts w:ascii="Times New Roman" w:cs="Times New Roman" w:eastAsia="Times New Roman" w:hAnsi="Times New Roman"/>
          <w:sz w:val="19"/>
          <w:szCs w:val="19"/>
          <w:color w:val="auto"/>
        </w:rPr>
      </w:pPr>
    </w:p>
    <w:p>
      <w:pPr>
        <w:jc w:val="both"/>
        <w:ind w:firstLine="872"/>
        <w:spacing w:after="0" w:line="243" w:lineRule="auto"/>
        <w:tabs>
          <w:tab w:leader="none" w:pos="1709"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valid title to all personal property owned by them (other than with respect to Company Intellectual Property (as defined below), which for the avoidance of doubt is addressed exclusively in subsection (ii) below), in each case free and clear of all liens, encumbrances and defects except such as are described in the Pricing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and none of the Company and its subsidiaries own any real property;</w:t>
      </w:r>
    </w:p>
    <w:p>
      <w:pPr>
        <w:spacing w:after="0" w:line="189" w:lineRule="exact"/>
        <w:rPr>
          <w:rFonts w:ascii="Times New Roman" w:cs="Times New Roman" w:eastAsia="Times New Roman" w:hAnsi="Times New Roman"/>
          <w:sz w:val="20"/>
          <w:szCs w:val="20"/>
          <w:color w:val="auto"/>
        </w:rPr>
      </w:pPr>
    </w:p>
    <w:p>
      <w:pPr>
        <w:jc w:val="both"/>
        <w:ind w:firstLine="872"/>
        <w:spacing w:after="0" w:line="244" w:lineRule="auto"/>
        <w:tabs>
          <w:tab w:leader="none" w:pos="1742"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 and its subsidiaries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required to be listed in the Registration Statement has been listed in the Registration Statement;</w:t>
      </w:r>
    </w:p>
    <w:p>
      <w:pPr>
        <w:spacing w:after="0" w:line="185" w:lineRule="exact"/>
        <w:rPr>
          <w:rFonts w:ascii="Times New Roman" w:cs="Times New Roman" w:eastAsia="Times New Roman" w:hAnsi="Times New Roman"/>
          <w:sz w:val="20"/>
          <w:szCs w:val="20"/>
          <w:color w:val="auto"/>
        </w:rPr>
      </w:pPr>
    </w:p>
    <w:p>
      <w:pPr>
        <w:jc w:val="both"/>
        <w:ind w:firstLine="872"/>
        <w:spacing w:after="0" w:line="254" w:lineRule="auto"/>
        <w:tabs>
          <w:tab w:leader="none" w:pos="1742"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an authorized capitalization as set forth in the Pricing Prospectus and all of the issued shares of capital stock of the Company have been duly and validly authorized and issued and are fully paid and non-assessable and conform to the description of the Stock contained in the Pricing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1" w:name="page262"/>
    <w:bookmarkEnd w:id="261"/>
    <w:p>
      <w:pPr>
        <w:jc w:val="both"/>
        <w:spacing w:after="0" w:line="249" w:lineRule="auto"/>
        <w:rPr>
          <w:sz w:val="20"/>
          <w:szCs w:val="20"/>
          <w:color w:val="auto"/>
        </w:rPr>
      </w:pPr>
      <w:r>
        <w:rPr>
          <w:rFonts w:ascii="Times New Roman" w:cs="Times New Roman" w:eastAsia="Times New Roman" w:hAnsi="Times New Roman"/>
          <w:sz w:val="20"/>
          <w:szCs w:val="20"/>
          <w:color w:val="auto"/>
        </w:rPr>
        <w:t>Disclosure Package and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Pricing Prospectus and the Prospectus;</w:t>
      </w:r>
    </w:p>
    <w:p>
      <w:pPr>
        <w:spacing w:after="0" w:line="180" w:lineRule="exact"/>
        <w:rPr>
          <w:sz w:val="20"/>
          <w:szCs w:val="20"/>
          <w:color w:val="auto"/>
        </w:rPr>
      </w:pPr>
    </w:p>
    <w:p>
      <w:pPr>
        <w:jc w:val="both"/>
        <w:ind w:firstLine="872"/>
        <w:spacing w:after="0" w:line="238" w:lineRule="exact"/>
        <w:tabs>
          <w:tab w:leader="none" w:pos="169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to be issued and sold by the Company to the Underwriters hereunder have been duly and validly authorized and, when issued and delivered against payment therefor as provided herein, will be duly and validly issued and fully paid and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assessable and will conform to the description of the Stock contained in the Pricing Disclosure Package and the Prospectus; and the issuance of the Shares is not subject to any preemptive or similar rights, except as have been validly waived or complied with in connection with the offering of the Shares;</w:t>
      </w:r>
    </w:p>
    <w:p>
      <w:pPr>
        <w:spacing w:after="0" w:line="188" w:lineRule="exact"/>
        <w:rPr>
          <w:rFonts w:ascii="Times New Roman" w:cs="Times New Roman" w:eastAsia="Times New Roman" w:hAnsi="Times New Roman"/>
          <w:sz w:val="20"/>
          <w:szCs w:val="20"/>
          <w:color w:val="auto"/>
        </w:rPr>
      </w:pPr>
    </w:p>
    <w:p>
      <w:pPr>
        <w:jc w:val="both"/>
        <w:ind w:firstLine="872"/>
        <w:spacing w:after="0" w:line="241" w:lineRule="auto"/>
        <w:tabs>
          <w:tab w:leader="none" w:pos="169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 and sale of the Shares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for such conflicts, defaults, breaches or violations that would not, individually or in the aggregate, reasonably be expected to result in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the Financial Industry Regulatory Authority (“FINRA”) of the underwriting terms and arrangements and such consents, approvals, authorizations, registrations or qualifications as may be required under state securities or Blue Sky laws in connection with the purchase and distribution of the Shares by the Underwriters;</w:t>
      </w:r>
    </w:p>
    <w:p>
      <w:pPr>
        <w:spacing w:after="0" w:line="195" w:lineRule="exact"/>
        <w:rPr>
          <w:rFonts w:ascii="Times New Roman" w:cs="Times New Roman" w:eastAsia="Times New Roman" w:hAnsi="Times New Roman"/>
          <w:sz w:val="20"/>
          <w:szCs w:val="20"/>
          <w:color w:val="auto"/>
        </w:rPr>
      </w:pPr>
    </w:p>
    <w:p>
      <w:pPr>
        <w:jc w:val="both"/>
        <w:ind w:firstLine="872"/>
        <w:spacing w:after="0" w:line="244" w:lineRule="auto"/>
        <w:tabs>
          <w:tab w:leader="none" w:pos="1742"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or violations as would not, individually or in the aggregate, reasonably be expected to have a Material Adverse Effect;</w:t>
      </w:r>
    </w:p>
    <w:p>
      <w:pPr>
        <w:spacing w:after="0" w:line="185" w:lineRule="exact"/>
        <w:rPr>
          <w:rFonts w:ascii="Times New Roman" w:cs="Times New Roman" w:eastAsia="Times New Roman" w:hAnsi="Times New Roman"/>
          <w:sz w:val="20"/>
          <w:szCs w:val="20"/>
          <w:color w:val="auto"/>
        </w:rPr>
      </w:pPr>
    </w:p>
    <w:p>
      <w:pPr>
        <w:jc w:val="both"/>
        <w:ind w:firstLine="872"/>
        <w:spacing w:after="0" w:line="249" w:lineRule="auto"/>
        <w:tabs>
          <w:tab w:leader="none" w:pos="169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statements set forth in the Pricing Prospectus and Prospectus under the captions “Description of Capital Stock” and “Shares Eligible for Future Sale”, insofar as they purport to constitute a summary of the terms of the Stock, under the caption “Material U.S. Federal Income Tax Consequences for Non-U.S. Holders”, and under the caption “Underwriting”, insofar as they purport to describe the provisions of the laws and documents referred to therein, are accurate, complete and fair in all material respects;</w:t>
      </w:r>
    </w:p>
    <w:p>
      <w:pPr>
        <w:spacing w:after="0" w:line="179" w:lineRule="exact"/>
        <w:rPr>
          <w:rFonts w:ascii="Times New Roman" w:cs="Times New Roman" w:eastAsia="Times New Roman" w:hAnsi="Times New Roman"/>
          <w:sz w:val="20"/>
          <w:szCs w:val="20"/>
          <w:color w:val="auto"/>
        </w:rPr>
      </w:pPr>
    </w:p>
    <w:p>
      <w:pPr>
        <w:ind w:firstLine="872"/>
        <w:spacing w:after="0" w:line="269" w:lineRule="auto"/>
        <w:tabs>
          <w:tab w:leader="none" w:pos="1797"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as set forth in the Pricing Prospectus, there are no legal or governmental proceedings pending to which the Company or any of its subsidiaries or any of their properties or, to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2" w:name="page263"/>
    <w:bookmarkEnd w:id="262"/>
    <w:p>
      <w:pPr>
        <w:jc w:val="both"/>
        <w:spacing w:after="0" w:line="246" w:lineRule="auto"/>
        <w:rPr>
          <w:sz w:val="20"/>
          <w:szCs w:val="20"/>
          <w:color w:val="auto"/>
        </w:rPr>
      </w:pPr>
      <w:r>
        <w:rPr>
          <w:rFonts w:ascii="Times New Roman" w:cs="Times New Roman" w:eastAsia="Times New Roman" w:hAnsi="Times New Roman"/>
          <w:sz w:val="20"/>
          <w:szCs w:val="20"/>
          <w:color w:val="auto"/>
        </w:rPr>
        <w:t>Company’s knowledge, any officer or director of the Company, is a party or of which any property of the Company or any of its subsidiaries or any of their properties or, to the Company’s knowledge, any officer or director of the Company, is the subject which, if determined adversely to the Company or any of its subsidiaries or any of their properties (or such officer or director), would, individually or in the aggregate, reasonably be expected to have a Material Adverse Effect; and, to the Company’s knowledge, no such proceedings are threatened or contemplated by governmental authorities or others;</w:t>
      </w:r>
    </w:p>
    <w:p>
      <w:pPr>
        <w:spacing w:after="0" w:line="185" w:lineRule="exact"/>
        <w:rPr>
          <w:sz w:val="20"/>
          <w:szCs w:val="20"/>
          <w:color w:val="auto"/>
        </w:rPr>
      </w:pPr>
    </w:p>
    <w:p>
      <w:pPr>
        <w:jc w:val="both"/>
        <w:ind w:firstLine="872"/>
        <w:spacing w:after="0" w:line="254" w:lineRule="auto"/>
        <w:tabs>
          <w:tab w:leader="none" w:pos="1742"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and, immediately after giving effect to the offering and sale of the Shares and the application of the proceeds thereof as described in the Pricing Prospectus and the Prospectus, will not be an “investment company”, as such term is defined in the Investment Company Act of 1940, as amended (the “Investment Company Act”);</w:t>
      </w:r>
    </w:p>
    <w:p>
      <w:pPr>
        <w:spacing w:after="0" w:line="174" w:lineRule="exact"/>
        <w:rPr>
          <w:rFonts w:ascii="Times New Roman" w:cs="Times New Roman" w:eastAsia="Times New Roman" w:hAnsi="Times New Roman"/>
          <w:sz w:val="20"/>
          <w:szCs w:val="20"/>
          <w:color w:val="auto"/>
        </w:rPr>
      </w:pPr>
    </w:p>
    <w:p>
      <w:pPr>
        <w:jc w:val="both"/>
        <w:ind w:firstLine="872"/>
        <w:spacing w:after="0" w:line="254" w:lineRule="auto"/>
        <w:tabs>
          <w:tab w:leader="none" w:pos="1742"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w:t>
      </w:r>
    </w:p>
    <w:p>
      <w:pPr>
        <w:spacing w:after="0" w:line="174" w:lineRule="exact"/>
        <w:rPr>
          <w:rFonts w:ascii="Times New Roman" w:cs="Times New Roman" w:eastAsia="Times New Roman" w:hAnsi="Times New Roman"/>
          <w:sz w:val="20"/>
          <w:szCs w:val="20"/>
          <w:color w:val="auto"/>
        </w:rPr>
      </w:pPr>
    </w:p>
    <w:p>
      <w:pPr>
        <w:ind w:right="20" w:firstLine="872"/>
        <w:spacing w:after="0" w:line="269" w:lineRule="auto"/>
        <w:tabs>
          <w:tab w:leader="none" w:pos="1742"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Ernst &amp; Young LLP, who have certified certain financial statements of the Company and its subsidiaries, are independent public accountants as required by the Act and the rules and regulations of the Commission thereunder;</w:t>
      </w:r>
    </w:p>
    <w:p>
      <w:pPr>
        <w:spacing w:after="0" w:line="159" w:lineRule="exact"/>
        <w:rPr>
          <w:rFonts w:ascii="Times New Roman" w:cs="Times New Roman" w:eastAsia="Times New Roman" w:hAnsi="Times New Roman"/>
          <w:sz w:val="20"/>
          <w:szCs w:val="20"/>
          <w:color w:val="auto"/>
        </w:rPr>
      </w:pPr>
    </w:p>
    <w:p>
      <w:pPr>
        <w:jc w:val="both"/>
        <w:ind w:firstLine="872"/>
        <w:spacing w:after="0" w:line="241" w:lineRule="auto"/>
        <w:tabs>
          <w:tab w:leader="none" w:pos="1742"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maintains a system of internal control over financial reporting (as such term is defined in Rule 13a-15(f) under the Securities Exchange Act of 1934, as amended (the “Exchange Act”)) that (i) complies with the requirements of the Exchange Act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(“XBRL”), if any, included in the Registration Statement is accurate to the extent required; and except as disclosed in the Pricing Prospectus, the Company’s internal control over financial reporting is effective and the Company is not aware of any material weaknesses in its internal control over financial reporting (it being understood that this subsection (q) shall not require the Company to comply with Section 404 of the Sarbanes-Oxley Act of 2002, as amended, as of an earlier date than it would otherwise be required to so comply under applicable law);</w:t>
      </w:r>
    </w:p>
    <w:p>
      <w:pPr>
        <w:spacing w:after="0" w:line="195" w:lineRule="exact"/>
        <w:rPr>
          <w:rFonts w:ascii="Times New Roman" w:cs="Times New Roman" w:eastAsia="Times New Roman" w:hAnsi="Times New Roman"/>
          <w:sz w:val="20"/>
          <w:szCs w:val="20"/>
          <w:color w:val="auto"/>
        </w:rPr>
      </w:pPr>
    </w:p>
    <w:p>
      <w:pPr>
        <w:jc w:val="both"/>
        <w:ind w:firstLine="872"/>
        <w:spacing w:after="0" w:line="254" w:lineRule="auto"/>
        <w:tabs>
          <w:tab w:leader="none" w:pos="1709"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74" w:lineRule="exact"/>
        <w:rPr>
          <w:rFonts w:ascii="Times New Roman" w:cs="Times New Roman" w:eastAsia="Times New Roman" w:hAnsi="Times New Roman"/>
          <w:sz w:val="20"/>
          <w:szCs w:val="20"/>
          <w:color w:val="auto"/>
        </w:rPr>
      </w:pPr>
    </w:p>
    <w:p>
      <w:pPr>
        <w:jc w:val="both"/>
        <w:ind w:firstLine="872"/>
        <w:spacing w:after="0" w:line="249" w:lineRule="auto"/>
        <w:tabs>
          <w:tab w:leader="none" w:pos="172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maintains disclosure controls and procedures (as such term is defined in Rule 13a-15(e) under the Exchange Act) that comply with the requirements of the Exchange Act; such disclosure controls and procedures have been designed to reasonably ensure that material information relating to the Company and its subsidiaries is made known to the Company’s principal executive officer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20"/>
          <w:szCs w:val="20"/>
          <w:color w:val="auto"/>
        </w:rPr>
        <w:t>and principal financial officer by others within these entities; and such disclosure controls and procedures are effective;</w:t>
      </w:r>
    </w:p>
    <w:p>
      <w:pPr>
        <w:spacing w:after="0" w:line="216" w:lineRule="exact"/>
        <w:rPr>
          <w:sz w:val="20"/>
          <w:szCs w:val="20"/>
          <w:color w:val="auto"/>
        </w:rPr>
      </w:pPr>
    </w:p>
    <w:p>
      <w:pPr>
        <w:ind w:left="1700" w:hanging="828"/>
        <w:spacing w:after="0"/>
        <w:tabs>
          <w:tab w:leader="none" w:pos="17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authorized, executed and delivered by the Company;</w:t>
      </w:r>
    </w:p>
    <w:p>
      <w:pPr>
        <w:spacing w:after="0" w:line="215" w:lineRule="exact"/>
        <w:rPr>
          <w:rFonts w:ascii="Times New Roman" w:cs="Times New Roman" w:eastAsia="Times New Roman" w:hAnsi="Times New Roman"/>
          <w:sz w:val="20"/>
          <w:szCs w:val="20"/>
          <w:color w:val="auto"/>
        </w:rPr>
      </w:pPr>
    </w:p>
    <w:p>
      <w:pPr>
        <w:jc w:val="both"/>
        <w:ind w:firstLine="872"/>
        <w:spacing w:after="0" w:line="243" w:lineRule="auto"/>
        <w:tabs>
          <w:tab w:leader="none" w:pos="1742"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any of its subsidiaries, any director or officer thereof, nor, to the knowledge of the Company, any controlled affiliate, employee, agent or other person associated with or acting on behalf of the Company, any of its subsidiaries or their controlled affiliates has (i) directly or indirectly made, offered, promised or authorized any unlawful payment, contribution, gift, entertainment or other unlawful benefit or expense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or (ii) violated or is in violation of any provision of the U.S. Foreign Corrupt Practices Act of 1977, as amended, the Bribery Act 2010 of the United Kingdom or any other applicable anti-bribery or anti-corruption law;</w:t>
      </w:r>
    </w:p>
    <w:p>
      <w:pPr>
        <w:spacing w:after="0" w:line="189" w:lineRule="exact"/>
        <w:rPr>
          <w:rFonts w:ascii="Times New Roman" w:cs="Times New Roman" w:eastAsia="Times New Roman" w:hAnsi="Times New Roman"/>
          <w:sz w:val="20"/>
          <w:szCs w:val="20"/>
          <w:color w:val="auto"/>
        </w:rPr>
      </w:pPr>
    </w:p>
    <w:p>
      <w:pPr>
        <w:ind w:firstLine="872"/>
        <w:spacing w:after="0" w:line="269" w:lineRule="auto"/>
        <w:tabs>
          <w:tab w:leader="none" w:pos="1742"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its subsidiaries and their controlled affiliates have instituted and maintained policies and procedures reasonably designed to promote and achieve compliance with anti-corruption laws;</w:t>
      </w:r>
    </w:p>
    <w:p>
      <w:pPr>
        <w:spacing w:after="0" w:line="159" w:lineRule="exact"/>
        <w:rPr>
          <w:rFonts w:ascii="Times New Roman" w:cs="Times New Roman" w:eastAsia="Times New Roman" w:hAnsi="Times New Roman"/>
          <w:sz w:val="20"/>
          <w:szCs w:val="20"/>
          <w:color w:val="auto"/>
        </w:rPr>
      </w:pPr>
    </w:p>
    <w:p>
      <w:pPr>
        <w:jc w:val="both"/>
        <w:ind w:firstLine="872"/>
        <w:spacing w:after="0" w:line="245" w:lineRule="auto"/>
        <w:tabs>
          <w:tab w:leader="none" w:pos="178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4" w:lineRule="exact"/>
        <w:rPr>
          <w:rFonts w:ascii="Times New Roman" w:cs="Times New Roman" w:eastAsia="Times New Roman" w:hAnsi="Times New Roman"/>
          <w:sz w:val="20"/>
          <w:szCs w:val="20"/>
          <w:color w:val="auto"/>
        </w:rPr>
      </w:pPr>
    </w:p>
    <w:p>
      <w:pPr>
        <w:jc w:val="both"/>
        <w:ind w:firstLine="872"/>
        <w:spacing w:after="0" w:line="256" w:lineRule="auto"/>
        <w:tabs>
          <w:tab w:leader="none" w:pos="1742"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Company, any of its subsidiaries, any director or officer thereof, nor to the knowledge of the Company, any controlled affiliates, employee, agent or other person associated with or acting on behalf of the Company, any of its subsidiaries or their affiliates, is, or is owned or controlled by, a person that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nor is the Company or any of its subsidiaries located, organized, or resident in a country or territory that is the subject or target of Sanctions including, without limitation, Cuba, Iran, North Korea, Syria, and Crimea,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w:t>
      </w:r>
    </w:p>
    <w:p>
      <w:pPr>
        <w:spacing w:after="0" w:line="173" w:lineRule="exact"/>
        <w:rPr>
          <w:rFonts w:ascii="Times New Roman" w:cs="Times New Roman" w:eastAsia="Times New Roman" w:hAnsi="Times New Roman"/>
          <w:sz w:val="19"/>
          <w:szCs w:val="19"/>
          <w:color w:val="auto"/>
        </w:rPr>
      </w:pPr>
    </w:p>
    <w:p>
      <w:pPr>
        <w:ind w:firstLine="872"/>
        <w:spacing w:after="0" w:line="269" w:lineRule="auto"/>
        <w:tabs>
          <w:tab w:leader="none" w:pos="1742"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 and its subsidiaries has not engaged in any transactions or dealings with any person, or in any country or territory, that at the time of the dealing or transaction is or was the subject or target of Sanctions;</w:t>
      </w:r>
    </w:p>
    <w:p>
      <w:pPr>
        <w:spacing w:after="0" w:line="159" w:lineRule="exact"/>
        <w:rPr>
          <w:rFonts w:ascii="Times New Roman" w:cs="Times New Roman" w:eastAsia="Times New Roman" w:hAnsi="Times New Roman"/>
          <w:sz w:val="20"/>
          <w:szCs w:val="20"/>
          <w:color w:val="auto"/>
        </w:rPr>
      </w:pPr>
    </w:p>
    <w:p>
      <w:pPr>
        <w:ind w:right="20" w:firstLine="872"/>
        <w:spacing w:after="0" w:line="269" w:lineRule="auto"/>
        <w:tabs>
          <w:tab w:leader="none" w:pos="1731"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statements included in the Registration Statement, the Pricing Prospectus and the Prospectus, together with the related schedules and notes, present fairly in all material respects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4" w:name="page265"/>
    <w:bookmarkEnd w:id="264"/>
    <w:p>
      <w:pPr>
        <w:jc w:val="both"/>
        <w:spacing w:after="0" w:line="243" w:lineRule="auto"/>
        <w:rPr>
          <w:sz w:val="20"/>
          <w:szCs w:val="20"/>
          <w:color w:val="auto"/>
        </w:rPr>
      </w:pPr>
      <w:r>
        <w:rPr>
          <w:rFonts w:ascii="Times New Roman" w:cs="Times New Roman" w:eastAsia="Times New Roman" w:hAnsi="Times New Roman"/>
          <w:sz w:val="20"/>
          <w:szCs w:val="20"/>
          <w:color w:val="auto"/>
        </w:rPr>
        <w:t>financial position of the Company and its subsidiaries at the dates indicated and the statement of operations, stockholders’ equity and cash flows of the Company and its subsidiaries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spacing w:after="0" w:line="186" w:lineRule="exact"/>
        <w:rPr>
          <w:sz w:val="20"/>
          <w:szCs w:val="20"/>
          <w:color w:val="auto"/>
        </w:rPr>
      </w:pPr>
    </w:p>
    <w:p>
      <w:pPr>
        <w:jc w:val="both"/>
        <w:ind w:firstLine="872"/>
        <w:spacing w:after="0" w:line="254" w:lineRule="auto"/>
        <w:tabs>
          <w:tab w:leader="none" w:pos="181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the time of initial confidential submission of the registration statement relating to the Company’s initial public offering with the Commission through the date hereof, the Company has been and is an “emerging growth company” as defined in Section 2(a)(19) of the Act (an “Emerging Growth Company”);</w:t>
      </w:r>
    </w:p>
    <w:p>
      <w:pPr>
        <w:spacing w:after="0" w:line="174" w:lineRule="exact"/>
        <w:rPr>
          <w:rFonts w:ascii="Times New Roman" w:cs="Times New Roman" w:eastAsia="Times New Roman" w:hAnsi="Times New Roman"/>
          <w:sz w:val="20"/>
          <w:szCs w:val="20"/>
          <w:color w:val="auto"/>
        </w:rPr>
      </w:pPr>
    </w:p>
    <w:p>
      <w:pPr>
        <w:jc w:val="both"/>
        <w:ind w:firstLine="872"/>
        <w:spacing w:after="0" w:line="254" w:lineRule="auto"/>
        <w:tabs>
          <w:tab w:leader="none" w:pos="1841"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persons with registration rights or other similar rights to have any securities registered pursuant to the Registration Statement or otherwise registered by the Company under the Act except as have been validly waived or complied with in connection with the offering of the Shares;</w:t>
      </w:r>
    </w:p>
    <w:p>
      <w:pPr>
        <w:spacing w:after="0" w:line="174" w:lineRule="exact"/>
        <w:rPr>
          <w:rFonts w:ascii="Times New Roman" w:cs="Times New Roman" w:eastAsia="Times New Roman" w:hAnsi="Times New Roman"/>
          <w:sz w:val="20"/>
          <w:szCs w:val="20"/>
          <w:color w:val="auto"/>
        </w:rPr>
      </w:pPr>
    </w:p>
    <w:p>
      <w:pPr>
        <w:jc w:val="both"/>
        <w:ind w:firstLine="872"/>
        <w:spacing w:after="0" w:line="249" w:lineRule="auto"/>
        <w:tabs>
          <w:tab w:leader="none" w:pos="181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labor disturbance by or dispute with current or former employees or officers of the Company exists or, to the Company’s knowledge, is contemplated or threatened, and the Company is not aware of any existing or imminent labor disturbance by, or dispute with, the employees of any of the Company’s principal suppliers, manufacturers or contractors. The Company is not a party to any collective bargaining agreement;</w:t>
      </w:r>
    </w:p>
    <w:p>
      <w:pPr>
        <w:spacing w:after="0" w:line="179" w:lineRule="exact"/>
        <w:rPr>
          <w:rFonts w:ascii="Times New Roman" w:cs="Times New Roman" w:eastAsia="Times New Roman" w:hAnsi="Times New Roman"/>
          <w:sz w:val="20"/>
          <w:szCs w:val="20"/>
          <w:color w:val="auto"/>
        </w:rPr>
      </w:pPr>
    </w:p>
    <w:p>
      <w:pPr>
        <w:jc w:val="both"/>
        <w:ind w:firstLine="872"/>
        <w:spacing w:after="0" w:line="244" w:lineRule="auto"/>
        <w:tabs>
          <w:tab w:leader="none" w:pos="1841"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insurance covering their respective properties, operations, personnel and businesses, including business interruption insurance, which insurance is in amounts and insures against such losses and risks as are reasonable and is ordinary and customary for comparable companies in the same or similar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85" w:lineRule="exact"/>
        <w:rPr>
          <w:rFonts w:ascii="Times New Roman" w:cs="Times New Roman" w:eastAsia="Times New Roman" w:hAnsi="Times New Roman"/>
          <w:sz w:val="20"/>
          <w:szCs w:val="20"/>
          <w:color w:val="auto"/>
        </w:rPr>
      </w:pPr>
    </w:p>
    <w:p>
      <w:pPr>
        <w:jc w:val="both"/>
        <w:ind w:firstLine="872"/>
        <w:spacing w:after="0" w:line="242" w:lineRule="auto"/>
        <w:tabs>
          <w:tab w:leader="none" w:pos="181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and to the Company’s knowledge, their respective directors, officers and employees (in their capacities as agents, affiliates and representatives, are, and at all times have been, in material compliance with all Health Care Laws (defined herein), including, but not limited to, the rules and regulations of the Food and Drug Administration (“FDA”) and any other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or federal healthcare program. For purposes of this Agreement, “Health Care Laws” shall mean the Federal Food, Drug, and Cosmetic Act (21 U.S.C. §§ 301 et seq.), and any other applicable federal, state, or foreign health care laws, excluding any Data Protection Requirements. The Company is not a party to or has any ongoing reporting obligations pursuant to any corporate integrity agreement, deferred prosecution agreement, monitoring agreement, consent decree, settlement order, plan of correction or similar agreement imposed by any governmental authority. The Company has not received any notification, correspondence or any other written or oral communication, including, without limitation, any FDA Form 483, notice of adverse finding,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5" w:name="page266"/>
    <w:bookmarkEnd w:id="265"/>
    <w:p>
      <w:pPr>
        <w:jc w:val="both"/>
        <w:spacing w:after="0" w:line="249" w:lineRule="auto"/>
        <w:rPr>
          <w:sz w:val="20"/>
          <w:szCs w:val="20"/>
          <w:color w:val="auto"/>
        </w:rPr>
      </w:pPr>
      <w:r>
        <w:rPr>
          <w:rFonts w:ascii="Times New Roman" w:cs="Times New Roman" w:eastAsia="Times New Roman" w:hAnsi="Times New Roman"/>
          <w:sz w:val="20"/>
          <w:szCs w:val="20"/>
          <w:color w:val="auto"/>
        </w:rPr>
        <w:t>warning letter, untitled letter or other correspondence or notice from the FDA or any similar regulatory authority, or any notification of any pending or threatened claim, suit, proceeding, hearing, enforcement, investigation, arbitration or other action, from any court, arbitrator, governmental or regulatory authority or third party, of non-compliance by, or liability of, the Company under any applicable Health Care Laws;</w:t>
      </w:r>
    </w:p>
    <w:p>
      <w:pPr>
        <w:spacing w:after="0" w:line="180" w:lineRule="exact"/>
        <w:rPr>
          <w:sz w:val="20"/>
          <w:szCs w:val="20"/>
          <w:color w:val="auto"/>
        </w:rPr>
      </w:pPr>
    </w:p>
    <w:p>
      <w:pPr>
        <w:jc w:val="both"/>
        <w:ind w:firstLine="872"/>
        <w:spacing w:after="0" w:line="242" w:lineRule="auto"/>
        <w:tabs>
          <w:tab w:leader="none" w:pos="177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 and its subsidiaries possesses, and is in material compliance with the terms of, all applications, certificates, approvals, clearances, registrations, exemptions, franchises, licenses, permits, consents and other authorizations necessary to conduct their respective businesses (collectively, “Licenses”), issued by the appropriate governmental authorities, including, without limitation, all Licenses required by the FDA, or any component thereof, the National Institutes of Health (“NIH”) and/or by any other U.S., state, local or foreign government or drug regulatory agency (collectively, the “Regulatory Agencies”). All Licenses are in full force and effect and the Company is not in violation of any term or conditions of any License. Each of the Company and its subsidiaries has fulfilled and performed all of its respective obligations with respect to the Licenses and, no event has occurred which allows, or after notice or lapse of time would allow, revocation or termination thereof or results in any other impairment of the rights of the holder of any License. The Company has not received any written notice of proceedings relating to the revocation or termination of any Licenses and no Regulatory Agency has taken any action to suspend or revoke any License possessed by the Company;</w:t>
      </w:r>
    </w:p>
    <w:p>
      <w:pPr>
        <w:spacing w:after="0" w:line="192" w:lineRule="exact"/>
        <w:rPr>
          <w:rFonts w:ascii="Times New Roman" w:cs="Times New Roman" w:eastAsia="Times New Roman" w:hAnsi="Times New Roman"/>
          <w:sz w:val="20"/>
          <w:szCs w:val="20"/>
          <w:color w:val="auto"/>
        </w:rPr>
      </w:pPr>
    </w:p>
    <w:p>
      <w:pPr>
        <w:jc w:val="both"/>
        <w:ind w:firstLine="872"/>
        <w:spacing w:after="0" w:line="242" w:lineRule="auto"/>
        <w:tabs>
          <w:tab w:leader="none" w:pos="184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pre-clinical studies and clinical trials that are described in the Registration Statement, the Pricing Prospectus and the Prospectus and are used to support a regulatory filing were and, if still pending, are being, conducted in all material respects in accordance with the protocols submitted to the FDA or any foreign governmental body exercising comparable authority, and all applicable laws and regulations; the descriptions of the pre-clinical studies and clinical trials conducted by or, to the Company’s knowledge, on behalf of the Company, and the results thereof, contained in the Registration Statement, the Pricing Prospectus and the Prospectus are accurate and complete in all material respects; the Company is not aware of any other pre-clinical studies or clinical trials, the results of which reasonably call into question the results described in the Registration Statement, the Pricing Prospectus and the Prospectus; and the Company has not received any notices or correspondence from the FDA, any foreign, state or local governmental body exercising comparable authority or any Institutional Review Board requiring the termination, suspension, or clinical hold of any pre-clinical studies or clinical trials conducted by or on behalf of the Company;</w:t>
      </w:r>
    </w:p>
    <w:p>
      <w:pPr>
        <w:spacing w:after="0" w:line="192" w:lineRule="exact"/>
        <w:rPr>
          <w:rFonts w:ascii="Times New Roman" w:cs="Times New Roman" w:eastAsia="Times New Roman" w:hAnsi="Times New Roman"/>
          <w:sz w:val="20"/>
          <w:szCs w:val="20"/>
          <w:color w:val="auto"/>
        </w:rPr>
      </w:pPr>
    </w:p>
    <w:p>
      <w:pPr>
        <w:jc w:val="both"/>
        <w:ind w:firstLine="872"/>
        <w:spacing w:after="0" w:line="246" w:lineRule="auto"/>
        <w:tabs>
          <w:tab w:leader="none" w:pos="184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or its subsidiaries, or any of their respective officers, employees, directors, clinical investigators, or, to the Company’s knowledge, any agents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 or convicted of any crime or engaged in any conduct that would reasonably be expected to result in debarment under 42 U.S.C. § 1320a-7 or 21 U.S.C. § 335a;</w:t>
      </w:r>
    </w:p>
    <w:p>
      <w:pPr>
        <w:spacing w:after="0" w:line="184" w:lineRule="exact"/>
        <w:rPr>
          <w:rFonts w:ascii="Times New Roman" w:cs="Times New Roman" w:eastAsia="Times New Roman" w:hAnsi="Times New Roman"/>
          <w:sz w:val="20"/>
          <w:szCs w:val="20"/>
          <w:color w:val="auto"/>
        </w:rPr>
      </w:pPr>
    </w:p>
    <w:p>
      <w:pPr>
        <w:jc w:val="both"/>
        <w:ind w:firstLine="872"/>
        <w:spacing w:after="0" w:line="243" w:lineRule="auto"/>
        <w:tabs>
          <w:tab w:leader="none" w:pos="1753"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owns or has valid, binding and enforceable licenses or other rights to practice and use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or the proposed conduct, of the business of the Company in the manner described in the Pricing Prospectus and the Prospectus (collectively, the “Company Intellectual Property”), or to the development, manufacture, operation, and sale of any products and services sold or proposed to be sold by the Company. To the knowledge of the Company, the conduct of its and its subsidiaries’ respective business and the proposed conduct of its business (including the development and commercialization of the product candidates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6" w:name="page267"/>
    <w:bookmarkEnd w:id="266"/>
    <w:p>
      <w:pPr>
        <w:jc w:val="both"/>
        <w:spacing w:after="0"/>
        <w:rPr>
          <w:sz w:val="20"/>
          <w:szCs w:val="20"/>
          <w:color w:val="auto"/>
        </w:rPr>
      </w:pPr>
      <w:r>
        <w:rPr>
          <w:rFonts w:ascii="Times New Roman" w:cs="Times New Roman" w:eastAsia="Times New Roman" w:hAnsi="Times New Roman"/>
          <w:sz w:val="20"/>
          <w:szCs w:val="20"/>
          <w:color w:val="auto"/>
        </w:rPr>
        <w:t>described in the Pricing Prospectus and the Prospectus) has not and will not infringe or misappropriate any intellectual property rights of others; there are no rights of third parties to any of the intellectual property owned by the Company, and such intellectual property is owned by the Company free and clear of all material liens, security interests, or encumbrances; to the knowledge of the Company, the patents, trademarks and copyrights held or licensed by the Company included within the Company Intellectual Property are valid, enforceable and subsisting, and the patent, trademark, and copyright applications included within the Company Intellectual Property are subsisting and have not been abandoned; to the knowledge of the Company, there is no infringement by third parties of any of the Company Intellectual Property in any material respect; other than as disclosed in the Pricing Prospectus and the Prospectus, (i) the Company is not obligated or under any liability whatsoever to pay a material royalty, grant a license, or provide other material consideration to any third party in connection with the Company Intellectual Property, (ii) no action, suit, claim or other proceeding is pending or, to the knowledge of the Company, is threatened, alleging that the Company is infringing, misappropriating, diluting or otherwise violating, or would, upon the commercialization of any product or service proposed in the Pricing Prospectus and the Prospectus to be conducted, infringe, misappropriate, dilute, or otherwise violate, any rights of others with respect to any of the Company’s product candidates, processes or intellectual property, and the Company is unaware of any facts which could form a reasonable basis for any such action, suit, proceeding or claim, (iii) no action, suit, claim or other proceeding is pending or, to the knowledge of the Company, is threatened, challenging the validity, enforceability, scope, registration, ownership or use of any of the Company Intellectual Property, and the Company is unaware of any facts which could form a reasonable basis for any such action, suit, proceeding or claim, (iv) no action, suit, claim or other proceeding is pending or, to the knowledge of the Company, is threatened, challenging the Company’s rights in or to any Company Intellectual Property, and the Company is unaware of any facts which could form a reasonable basis for any such action, suit, proceeding or claim, (v) the Company has not received notice of any claim of infringement, misappropriation or conflict with any asserted rights of others with respect to any of the Company’s products, proposed products, processes or Company Intellectual Property, and the Company is unaware of any facts which would form a reasonable basis for any such claim (vi) to the knowledge of the Company, the development, manufacture, sale, and any currently proposed use of any of the products, proposed products or processes of the Company referred to in the Pricing Prospectus and the Prospectus, in the current or proposed conduct of the business of the Company, do not currently, and will not upon commercialization, to the knowledge of the Company, infringe any right or valid patent claim of any third party, (vii) to the knowledge of the Company, no employee, consultant or independent contractor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(viii) the Company has taken reasonable measures to protect its confidential information and trade secrets and to maintain and safeguard the Company Intellectual Property, including the execution of appropriate nondisclosure and confidentiality agreements, and (ix) the Company has complied in all material respects with the terms of each agreement pursuant to which intellectual property has been licensed to the Company, and all such agreements are in full force and effect. To the knowledge of the Company, all agreements pursuant to which intellectual property has been licensed to the Company are in full force and effect. The lead product candidates described in the Pricing Prospectus and the Prospectus as under development by the Company fall within the scope of the claims of one or more patents or patent applications owned by the Company;</w:t>
      </w:r>
    </w:p>
    <w:p>
      <w:pPr>
        <w:spacing w:after="0" w:line="199" w:lineRule="exact"/>
        <w:rPr>
          <w:sz w:val="20"/>
          <w:szCs w:val="20"/>
          <w:color w:val="auto"/>
        </w:rPr>
      </w:pPr>
    </w:p>
    <w:p>
      <w:pPr>
        <w:jc w:val="both"/>
        <w:ind w:firstLine="872"/>
        <w:spacing w:after="0" w:line="249" w:lineRule="auto"/>
        <w:tabs>
          <w:tab w:leader="none" w:pos="1753"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Except as would not reasonably be expected, individually or in the aggregate, to result in a Material Adverse Effect, during the past five (5) years, (A), the Company’s and its subsidiaries’ material information technology assets and equipment, computers, technology systems and other systems, networks, hardware, software, websites, applications, and databases (collectively, “IT Systems”) operate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7" w:name="page268"/>
    <w:bookmarkEnd w:id="267"/>
    <w:p>
      <w:pPr>
        <w:jc w:val="both"/>
        <w:spacing w:after="0" w:line="241" w:lineRule="auto"/>
        <w:rPr>
          <w:sz w:val="20"/>
          <w:szCs w:val="20"/>
          <w:color w:val="auto"/>
        </w:rPr>
      </w:pPr>
      <w:r>
        <w:rPr>
          <w:rFonts w:ascii="Times New Roman" w:cs="Times New Roman" w:eastAsia="Times New Roman" w:hAnsi="Times New Roman"/>
          <w:sz w:val="20"/>
          <w:szCs w:val="20"/>
          <w:color w:val="auto"/>
        </w:rPr>
        <w:t>and perform in all material respects as required in connection with the operation of the business of the Company and its subsidiaries as currently conducted, free and clear of all material bugs, errors, defects, Trojan horses, time bombs, malware and other corruptants; (B) the Company and its subsidiaries have implemented and maintained all reasonable controls, policies, procedures, and safeguards designed to maintain and protect its confidential information and the privacy, confidentiality, integrity, operation, redundancy and security of all physical storage facilities, IT Systems, and data used by or on behalf of the Company or its subsidiaries in connection with the operation of the Company or its subsidiaries that is considered “personal information,” “personally identifiable information,” “sensitive personal information,” “protected health information,” or “personal data” under applicable law, sensitive personal data, or confidential information (collectively, the “Protected Information”)); and (C) the Company and its subsidiaries have taken all reasonable steps to protect the IT Systems and Protected Information, and have established and maintained commercially reasonable disaster recovery and security plans, procedures and facilities for the business, including, without limitation, for the IT Systems and Protected Information held or used by or for the Company and its subsidiaries; and (D) there have been no security breaches, attacks, or outages of any such IT Systems, or any actual or reasonably suspected security breaches resulting in accidental or unlawful destruction, loss, alteration or unauthorized uses or disclosures of Protected Information, or any other material security incidents or compromises of any IT Systems or Protected Information, nor any notifications by any third parties to the Company or any of its subsidiaries of any of the foregoing.</w:t>
      </w:r>
    </w:p>
    <w:p>
      <w:pPr>
        <w:spacing w:after="0" w:line="196" w:lineRule="exact"/>
        <w:rPr>
          <w:sz w:val="20"/>
          <w:szCs w:val="20"/>
          <w:color w:val="auto"/>
        </w:rPr>
      </w:pPr>
    </w:p>
    <w:p>
      <w:pPr>
        <w:jc w:val="both"/>
        <w:ind w:firstLine="1735"/>
        <w:spacing w:after="0" w:line="241" w:lineRule="auto"/>
        <w:tabs>
          <w:tab w:leader="none" w:pos="2617"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individually or in the aggregate, to result in a Material Adverse Effect, (A) the Company has at all times in the past five (5) years complied with all (1) data protection, privacy and security policies applicable to the Company, (2) contractual obligations of the Company concerning data protection, privacy, and security with respect to Protected Information, and (3) all applicable laws, statutes, regulations, and directives and all judgments, orders, rules and regulations of any court or arbitrator or governmental or regulatory authority relating to the privacy and security of IT Systems and Protected Information or to the protection of such IT Systems and Protected Information from unauthorized use, access, misappropriation or modification (collectively, the “Data Protection Requirements”); (B) to the extent the Company maintains or transmits personal information, as defined under the California Consumer Privacy Act of 2018 (the “CCPA”), and is subject to the CCPA, the Company is in compliance with all applicable rules and regulations promulgated thereunder; (C) the Company has at all times, to the extent required by applicable Data Protection Requirements, provided adequate notice to and obtained any necessary consents from data subjects for any past and present collection, use, disclosure, international transfer and other processing of Protected Information by or for the Company; and (D) the Company (1) has not in the past five (5) years received written (or, to the Company’s knowledge, other) notice of any actual or potential liability under or relating to, or actual or potential violation of, any of the Data Protection Requirements; (2) is not currently conducting or paying for, in whole or in part, any investigation, remediation, or other corrective action (I) mandated or requested by any legal or regulatory authority relating to any Data Protection Requirement or (II) necessitated by any kind of security breach of, attack on, or outage of any IT System; and (3) is not a party to any order, decree, or agreement by any court or arbitrator or governmental or regulatory authority that imposes any obligation or liability relating to any Data Protection Requirement.</w:t>
      </w:r>
    </w:p>
    <w:p>
      <w:pPr>
        <w:spacing w:after="0" w:line="191" w:lineRule="exact"/>
        <w:rPr>
          <w:rFonts w:ascii="Times New Roman" w:cs="Times New Roman" w:eastAsia="Times New Roman" w:hAnsi="Times New Roman"/>
          <w:sz w:val="20"/>
          <w:szCs w:val="20"/>
          <w:color w:val="auto"/>
        </w:rPr>
      </w:pPr>
    </w:p>
    <w:p>
      <w:pPr>
        <w:jc w:val="both"/>
        <w:ind w:firstLine="872"/>
        <w:spacing w:after="0" w:line="244" w:lineRule="auto"/>
        <w:tabs>
          <w:tab w:leader="none" w:pos="1841"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patents and patent applications owned by or licensed to the Company or under which the Company has rights have, to the knowledge of the Company, been duly and properly filed and maintained; to the knowledge of the Company, there are no material defects in any of the patents or patent applications disclosed in the Registration Statement and the Prospectus as being owned by the Company;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8" w:name="page269"/>
    <w:bookmarkEnd w:id="268"/>
    <w:p>
      <w:pPr>
        <w:jc w:val="both"/>
        <w:spacing w:after="0" w:line="245" w:lineRule="auto"/>
        <w:rPr>
          <w:sz w:val="20"/>
          <w:szCs w:val="20"/>
          <w:color w:val="auto"/>
        </w:rPr>
      </w:pPr>
      <w:r>
        <w:rPr>
          <w:rFonts w:ascii="Times New Roman" w:cs="Times New Roman" w:eastAsia="Times New Roman" w:hAnsi="Times New Roman"/>
          <w:sz w:val="20"/>
          <w:szCs w:val="20"/>
          <w:color w:val="auto"/>
        </w:rPr>
        <w:t>of invalidity with respect to any patents that have issued with respect to such applications; to the Company’s knowledge there is no prior art that may render any patent within the Company Intellectual Property invalid or that may render any patent application within the Company Intellectual Property unpatentable that has not been disclosed to the U.S. Patent and Trademark Office; none of the Company Intellectual Property has been adjudged by a court of competent jurisdiction invalid or unenforceable in whole or in part; the products and product candidates described in the Pricing Prospectus and the Prospectus as under development by the Company fall within the scope of the claims of one or more patent or pending patent application owned by, or exclusively licensed to, the Company;</w:t>
      </w:r>
    </w:p>
    <w:p>
      <w:pPr>
        <w:spacing w:after="0" w:line="184" w:lineRule="exact"/>
        <w:rPr>
          <w:sz w:val="20"/>
          <w:szCs w:val="20"/>
          <w:color w:val="auto"/>
        </w:rPr>
      </w:pPr>
    </w:p>
    <w:p>
      <w:pPr>
        <w:jc w:val="both"/>
        <w:ind w:firstLine="872"/>
        <w:spacing w:after="0" w:line="254" w:lineRule="auto"/>
        <w:tabs>
          <w:tab w:leader="none" w:pos="1753"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statistical, industry-related and market-related data included in the Pricing Prospectus and the Prospectus are based on or derived from sources that the Company believes, after reasonable inquiry, to be reliable and accurate and, to the extent required, the Company has obtained the written consent to the use of such data from such sources;</w:t>
      </w:r>
    </w:p>
    <w:p>
      <w:pPr>
        <w:spacing w:after="0" w:line="174" w:lineRule="exact"/>
        <w:rPr>
          <w:rFonts w:ascii="Times New Roman" w:cs="Times New Roman" w:eastAsia="Times New Roman" w:hAnsi="Times New Roman"/>
          <w:sz w:val="20"/>
          <w:szCs w:val="20"/>
          <w:color w:val="auto"/>
        </w:rPr>
      </w:pPr>
    </w:p>
    <w:p>
      <w:pPr>
        <w:jc w:val="both"/>
        <w:ind w:firstLine="872"/>
        <w:spacing w:after="0" w:line="243" w:lineRule="auto"/>
        <w:tabs>
          <w:tab w:leader="none" w:pos="1951"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possess all licenses, certificates, permits and other authorizations issued by, and has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 as described in the Registration Statement, the Pricing Prospectus and the Prospectus, except where the failure to possess or make the same would not, individually or in the aggregate, reasonably be expected to have a Material Adverse Effect; and except as described in the Registration Statement and the Prospectus, the Company has not received written notice of any revocation or modification of any such license, certificate, permit or authorization, except where such revocation or modification would not, individually or in the aggregate, reasonably be expected to have a Material Adverse Effect;</w:t>
      </w:r>
    </w:p>
    <w:p>
      <w:pPr>
        <w:spacing w:after="0" w:line="189" w:lineRule="exact"/>
        <w:rPr>
          <w:rFonts w:ascii="Times New Roman" w:cs="Times New Roman" w:eastAsia="Times New Roman" w:hAnsi="Times New Roman"/>
          <w:sz w:val="20"/>
          <w:szCs w:val="20"/>
          <w:color w:val="auto"/>
        </w:rPr>
      </w:pPr>
    </w:p>
    <w:p>
      <w:pPr>
        <w:jc w:val="both"/>
        <w:ind w:firstLine="872"/>
        <w:spacing w:after="0" w:line="256" w:lineRule="auto"/>
        <w:tabs>
          <w:tab w:leader="none" w:pos="1841"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United States federal income tax returns of the Company and its subsidiaries required by law to be filed have been filed and all taxes shown as due on such returns or that otherwise have been assessed, which are due and payable, have been paid, except assessments against which appeals have been or will be promptly taken and as to which adequate reserves have been provided. The Company and its subsidiaries have filed all other tax returns that are required to have been filed by them pursuant to applicable foreign, state, local or other law except insofar as the failure to file such returns would not, individually or in the aggregate, reasonably be expected to have a Material Adverse Effect, and has paid all taxes due pursuant to such returns or pursuant to any assessment received by the Company and its subsidiaries, except for such taxes, if any, as are being contested in good faith and as to which adequate reserves have been provided. No tax deficiency has been determined adversely to the Company or its subsidiaries which has (nor does the Company or its subsidiaries have any written notice or knowledge of any tax deficiency which could reasonably be expected to be determined adversely to the Company or its subsidiaries and which would, individually or in the aggregate, reasonably be expected to have) a Material Adverse Effect;</w:t>
      </w:r>
    </w:p>
    <w:p>
      <w:pPr>
        <w:spacing w:after="0" w:line="180" w:lineRule="exact"/>
        <w:rPr>
          <w:rFonts w:ascii="Times New Roman" w:cs="Times New Roman" w:eastAsia="Times New Roman" w:hAnsi="Times New Roman"/>
          <w:sz w:val="19"/>
          <w:szCs w:val="19"/>
          <w:color w:val="auto"/>
        </w:rPr>
      </w:pPr>
    </w:p>
    <w:p>
      <w:pPr>
        <w:ind w:firstLine="872"/>
        <w:spacing w:after="0" w:line="269" w:lineRule="auto"/>
        <w:tabs>
          <w:tab w:leader="none" w:pos="1841"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taken and will not take, directly or indirectly, any action that is designed to or that has constituted or might reasonably be expected to cause or result in stabilization or manipulation of the price of the Shares;</w:t>
      </w:r>
    </w:p>
    <w:p>
      <w:pPr>
        <w:spacing w:after="0" w:line="159" w:lineRule="exact"/>
        <w:rPr>
          <w:rFonts w:ascii="Times New Roman" w:cs="Times New Roman" w:eastAsia="Times New Roman" w:hAnsi="Times New Roman"/>
          <w:sz w:val="20"/>
          <w:szCs w:val="20"/>
          <w:color w:val="auto"/>
        </w:rPr>
      </w:pPr>
    </w:p>
    <w:p>
      <w:pPr>
        <w:jc w:val="both"/>
        <w:ind w:firstLine="872"/>
        <w:spacing w:after="0" w:line="254" w:lineRule="auto"/>
        <w:tabs>
          <w:tab w:leader="none" w:pos="1841"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a party to any contract, agreement or understanding with any person (other than this Agreement) that would give rise to a valid claim against the Company or any Underwriter for a brokerage commission, finder’s fee or like payment in connection with the offering and sale of the Shares;</w:t>
      </w:r>
    </w:p>
    <w:p>
      <w:pPr>
        <w:spacing w:after="0" w:line="174" w:lineRule="exact"/>
        <w:rPr>
          <w:rFonts w:ascii="Times New Roman" w:cs="Times New Roman" w:eastAsia="Times New Roman" w:hAnsi="Times New Roman"/>
          <w:sz w:val="20"/>
          <w:szCs w:val="20"/>
          <w:color w:val="auto"/>
        </w:rPr>
      </w:pPr>
    </w:p>
    <w:p>
      <w:pPr>
        <w:ind w:right="20" w:firstLine="872"/>
        <w:spacing w:after="0" w:line="269" w:lineRule="auto"/>
        <w:tabs>
          <w:tab w:leader="none" w:pos="1841"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relationship, direct or indirect, exists between or among the Company, on the one hand, and the directors, officers, stockholders, customers or suppliers of the Company, on the other, that is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9" w:name="page270"/>
    <w:bookmarkEnd w:id="269"/>
    <w:p>
      <w:pPr>
        <w:spacing w:after="0" w:line="269" w:lineRule="auto"/>
        <w:rPr>
          <w:sz w:val="20"/>
          <w:szCs w:val="20"/>
          <w:color w:val="auto"/>
        </w:rPr>
      </w:pPr>
      <w:r>
        <w:rPr>
          <w:rFonts w:ascii="Times New Roman" w:cs="Times New Roman" w:eastAsia="Times New Roman" w:hAnsi="Times New Roman"/>
          <w:sz w:val="20"/>
          <w:szCs w:val="20"/>
          <w:color w:val="auto"/>
        </w:rPr>
        <w:t>required by the Act to be described in the Registration Statement and the Prospectus and that is not so described in such documents and in the Registration Statement, the Pricing Prospectus and the Prospectus;</w:t>
      </w:r>
    </w:p>
    <w:p>
      <w:pPr>
        <w:spacing w:after="0" w:line="159" w:lineRule="exact"/>
        <w:rPr>
          <w:sz w:val="20"/>
          <w:szCs w:val="20"/>
          <w:color w:val="auto"/>
        </w:rPr>
      </w:pPr>
    </w:p>
    <w:p>
      <w:pPr>
        <w:jc w:val="both"/>
        <w:ind w:firstLine="872"/>
        <w:spacing w:after="0" w:line="254" w:lineRule="auto"/>
        <w:tabs>
          <w:tab w:leader="none" w:pos="1775"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and has been no failure on the part of the Company or any of the Company’s directors or officers, in their capacities as such, to comply with any provision of the Sarbanes-Oxley Act of 2002, as amended and the rules and regulations promulgated in connection therewith, including Section 402 related to loans and Sections 302 and 906 related to certifications;</w:t>
      </w:r>
    </w:p>
    <w:p>
      <w:pPr>
        <w:spacing w:after="0" w:line="174" w:lineRule="exact"/>
        <w:rPr>
          <w:rFonts w:ascii="Times New Roman" w:cs="Times New Roman" w:eastAsia="Times New Roman" w:hAnsi="Times New Roman"/>
          <w:sz w:val="20"/>
          <w:szCs w:val="20"/>
          <w:color w:val="auto"/>
        </w:rPr>
      </w:pPr>
    </w:p>
    <w:p>
      <w:pPr>
        <w:jc w:val="both"/>
        <w:ind w:firstLine="872"/>
        <w:spacing w:after="0" w:line="241" w:lineRule="auto"/>
        <w:tabs>
          <w:tab w:leader="none" w:pos="1797"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stock options (the “Stock Options”) granted pursuant to the stock-based compensation plans of the Company and its subsidiaries (the “Company Stock Plans”), (i) each Stock Option intended to qualify as an “incentive stock option” under Section 422 of the Internal Revenue Code of 1986, as amended (the “Code”), so qualifies,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Select Market and any other exchange on which Company securities are traded, and (iv) each such grant was properly accounted for in accordance with GAAP in the financial statements (including the related notes) of the Company.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 and</w:t>
      </w:r>
    </w:p>
    <w:p>
      <w:pPr>
        <w:spacing w:after="0" w:line="197" w:lineRule="exact"/>
        <w:rPr>
          <w:rFonts w:ascii="Times New Roman" w:cs="Times New Roman" w:eastAsia="Times New Roman" w:hAnsi="Times New Roman"/>
          <w:sz w:val="20"/>
          <w:szCs w:val="20"/>
          <w:color w:val="auto"/>
        </w:rPr>
      </w:pPr>
    </w:p>
    <w:p>
      <w:pPr>
        <w:jc w:val="both"/>
        <w:ind w:right="20" w:firstLine="872"/>
        <w:spacing w:after="0" w:line="254" w:lineRule="auto"/>
        <w:tabs>
          <w:tab w:leader="none" w:pos="1753"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interactive data in XBRL, if any, included in the Registration Statement fairly presents the information called for in all material respects and has been prepared in accordance with the Commission’s rules and guidelines applicable thereto to the extent required.</w:t>
      </w:r>
    </w:p>
    <w:p>
      <w:pPr>
        <w:spacing w:after="0" w:line="174" w:lineRule="exact"/>
        <w:rPr>
          <w:rFonts w:ascii="Times New Roman" w:cs="Times New Roman" w:eastAsia="Times New Roman" w:hAnsi="Times New Roman"/>
          <w:sz w:val="20"/>
          <w:szCs w:val="20"/>
          <w:color w:val="auto"/>
        </w:rPr>
      </w:pPr>
    </w:p>
    <w:p>
      <w:pPr>
        <w:jc w:val="both"/>
        <w:ind w:firstLine="8"/>
        <w:spacing w:after="0" w:line="242" w:lineRule="auto"/>
        <w:tabs>
          <w:tab w:leader="none" w:pos="796"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herein set forth, (a) the Company agrees to issue and sell to each of the Underwriters, and each of the Underwriters agrees, severally and not jointly, to purchase from the Company, at a purchase price per share of $[●], the number of Firm Shares set forth opposite the name of such Underwriter in Schedule I hereto and (a)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90" w:lineRule="exact"/>
        <w:rPr>
          <w:sz w:val="20"/>
          <w:szCs w:val="20"/>
          <w:color w:val="auto"/>
        </w:rPr>
      </w:pPr>
    </w:p>
    <w:p>
      <w:pPr>
        <w:jc w:val="both"/>
        <w:ind w:firstLine="1735"/>
        <w:spacing w:after="0" w:line="249" w:lineRule="auto"/>
        <w:tabs>
          <w:tab w:leader="none" w:pos="2562"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grants to the Underwriters the right to purchase at their election up to [●]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0" w:name="page271"/>
    <w:bookmarkEnd w:id="270"/>
    <w:p>
      <w:pPr>
        <w:jc w:val="both"/>
        <w:spacing w:after="0" w:line="249" w:lineRule="auto"/>
        <w:rPr>
          <w:sz w:val="20"/>
          <w:szCs w:val="20"/>
          <w:color w:val="auto"/>
        </w:rPr>
      </w:pPr>
      <w:r>
        <w:rPr>
          <w:rFonts w:ascii="Times New Roman" w:cs="Times New Roman" w:eastAsia="Times New Roman" w:hAnsi="Times New Roman"/>
          <w:sz w:val="20"/>
          <w:szCs w:val="20"/>
          <w:color w:val="auto"/>
        </w:rPr>
        <w:t>Representatives to the Company,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the Representatives and the Company otherwise agree in writing, earlier than two or later than ten business days after the date of such notice.</w:t>
      </w:r>
    </w:p>
    <w:p>
      <w:pPr>
        <w:spacing w:after="0" w:line="180" w:lineRule="exact"/>
        <w:rPr>
          <w:sz w:val="20"/>
          <w:szCs w:val="20"/>
          <w:color w:val="auto"/>
        </w:rPr>
      </w:pPr>
    </w:p>
    <w:p>
      <w:pPr>
        <w:ind w:firstLine="8"/>
        <w:spacing w:after="0" w:line="269" w:lineRule="auto"/>
        <w:tabs>
          <w:tab w:leader="none" w:pos="796"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authorization by you of the release of the Firm Shares, the several Underwriters propose to offer the Firm Shares for sale upon the terms and conditions set forth in the Pricing Prospectus and the Prospectus.</w:t>
      </w:r>
    </w:p>
    <w:p>
      <w:pPr>
        <w:spacing w:after="0" w:line="159" w:lineRule="exact"/>
        <w:rPr>
          <w:rFonts w:ascii="Times New Roman" w:cs="Times New Roman" w:eastAsia="Times New Roman" w:hAnsi="Times New Roman"/>
          <w:sz w:val="20"/>
          <w:szCs w:val="20"/>
          <w:color w:val="auto"/>
        </w:rPr>
      </w:pPr>
    </w:p>
    <w:p>
      <w:pPr>
        <w:jc w:val="both"/>
        <w:ind w:firstLine="8"/>
        <w:spacing w:after="0" w:line="241" w:lineRule="auto"/>
        <w:tabs>
          <w:tab w:leader="none" w:pos="796"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 2021 or such other time and date as the Representatives and the Company may agree upon in writing, and, with respect to the Optional Shares, 9:30 a.m., New York City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95" w:lineRule="exact"/>
        <w:rPr>
          <w:rFonts w:ascii="Times New Roman" w:cs="Times New Roman" w:eastAsia="Times New Roman" w:hAnsi="Times New Roman"/>
          <w:sz w:val="20"/>
          <w:szCs w:val="20"/>
          <w:color w:val="auto"/>
        </w:rPr>
      </w:pPr>
    </w:p>
    <w:p>
      <w:pPr>
        <w:jc w:val="both"/>
        <w:ind w:firstLine="872"/>
        <w:spacing w:after="0" w:line="243" w:lineRule="auto"/>
        <w:tabs>
          <w:tab w:leader="none" w:pos="1731"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documents to be delivered at each Time of Delivery by or on behalf of the parties hereto pursuant to Section 8 hereof, including the cross receipt for the Shares and any additional documents requested by the Underwriters pursuant to Section 8(m) hereof, will be delivered at the offices of Cooley LLP, 4401 Eastgate Mall, San Diego, California 92121-1909 (the “Closing Location”), and the Shares will be delivered at the Designated Office, all at such Time of Delivery. A meeting will be held at the Closing Location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89" w:lineRule="exact"/>
        <w:rPr>
          <w:rFonts w:ascii="Times New Roman" w:cs="Times New Roman" w:eastAsia="Times New Roman" w:hAnsi="Times New Roman"/>
          <w:sz w:val="20"/>
          <w:szCs w:val="20"/>
          <w:color w:val="auto"/>
        </w:rPr>
      </w:pPr>
    </w:p>
    <w:p>
      <w:pPr>
        <w:ind w:left="800" w:hanging="792"/>
        <w:spacing w:after="0"/>
        <w:tabs>
          <w:tab w:leader="none" w:pos="80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with each of the Underwriters:</w:t>
      </w:r>
    </w:p>
    <w:p>
      <w:pPr>
        <w:spacing w:after="0" w:line="215" w:lineRule="exact"/>
        <w:rPr>
          <w:rFonts w:ascii="Times New Roman" w:cs="Times New Roman" w:eastAsia="Times New Roman" w:hAnsi="Times New Roman"/>
          <w:sz w:val="20"/>
          <w:szCs w:val="20"/>
          <w:color w:val="auto"/>
        </w:rPr>
      </w:pPr>
    </w:p>
    <w:p>
      <w:pPr>
        <w:jc w:val="both"/>
        <w:ind w:firstLine="872"/>
        <w:spacing w:after="0" w:line="244" w:lineRule="auto"/>
        <w:tabs>
          <w:tab w:leader="none" w:pos="1731"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1" w:name="page272"/>
    <w:bookmarkEnd w:id="271"/>
    <w:p>
      <w:pPr>
        <w:jc w:val="both"/>
        <w:spacing w:after="0" w:line="244" w:lineRule="auto"/>
        <w:rPr>
          <w:sz w:val="20"/>
          <w:szCs w:val="20"/>
          <w:color w:val="auto"/>
        </w:rPr>
      </w:pPr>
      <w:r>
        <w:rPr>
          <w:rFonts w:ascii="Times New Roman" w:cs="Times New Roman" w:eastAsia="Times New Roman" w:hAnsi="Times New Roman"/>
          <w:sz w:val="20"/>
          <w:szCs w:val="20"/>
          <w:color w:val="auto"/>
        </w:rPr>
        <w:t>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pursuant to Section 8A of the Act,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186" w:lineRule="exact"/>
        <w:rPr>
          <w:sz w:val="20"/>
          <w:szCs w:val="20"/>
          <w:color w:val="auto"/>
        </w:rPr>
      </w:pPr>
    </w:p>
    <w:p>
      <w:pPr>
        <w:jc w:val="both"/>
        <w:ind w:firstLine="872"/>
        <w:spacing w:after="0" w:line="246" w:lineRule="auto"/>
        <w:tabs>
          <w:tab w:leader="none" w:pos="1742"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from time to time to take such action as you may reasonably request to qualify the Shares for offering and sale under the securities laws of such jurisdictions as you may request and to use reasonable commercial efforts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w:t>
      </w:r>
    </w:p>
    <w:p>
      <w:pPr>
        <w:spacing w:after="0" w:line="184" w:lineRule="exact"/>
        <w:rPr>
          <w:rFonts w:ascii="Times New Roman" w:cs="Times New Roman" w:eastAsia="Times New Roman" w:hAnsi="Times New Roman"/>
          <w:sz w:val="20"/>
          <w:szCs w:val="20"/>
          <w:color w:val="auto"/>
        </w:rPr>
      </w:pPr>
    </w:p>
    <w:p>
      <w:pPr>
        <w:jc w:val="both"/>
        <w:ind w:firstLine="872"/>
        <w:spacing w:after="0" w:line="241" w:lineRule="auto"/>
        <w:tabs>
          <w:tab w:leader="none" w:pos="1731"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10:00 a.m., New York City time, on the New York Business Day next succeeding the date of this Agreement (or such other time as may be agreed to by the Representatives and the Company) and from time to time, to furnish the Underwriters with written and electronic copies of the Prospectus, Preliminary Prospectus and any supplements and amendments thereto or to the Registration Statement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before amending or supplementing the Registration Statement, the Pricing Disclosure Package or the Prospectus, to furnish you a copy of each such proposed amendment or supplement and not file any such proposed amendment or supplement to which you reasonably object, and upon your request to prepare and furnish without charge to each Underwriter and to any dealer in securities (whose name and address the Underwriters shall furnish to the Company)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88" w:lineRule="exact"/>
        <w:rPr>
          <w:rFonts w:ascii="Times New Roman" w:cs="Times New Roman" w:eastAsia="Times New Roman" w:hAnsi="Times New Roman"/>
          <w:sz w:val="20"/>
          <w:szCs w:val="20"/>
          <w:color w:val="auto"/>
        </w:rPr>
      </w:pPr>
    </w:p>
    <w:p>
      <w:pPr>
        <w:jc w:val="both"/>
        <w:ind w:firstLine="872"/>
        <w:spacing w:after="0" w:line="246" w:lineRule="auto"/>
        <w:tabs>
          <w:tab w:leader="none" w:pos="1742"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2" w:name="page273"/>
    <w:bookmarkEnd w:id="272"/>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(e) (i) During the period beginning from the date hereof and continuing to and including the date 90 days after the date of the Prospectus (the “Lock-Up Period”), not to (i) offer, sell, contract to sell, pledge, grant any option to purchase, loan, hedge,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(ii) enter into any hedging, swap or other agreement that transfers, in whole or in part, any of the economic consequences of ownership of the Stock or any such other securities, whether any such transaction described in clauses (i) or (ii) above is to be settled by delivery of Stock or such other securities, in cash or otherwise (other than the Shares to be sold hereunder or pursuant to employee stock option plans existing on, or upon the conversion or exchange of convertible or exchangeable securities outstanding as of, the date of this Agreement) or (iii) publicly disclose the intention to do any of the foregoing, in each case, without the prior written consent of the Representatives; provided, however, that the restrictions in the foregoing sentence shall not apply to</w:t>
      </w:r>
    </w:p>
    <w:p>
      <w:pPr>
        <w:spacing w:after="0" w:line="6" w:lineRule="exact"/>
        <w:rPr>
          <w:sz w:val="20"/>
          <w:szCs w:val="20"/>
          <w:color w:val="auto"/>
        </w:rPr>
      </w:pPr>
    </w:p>
    <w:p>
      <w:pPr>
        <w:jc w:val="both"/>
        <w:ind w:firstLine="8"/>
        <w:spacing w:after="0" w:line="253" w:lineRule="auto"/>
        <w:tabs>
          <w:tab w:leader="none" w:pos="293"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Shares to be sold hereunder; (b) Shares or any securities (including without limitation options, restricted stock or restricted stock units) convertible into, or exercisable for, shares of Stock pursuant to any employee stock option plan, incentive plan, stock plan, dividend reinvestment plan or otherwise in equity compensation arrangements in place as of the Applicable Time and as described in the Pricing Prospectus; (c) the grant of awards pursuant to employee equity based compensation plans, incentive plan, stock plans or other arrangements in place as of the Applicable Time and as described in the Pricing Prospectus; (d) the filing of a registration statement on Form S-8 in connection with the registration of Shares issuable under any employee equity-based compensation plan, incentive plan, stock plan, dividend reinvestment plan adopted and approved by the Company’s board of directors prior to the Applicable Time and as described in the Pricing Prospectus; and (e) the issuance of up to 5% of the outstanding shares of Stock in connection with the acquisition of the assets of, or a majority or controlling portion of the equity of, or a joint venture with another entity in connection with its acquisition by the Company or any of its subsidiaries of such entity; provided that each recipient (if that recipient is a director or an officer of the Company) of any Shares issued or sold pursuant to clause (b), (c) or (e) above executes and delivers to the Representatives prior to such issuance or sale (as the case may be) an agreement having substantially the same terms as the lock-up letters described in Section 8(j) of this Agreement;</w:t>
      </w:r>
    </w:p>
    <w:p>
      <w:pPr>
        <w:spacing w:after="0" w:line="184" w:lineRule="exact"/>
        <w:rPr>
          <w:rFonts w:ascii="Times New Roman" w:cs="Times New Roman" w:eastAsia="Times New Roman" w:hAnsi="Times New Roman"/>
          <w:sz w:val="19"/>
          <w:szCs w:val="19"/>
          <w:color w:val="auto"/>
        </w:rPr>
      </w:pPr>
    </w:p>
    <w:p>
      <w:pPr>
        <w:jc w:val="both"/>
        <w:ind w:firstLine="872"/>
        <w:spacing w:after="0" w:line="246" w:lineRule="auto"/>
        <w:tabs>
          <w:tab w:leader="none" w:pos="1709"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w:t>
      </w:r>
    </w:p>
    <w:p>
      <w:pPr>
        <w:spacing w:after="0" w:line="184" w:lineRule="exact"/>
        <w:rPr>
          <w:rFonts w:ascii="Times New Roman" w:cs="Times New Roman" w:eastAsia="Times New Roman" w:hAnsi="Times New Roman"/>
          <w:sz w:val="20"/>
          <w:szCs w:val="20"/>
          <w:color w:val="auto"/>
        </w:rPr>
      </w:pPr>
    </w:p>
    <w:p>
      <w:pPr>
        <w:jc w:val="both"/>
        <w:ind w:firstLine="872"/>
        <w:spacing w:after="0" w:line="243" w:lineRule="auto"/>
        <w:tabs>
          <w:tab w:leader="none" w:pos="1742"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 period of three years from the effective date of the Registration Statement, so long as the Company is subject to the reporting requirements of either Section 13 or Section 15(d) of the Exchange Act, to furnish to you copies of all reports or other communications (financial or other) furnished to stockholders generally,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 to be furnished pursuant to this Section 5(g) to the extent that they are available on the Commission’s EDGAR system;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3" w:name="page274"/>
    <w:bookmarkEnd w:id="273"/>
    <w:p>
      <w:pPr>
        <w:ind w:firstLine="872"/>
        <w:spacing w:after="0" w:line="269" w:lineRule="auto"/>
        <w:tabs>
          <w:tab w:leader="none" w:pos="1742"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use the net proceeds received by it from the sale of the Shares pursuant to this Agreement in the manner specified in the Pricing Prospectus and the Prospectus under the caption “Use of Proceeds”;</w:t>
      </w:r>
    </w:p>
    <w:p>
      <w:pPr>
        <w:spacing w:after="0" w:line="159" w:lineRule="exact"/>
        <w:rPr>
          <w:rFonts w:ascii="Times New Roman" w:cs="Times New Roman" w:eastAsia="Times New Roman" w:hAnsi="Times New Roman"/>
          <w:sz w:val="20"/>
          <w:szCs w:val="20"/>
          <w:color w:val="auto"/>
        </w:rPr>
      </w:pPr>
    </w:p>
    <w:p>
      <w:pPr>
        <w:ind w:left="1700" w:hanging="828"/>
        <w:spacing w:after="0"/>
        <w:tabs>
          <w:tab w:leader="none" w:pos="1700"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use its best efforts to list, subject to notice of issuance, the Shares on The Nasdaq Global Select Market;</w:t>
      </w:r>
    </w:p>
    <w:p>
      <w:pPr>
        <w:spacing w:after="0" w:line="215" w:lineRule="exact"/>
        <w:rPr>
          <w:rFonts w:ascii="Times New Roman" w:cs="Times New Roman" w:eastAsia="Times New Roman" w:hAnsi="Times New Roman"/>
          <w:sz w:val="20"/>
          <w:szCs w:val="20"/>
          <w:color w:val="auto"/>
        </w:rPr>
      </w:pPr>
    </w:p>
    <w:p>
      <w:pPr>
        <w:ind w:left="1700" w:hanging="828"/>
        <w:spacing w:after="0"/>
        <w:tabs>
          <w:tab w:leader="none" w:pos="1700"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with the Commission such information on Form 10-Q or Form 10-K as may be required by Rule 463 under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w:t>
      </w:r>
    </w:p>
    <w:p>
      <w:pPr>
        <w:spacing w:after="0" w:line="193" w:lineRule="exact"/>
        <w:rPr>
          <w:rFonts w:ascii="Times New Roman" w:cs="Times New Roman" w:eastAsia="Times New Roman" w:hAnsi="Times New Roman"/>
          <w:sz w:val="20"/>
          <w:szCs w:val="20"/>
          <w:color w:val="auto"/>
        </w:rPr>
      </w:pPr>
    </w:p>
    <w:p>
      <w:pPr>
        <w:jc w:val="both"/>
        <w:ind w:firstLine="872"/>
        <w:spacing w:after="0" w:line="249" w:lineRule="auto"/>
        <w:tabs>
          <w:tab w:leader="none" w:pos="1742"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179" w:lineRule="exact"/>
        <w:rPr>
          <w:rFonts w:ascii="Times New Roman" w:cs="Times New Roman" w:eastAsia="Times New Roman" w:hAnsi="Times New Roman"/>
          <w:sz w:val="20"/>
          <w:szCs w:val="20"/>
          <w:color w:val="auto"/>
        </w:rPr>
      </w:pPr>
    </w:p>
    <w:p>
      <w:pPr>
        <w:jc w:val="both"/>
        <w:ind w:firstLine="872"/>
        <w:spacing w:after="0" w:line="249" w:lineRule="auto"/>
        <w:tabs>
          <w:tab w:leader="none" w:pos="1698"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 and</w:t>
      </w:r>
    </w:p>
    <w:p>
      <w:pPr>
        <w:spacing w:after="0" w:line="179" w:lineRule="exact"/>
        <w:rPr>
          <w:rFonts w:ascii="Times New Roman" w:cs="Times New Roman" w:eastAsia="Times New Roman" w:hAnsi="Times New Roman"/>
          <w:sz w:val="20"/>
          <w:szCs w:val="20"/>
          <w:color w:val="auto"/>
        </w:rPr>
      </w:pPr>
    </w:p>
    <w:p>
      <w:pPr>
        <w:ind w:right="20" w:firstLine="872"/>
        <w:spacing w:after="0" w:line="269" w:lineRule="auto"/>
        <w:tabs>
          <w:tab w:leader="none" w:pos="1797"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promptly notify you if the Company ceases to be an Emerging Growth Company at any time prior to the later of (i) completion of the distribution of the Shares within the meaning of the Act and (ii) last Time of Delivery.</w:t>
      </w:r>
    </w:p>
    <w:p>
      <w:pPr>
        <w:spacing w:after="0" w:line="159" w:lineRule="exact"/>
        <w:rPr>
          <w:rFonts w:ascii="Times New Roman" w:cs="Times New Roman" w:eastAsia="Times New Roman" w:hAnsi="Times New Roman"/>
          <w:sz w:val="20"/>
          <w:szCs w:val="20"/>
          <w:color w:val="auto"/>
        </w:rPr>
      </w:pPr>
    </w:p>
    <w:p>
      <w:pPr>
        <w:jc w:val="both"/>
        <w:ind w:firstLine="8"/>
        <w:spacing w:after="0" w:line="246" w:lineRule="auto"/>
        <w:tabs>
          <w:tab w:leader="none" w:pos="796"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hereto;</w:t>
      </w:r>
    </w:p>
    <w:p>
      <w:pPr>
        <w:spacing w:after="0" w:line="184" w:lineRule="exact"/>
        <w:rPr>
          <w:rFonts w:ascii="Times New Roman" w:cs="Times New Roman" w:eastAsia="Times New Roman" w:hAnsi="Times New Roman"/>
          <w:sz w:val="20"/>
          <w:szCs w:val="20"/>
          <w:color w:val="auto"/>
        </w:rPr>
      </w:pPr>
    </w:p>
    <w:p>
      <w:pPr>
        <w:jc w:val="both"/>
        <w:ind w:firstLine="872"/>
        <w:spacing w:after="0" w:line="249" w:lineRule="auto"/>
        <w:tabs>
          <w:tab w:leader="none" w:pos="1731"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79" w:lineRule="exact"/>
        <w:rPr>
          <w:rFonts w:ascii="Times New Roman" w:cs="Times New Roman" w:eastAsia="Times New Roman" w:hAnsi="Times New Roman"/>
          <w:sz w:val="20"/>
          <w:szCs w:val="20"/>
          <w:color w:val="auto"/>
        </w:rPr>
      </w:pPr>
    </w:p>
    <w:p>
      <w:pPr>
        <w:jc w:val="both"/>
        <w:ind w:firstLine="872"/>
        <w:spacing w:after="0" w:line="243" w:lineRule="auto"/>
        <w:tabs>
          <w:tab w:leader="none" w:pos="1742"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an Issuer Free Writing Prospectus made in reliance upon and in conformity with the Underwriter Information;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4" w:name="page275"/>
    <w:bookmarkEnd w:id="274"/>
    <w:p>
      <w:pPr>
        <w:jc w:val="both"/>
        <w:ind w:firstLine="872"/>
        <w:spacing w:after="0" w:line="244" w:lineRule="auto"/>
        <w:tabs>
          <w:tab w:leader="none" w:pos="1731"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II(d) hereto; and the Company reconfirms that the Underwriters have been authorized to act on its behalf in engaging in Testing-the-Waters Communications;</w:t>
      </w:r>
    </w:p>
    <w:p>
      <w:pPr>
        <w:spacing w:after="0" w:line="185" w:lineRule="exact"/>
        <w:rPr>
          <w:rFonts w:ascii="Times New Roman" w:cs="Times New Roman" w:eastAsia="Times New Roman" w:hAnsi="Times New Roman"/>
          <w:sz w:val="20"/>
          <w:szCs w:val="20"/>
          <w:color w:val="auto"/>
        </w:rPr>
      </w:pPr>
    </w:p>
    <w:p>
      <w:pPr>
        <w:jc w:val="both"/>
        <w:ind w:right="20" w:firstLine="872"/>
        <w:spacing w:after="0" w:line="254" w:lineRule="auto"/>
        <w:tabs>
          <w:tab w:leader="none" w:pos="1742"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 and</w:t>
      </w:r>
    </w:p>
    <w:p>
      <w:pPr>
        <w:spacing w:after="0" w:line="174" w:lineRule="exact"/>
        <w:rPr>
          <w:rFonts w:ascii="Times New Roman" w:cs="Times New Roman" w:eastAsia="Times New Roman" w:hAnsi="Times New Roman"/>
          <w:sz w:val="20"/>
          <w:szCs w:val="20"/>
          <w:color w:val="auto"/>
        </w:rPr>
      </w:pPr>
    </w:p>
    <w:p>
      <w:pPr>
        <w:ind w:firstLine="872"/>
        <w:spacing w:after="0" w:line="269" w:lineRule="auto"/>
        <w:tabs>
          <w:tab w:leader="none" w:pos="1731"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publicly filed the Registration Statement on EDGAR at least 48-hours prior to the time at which the Registration Statement was declared effective by the Commission.</w:t>
      </w:r>
    </w:p>
    <w:p>
      <w:pPr>
        <w:spacing w:after="0" w:line="159" w:lineRule="exact"/>
        <w:rPr>
          <w:rFonts w:ascii="Times New Roman" w:cs="Times New Roman" w:eastAsia="Times New Roman" w:hAnsi="Times New Roman"/>
          <w:sz w:val="20"/>
          <w:szCs w:val="20"/>
          <w:color w:val="auto"/>
        </w:rPr>
      </w:pPr>
    </w:p>
    <w:p>
      <w:pPr>
        <w:jc w:val="both"/>
        <w:ind w:firstLine="8"/>
        <w:spacing w:after="0" w:line="241" w:lineRule="auto"/>
        <w:tabs>
          <w:tab w:leader="none" w:pos="79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(iv) all fees and expenses in connection with listing the Shares on The Nasdaq Global Select Market; (v) the filing fees incident to, and the fees and disbursements of counsel for the Underwriters in connection with, any required review by FINRA of the terms of the sale of the Shares, in an amount not to exceed $35,000; (vi) the cost of preparing stock certificates; (vii) the cost and charges of any transfer agent or registrar; and (viii)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193" w:lineRule="exact"/>
        <w:rPr>
          <w:rFonts w:ascii="Times New Roman" w:cs="Times New Roman" w:eastAsia="Times New Roman" w:hAnsi="Times New Roman"/>
          <w:sz w:val="20"/>
          <w:szCs w:val="20"/>
          <w:color w:val="auto"/>
        </w:rPr>
      </w:pPr>
    </w:p>
    <w:p>
      <w:pPr>
        <w:jc w:val="both"/>
        <w:ind w:firstLine="8"/>
        <w:spacing w:after="0" w:line="249" w:lineRule="auto"/>
        <w:tabs>
          <w:tab w:leader="none" w:pos="796"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179" w:lineRule="exact"/>
        <w:rPr>
          <w:rFonts w:ascii="Times New Roman" w:cs="Times New Roman" w:eastAsia="Times New Roman" w:hAnsi="Times New Roman"/>
          <w:sz w:val="20"/>
          <w:szCs w:val="20"/>
          <w:color w:val="auto"/>
        </w:rPr>
      </w:pPr>
    </w:p>
    <w:p>
      <w:pPr>
        <w:jc w:val="both"/>
        <w:ind w:firstLine="872"/>
        <w:spacing w:after="0" w:line="249" w:lineRule="auto"/>
        <w:tabs>
          <w:tab w:leader="none" w:pos="1731"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5" w:name="page276"/>
    <w:bookmarkEnd w:id="275"/>
    <w:p>
      <w:pPr>
        <w:jc w:val="both"/>
        <w:spacing w:after="0" w:line="245" w:lineRule="auto"/>
        <w:rPr>
          <w:sz w:val="20"/>
          <w:szCs w:val="20"/>
          <w:color w:val="auto"/>
        </w:rPr>
      </w:pPr>
      <w:r>
        <w:rPr>
          <w:rFonts w:ascii="Times New Roman" w:cs="Times New Roman" w:eastAsia="Times New Roman" w:hAnsi="Times New Roman"/>
          <w:sz w:val="20"/>
          <w:szCs w:val="20"/>
          <w:color w:val="auto"/>
        </w:rPr>
        <w:t>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84" w:lineRule="exact"/>
        <w:rPr>
          <w:sz w:val="20"/>
          <w:szCs w:val="20"/>
          <w:color w:val="auto"/>
        </w:rPr>
      </w:pPr>
    </w:p>
    <w:p>
      <w:pPr>
        <w:jc w:val="both"/>
        <w:ind w:firstLine="872"/>
        <w:spacing w:after="0" w:line="249" w:lineRule="auto"/>
        <w:tabs>
          <w:tab w:leader="none" w:pos="174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Cooley LLP, counsel for the Underwriters, shall have furnished to you such written opinion and negative assurance letter, dated such Time of Delivery, in form and substance satisfactory to the Representatives, with respect to such matters as the Representatives may reasonably request, and such counsel shall have received such papers and information as they may reasonably request to enable them to pass upon such matters;</w:t>
      </w:r>
    </w:p>
    <w:p>
      <w:pPr>
        <w:spacing w:after="0" w:line="179" w:lineRule="exact"/>
        <w:rPr>
          <w:rFonts w:ascii="Times New Roman" w:cs="Times New Roman" w:eastAsia="Times New Roman" w:hAnsi="Times New Roman"/>
          <w:sz w:val="20"/>
          <w:szCs w:val="20"/>
          <w:color w:val="auto"/>
        </w:rPr>
      </w:pPr>
    </w:p>
    <w:p>
      <w:pPr>
        <w:ind w:firstLine="872"/>
        <w:spacing w:after="0" w:line="269" w:lineRule="auto"/>
        <w:tabs>
          <w:tab w:leader="none" w:pos="1731"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Wilson Sonsini Goodrich &amp; Rosati PC, counsel for the Company, shall have furnished to the Representatives their written opinion and negative assurance letter, dated such Time of Delivery, in form and substance satisfactory to you;</w:t>
      </w:r>
    </w:p>
    <w:p>
      <w:pPr>
        <w:spacing w:after="0" w:line="159" w:lineRule="exact"/>
        <w:rPr>
          <w:rFonts w:ascii="Times New Roman" w:cs="Times New Roman" w:eastAsia="Times New Roman" w:hAnsi="Times New Roman"/>
          <w:sz w:val="20"/>
          <w:szCs w:val="20"/>
          <w:color w:val="auto"/>
        </w:rPr>
      </w:pPr>
    </w:p>
    <w:p>
      <w:pPr>
        <w:ind w:firstLine="872"/>
        <w:spacing w:after="0" w:line="269" w:lineRule="auto"/>
        <w:tabs>
          <w:tab w:leader="none" w:pos="174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McNeill Baur PLLC, intellectual property counsel for the Company, shall have furnished to the Representatives their written opinion, dated such Time of Delivery, in form and substance satisfactory to you;</w:t>
      </w:r>
    </w:p>
    <w:p>
      <w:pPr>
        <w:spacing w:after="0" w:line="159" w:lineRule="exact"/>
        <w:rPr>
          <w:rFonts w:ascii="Times New Roman" w:cs="Times New Roman" w:eastAsia="Times New Roman" w:hAnsi="Times New Roman"/>
          <w:sz w:val="20"/>
          <w:szCs w:val="20"/>
          <w:color w:val="auto"/>
        </w:rPr>
      </w:pPr>
    </w:p>
    <w:p>
      <w:pPr>
        <w:jc w:val="both"/>
        <w:ind w:firstLine="872"/>
        <w:spacing w:after="0" w:line="240" w:lineRule="exact"/>
        <w:tabs>
          <w:tab w:leader="none" w:pos="1731"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of the Prospectus at a time prior to the execution of this Agreement, at 9:30 a.m., New York City time, on the effective date of any post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effective amendment to the Registration Statement filed subsequent to the date of this Agreement and also at each Time of Delivery, Ernst &amp; Young LLP shall have furnished to the Representatives a letter or letters, dated the respective dates of delivery thereof, in form and substance satisfactory to the Representatives;</w:t>
      </w:r>
    </w:p>
    <w:p>
      <w:pPr>
        <w:spacing w:after="0" w:line="189" w:lineRule="exact"/>
        <w:rPr>
          <w:rFonts w:ascii="Times New Roman" w:cs="Times New Roman" w:eastAsia="Times New Roman" w:hAnsi="Times New Roman"/>
          <w:sz w:val="20"/>
          <w:szCs w:val="20"/>
          <w:color w:val="auto"/>
        </w:rPr>
      </w:pPr>
    </w:p>
    <w:p>
      <w:pPr>
        <w:jc w:val="both"/>
        <w:ind w:firstLine="872"/>
        <w:spacing w:after="0" w:line="232" w:lineRule="exact"/>
        <w:tabs>
          <w:tab w:leader="none" w:pos="1709"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Neither the Company nor any of its subsidiaries shall have sustained since the date of the latest audited financial statements included in the Pricing Prospectus any material loss or interference with its business from fire, explosion, flood or other calamity, whether or not covered by insurance, or from any labor dispute or court or governmental action, order or decree, otherwise than as set forth or contemplated in the Pricing Prospectus and the Prospectus, and (ii) since the respective dates as of which information is given in the Pricing Prospectus and the Prospectus there shall not have been any change in the capital stock (other than as a result of (i) the exercise of stock options or the award of stock options or restricted stock in the ordinary course of business pursuant to the Company’s equity plan that’s are described in the Pricing Prospectus, (ii) the repurchase of shares of capital stock pursuant to agreements providing for an option to repurchase or a right of first refusal on behalf of the Company that are described in the Pricing Prospectus and the Prospectus or (iii) the issuance, if any, of stock upon exercise or conversion of Company securities as described in the Pricing Prospectus and the Prospectus) or long</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and the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6" w:name="page277"/>
    <w:bookmarkEnd w:id="276"/>
    <w:p>
      <w:pPr>
        <w:jc w:val="both"/>
        <w:ind w:firstLine="872"/>
        <w:spacing w:after="0" w:line="249" w:lineRule="auto"/>
        <w:tabs>
          <w:tab w:leader="none" w:pos="1742"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after the Applicable Time (i) no downgrading shall have occurred in the rating accorded the Company’s debt securities by any “nationally recognized statistical rating organization”, as that term is defined in Section 3(a)(62) under the Exchange Act, and (ii) no such organization shall have publicly announced that it has under surveillance or review, with possible negative implications, its rating of any of the Company’s debt securities;</w:t>
      </w:r>
    </w:p>
    <w:p>
      <w:pPr>
        <w:spacing w:after="0" w:line="179" w:lineRule="exact"/>
        <w:rPr>
          <w:rFonts w:ascii="Times New Roman" w:cs="Times New Roman" w:eastAsia="Times New Roman" w:hAnsi="Times New Roman"/>
          <w:sz w:val="20"/>
          <w:szCs w:val="20"/>
          <w:color w:val="auto"/>
        </w:rPr>
      </w:pPr>
    </w:p>
    <w:p>
      <w:pPr>
        <w:jc w:val="both"/>
        <w:ind w:firstLine="872"/>
        <w:spacing w:after="0" w:line="243" w:lineRule="auto"/>
        <w:tabs>
          <w:tab w:leader="none" w:pos="1742"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after the Applicable Time there shall not have occurred any of the following: (i) a suspension or material limitation in trading in securities generally on the New York Stock Exchange or on The Nasdaq Global Select Market; (ii) a suspension or material limitation in trading in the Company’s securities on The Nasdaq Global Select Market;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85" w:lineRule="exact"/>
        <w:rPr>
          <w:rFonts w:ascii="Times New Roman" w:cs="Times New Roman" w:eastAsia="Times New Roman" w:hAnsi="Times New Roman"/>
          <w:sz w:val="20"/>
          <w:szCs w:val="20"/>
          <w:color w:val="auto"/>
        </w:rPr>
      </w:pPr>
    </w:p>
    <w:p>
      <w:pPr>
        <w:ind w:firstLine="872"/>
        <w:spacing w:after="0" w:line="269" w:lineRule="auto"/>
        <w:tabs>
          <w:tab w:leader="none" w:pos="1698"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to be sold at such Time of Delivery shall have been duly listed, subject to notice of issuance, on The Nasdaq Global Select Market;</w:t>
      </w:r>
    </w:p>
    <w:p>
      <w:pPr>
        <w:spacing w:after="0" w:line="159" w:lineRule="exact"/>
        <w:rPr>
          <w:rFonts w:ascii="Times New Roman" w:cs="Times New Roman" w:eastAsia="Times New Roman" w:hAnsi="Times New Roman"/>
          <w:sz w:val="20"/>
          <w:szCs w:val="20"/>
          <w:color w:val="auto"/>
        </w:rPr>
      </w:pPr>
    </w:p>
    <w:p>
      <w:pPr>
        <w:jc w:val="both"/>
        <w:ind w:firstLine="872"/>
        <w:spacing w:after="0" w:line="254" w:lineRule="auto"/>
        <w:tabs>
          <w:tab w:leader="none" w:pos="1698"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obtained and delivered to the Underwriters executed copies of an agreement from each director, executive officer and certain stockholders of the Company, substantially to the effect set forth in Annex I hereof in form and substance satisfactory to the Representatives;</w:t>
      </w:r>
    </w:p>
    <w:p>
      <w:pPr>
        <w:spacing w:after="0" w:line="174" w:lineRule="exact"/>
        <w:rPr>
          <w:rFonts w:ascii="Times New Roman" w:cs="Times New Roman" w:eastAsia="Times New Roman" w:hAnsi="Times New Roman"/>
          <w:sz w:val="20"/>
          <w:szCs w:val="20"/>
          <w:color w:val="auto"/>
        </w:rPr>
      </w:pPr>
    </w:p>
    <w:p>
      <w:pPr>
        <w:jc w:val="both"/>
        <w:ind w:firstLine="872"/>
        <w:spacing w:after="0" w:line="254" w:lineRule="auto"/>
        <w:tabs>
          <w:tab w:leader="none" w:pos="1742"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Representatives on the date of the Prospectus at a time prior to the execution of this Agreement and at such Time of Delivery a certificate of the Chief Financial Officer of the Company, in form and substance satisfactory to the Representatives;</w:t>
      </w:r>
    </w:p>
    <w:p>
      <w:pPr>
        <w:spacing w:after="0" w:line="174" w:lineRule="exact"/>
        <w:rPr>
          <w:rFonts w:ascii="Times New Roman" w:cs="Times New Roman" w:eastAsia="Times New Roman" w:hAnsi="Times New Roman"/>
          <w:sz w:val="20"/>
          <w:szCs w:val="20"/>
          <w:color w:val="auto"/>
        </w:rPr>
      </w:pPr>
    </w:p>
    <w:p>
      <w:pPr>
        <w:ind w:firstLine="872"/>
        <w:spacing w:after="0" w:line="269" w:lineRule="auto"/>
        <w:tabs>
          <w:tab w:leader="none" w:pos="1698"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complied with the provisions of Section 5(c) hereof with respect to the furnishing of prospectuses on the New York Business Day next succeeding the date of this Agreement; and</w:t>
      </w:r>
    </w:p>
    <w:p>
      <w:pPr>
        <w:spacing w:after="0" w:line="159" w:lineRule="exact"/>
        <w:rPr>
          <w:rFonts w:ascii="Times New Roman" w:cs="Times New Roman" w:eastAsia="Times New Roman" w:hAnsi="Times New Roman"/>
          <w:sz w:val="20"/>
          <w:szCs w:val="20"/>
          <w:color w:val="auto"/>
        </w:rPr>
      </w:pPr>
    </w:p>
    <w:p>
      <w:pPr>
        <w:jc w:val="both"/>
        <w:ind w:firstLine="872"/>
        <w:spacing w:after="0" w:line="249" w:lineRule="auto"/>
        <w:tabs>
          <w:tab w:leader="none" w:pos="1797"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you may reasonably request.</w:t>
      </w:r>
    </w:p>
    <w:p>
      <w:pPr>
        <w:spacing w:after="0" w:line="179" w:lineRule="exact"/>
        <w:rPr>
          <w:rFonts w:ascii="Times New Roman" w:cs="Times New Roman" w:eastAsia="Times New Roman" w:hAnsi="Times New Roman"/>
          <w:sz w:val="20"/>
          <w:szCs w:val="20"/>
          <w:color w:val="auto"/>
        </w:rPr>
      </w:pPr>
    </w:p>
    <w:p>
      <w:pPr>
        <w:jc w:val="both"/>
        <w:ind w:firstLine="8"/>
        <w:spacing w:after="0" w:line="243" w:lineRule="auto"/>
        <w:tabs>
          <w:tab w:leader="none" w:pos="79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7" w:name="page278"/>
    <w:bookmarkEnd w:id="277"/>
    <w:p>
      <w:pPr>
        <w:jc w:val="both"/>
        <w:spacing w:after="0" w:line="245" w:lineRule="auto"/>
        <w:rPr>
          <w:sz w:val="20"/>
          <w:szCs w:val="20"/>
          <w:color w:val="auto"/>
        </w:rPr>
      </w:pPr>
      <w:r>
        <w:rPr>
          <w:rFonts w:ascii="Times New Roman" w:cs="Times New Roman" w:eastAsia="Times New Roman" w:hAnsi="Times New Roman"/>
          <w:sz w:val="20"/>
          <w:szCs w:val="20"/>
          <w:color w:val="auto"/>
        </w:rPr>
        <w:t>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any roadshow, or any Testing-the-Waters Communication, in reliance upon and in conformity with the Underwriter Information.</w:t>
      </w:r>
    </w:p>
    <w:p>
      <w:pPr>
        <w:spacing w:after="0" w:line="184" w:lineRule="exact"/>
        <w:rPr>
          <w:sz w:val="20"/>
          <w:szCs w:val="20"/>
          <w:color w:val="auto"/>
        </w:rPr>
      </w:pPr>
    </w:p>
    <w:p>
      <w:pPr>
        <w:jc w:val="both"/>
        <w:ind w:firstLine="872"/>
        <w:spacing w:after="0" w:line="241" w:lineRule="auto"/>
        <w:tabs>
          <w:tab w:leader="none" w:pos="1731"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[eight, ninth and tenth] paragraphs under the caption “Underwriting”.</w:t>
      </w:r>
    </w:p>
    <w:p>
      <w:pPr>
        <w:spacing w:after="0" w:line="193" w:lineRule="exact"/>
        <w:rPr>
          <w:rFonts w:ascii="Times New Roman" w:cs="Times New Roman" w:eastAsia="Times New Roman" w:hAnsi="Times New Roman"/>
          <w:sz w:val="20"/>
          <w:szCs w:val="20"/>
          <w:color w:val="auto"/>
        </w:rPr>
      </w:pPr>
    </w:p>
    <w:p>
      <w:pPr>
        <w:jc w:val="both"/>
        <w:ind w:firstLine="872"/>
        <w:spacing w:after="0" w:line="241" w:lineRule="auto"/>
        <w:tabs>
          <w:tab w:leader="none" w:pos="1742"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8" w:name="page279"/>
    <w:bookmarkEnd w:id="278"/>
    <w:p>
      <w:pPr>
        <w:jc w:val="both"/>
        <w:spacing w:after="0" w:line="254" w:lineRule="auto"/>
        <w:rPr>
          <w:sz w:val="20"/>
          <w:szCs w:val="20"/>
          <w:color w:val="auto"/>
        </w:rPr>
      </w:pPr>
      <w:r>
        <w:rPr>
          <w:rFonts w:ascii="Times New Roman" w:cs="Times New Roman" w:eastAsia="Times New Roman" w:hAnsi="Times New Roman"/>
          <w:sz w:val="20"/>
          <w:szCs w:val="20"/>
          <w:color w:val="auto"/>
        </w:rPr>
        <w:t>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74" w:lineRule="exact"/>
        <w:rPr>
          <w:sz w:val="20"/>
          <w:szCs w:val="20"/>
          <w:color w:val="auto"/>
        </w:rPr>
      </w:pPr>
    </w:p>
    <w:p>
      <w:pPr>
        <w:jc w:val="both"/>
        <w:ind w:firstLine="872"/>
        <w:spacing w:after="0"/>
        <w:tabs>
          <w:tab w:leader="none" w:pos="1731"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203" w:lineRule="exact"/>
        <w:rPr>
          <w:rFonts w:ascii="Times New Roman" w:cs="Times New Roman" w:eastAsia="Times New Roman" w:hAnsi="Times New Roman"/>
          <w:sz w:val="20"/>
          <w:szCs w:val="20"/>
          <w:color w:val="auto"/>
        </w:rPr>
      </w:pPr>
    </w:p>
    <w:p>
      <w:pPr>
        <w:jc w:val="both"/>
        <w:ind w:firstLine="872"/>
        <w:spacing w:after="0" w:line="245" w:lineRule="auto"/>
        <w:tabs>
          <w:tab w:leader="none" w:pos="1742"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9" w:name="page280"/>
    <w:bookmarkEnd w:id="279"/>
    <w:p>
      <w:pPr>
        <w:jc w:val="both"/>
        <w:ind w:firstLine="8"/>
        <w:spacing w:after="0" w:line="234" w:lineRule="exact"/>
        <w:tabs>
          <w:tab w:leader="none" w:pos="868"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six hours after such default by any Underwriter you do not arrange for the purchase of such Shares, then the Company shall be entitled to a further period of thirty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95" w:lineRule="exact"/>
        <w:rPr>
          <w:rFonts w:ascii="Times New Roman" w:cs="Times New Roman" w:eastAsia="Times New Roman" w:hAnsi="Times New Roman"/>
          <w:sz w:val="20"/>
          <w:szCs w:val="20"/>
          <w:color w:val="auto"/>
        </w:rPr>
      </w:pPr>
    </w:p>
    <w:p>
      <w:pPr>
        <w:jc w:val="both"/>
        <w:ind w:firstLine="872"/>
        <w:spacing w:after="0" w:line="239" w:lineRule="exact"/>
        <w:tabs>
          <w:tab w:leader="none" w:pos="1731"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eleventh of the aggregate number of all the Shares to be purchased at such Time of Delivery, then the Company shall have the right to require each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defaulting Underwriter to purchase the number of shares which such Underwriter agreed to purchase hereunder at such Time of Delivery and, in addition, to require each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92" w:lineRule="exact"/>
        <w:rPr>
          <w:rFonts w:ascii="Times New Roman" w:cs="Times New Roman" w:eastAsia="Times New Roman" w:hAnsi="Times New Roman"/>
          <w:sz w:val="20"/>
          <w:szCs w:val="20"/>
          <w:color w:val="auto"/>
        </w:rPr>
      </w:pPr>
    </w:p>
    <w:p>
      <w:pPr>
        <w:jc w:val="both"/>
        <w:ind w:firstLine="872"/>
        <w:spacing w:after="0" w:line="236" w:lineRule="exact"/>
        <w:tabs>
          <w:tab w:leader="none" w:pos="1742"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giving effect to any arrangements for the purchase of the Shares of a defaulting Underwriter or Underwriters by you and the Company as provided in subsection (a) above, the aggregate number of such Shares which remains unpurchased exceeds one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eleventh of the aggregate number of all the Shares to be purchased at such Time of Delivery, or if the Company shall not exercise the right described in subsection (b) above to require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93" w:lineRule="exact"/>
        <w:rPr>
          <w:sz w:val="20"/>
          <w:szCs w:val="20"/>
          <w:color w:val="auto"/>
        </w:rPr>
      </w:pPr>
    </w:p>
    <w:p>
      <w:pPr>
        <w:jc w:val="both"/>
        <w:ind w:firstLine="8"/>
        <w:spacing w:after="0" w:line="246" w:lineRule="auto"/>
        <w:tabs>
          <w:tab w:leader="none" w:pos="888"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broker dealer, affiliate or controlling person of any Underwriter, or the Company, or any officer or director or controlling person of the Company, and shall survive delivery of and payment for the Shares.</w:t>
      </w:r>
    </w:p>
    <w:p>
      <w:pPr>
        <w:spacing w:after="0" w:line="184" w:lineRule="exact"/>
        <w:rPr>
          <w:rFonts w:ascii="Times New Roman" w:cs="Times New Roman" w:eastAsia="Times New Roman" w:hAnsi="Times New Roman"/>
          <w:sz w:val="20"/>
          <w:szCs w:val="20"/>
          <w:color w:val="auto"/>
        </w:rPr>
      </w:pPr>
    </w:p>
    <w:p>
      <w:pPr>
        <w:jc w:val="both"/>
        <w:ind w:firstLine="8"/>
        <w:spacing w:after="0" w:line="238" w:lineRule="exact"/>
        <w:tabs>
          <w:tab w:leader="none" w:pos="895"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or the Underwriters decline to purchase the Shares for any reason permitted under this Agreement, the Company will reimburse the Underwriters through you for all out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pocket expenses approved in writing by you, including fees and disbursements of counsel, reasonably incurred by the Underwriters in making preparations for the purchase,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0" w:name="page281"/>
    <w:bookmarkEnd w:id="280"/>
    <w:p>
      <w:pPr>
        <w:spacing w:after="0" w:line="269" w:lineRule="auto"/>
        <w:rPr>
          <w:sz w:val="20"/>
          <w:szCs w:val="20"/>
          <w:color w:val="auto"/>
        </w:rPr>
      </w:pPr>
      <w:r>
        <w:rPr>
          <w:rFonts w:ascii="Times New Roman" w:cs="Times New Roman" w:eastAsia="Times New Roman" w:hAnsi="Times New Roman"/>
          <w:sz w:val="20"/>
          <w:szCs w:val="20"/>
          <w:color w:val="auto"/>
        </w:rPr>
        <w:t>sale and delivery of the Shares not so delivered, but the Company shall then be under no further liability to any Underwriter except as provided in Sections 7 and 9 hereof.</w:t>
      </w:r>
    </w:p>
    <w:p>
      <w:pPr>
        <w:spacing w:after="0" w:line="159" w:lineRule="exact"/>
        <w:rPr>
          <w:sz w:val="20"/>
          <w:szCs w:val="20"/>
          <w:color w:val="auto"/>
        </w:rPr>
      </w:pPr>
    </w:p>
    <w:p>
      <w:pPr>
        <w:jc w:val="both"/>
        <w:ind w:firstLine="8"/>
        <w:spacing w:after="0" w:line="254" w:lineRule="auto"/>
        <w:tabs>
          <w:tab w:leader="none" w:pos="895"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all dealings hereunder, the Representatives shall act on behalf of each of the Underwriters, and the parties hereto shall be entitled to act and rely upon any statement, request, notice or agreement on behalf of any Underwriter made or given by you jointly or by the Representatives on behalf of the Underwriters.</w:t>
      </w:r>
    </w:p>
    <w:p>
      <w:pPr>
        <w:spacing w:after="0" w:line="174"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All statements, requests, notices and agreements hereunder shall be in writing, and (A) if to the Underwriters shall be delivered or sent by mail, telex or facsimile transmission to you as the representatives (i) in care of Goldman Sachs &amp; Co. LLC, 200 West Street, New York, New York 10282-2198, Attention: Registration Department; and (ii) in care of Jefferies LLC, 520 Madison Avenue, New York, New York 10022, Attention: General Counsel; and (B) if to the Company shall be delivered or sent by mail, telex or facsimile transmission to the address of the Company set forth on the cover of the Registration Statement, Attention: Secretary;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Any such statements, requests, notices or agreements shall take effect upon receipt thereof.</w:t>
      </w:r>
    </w:p>
    <w:p>
      <w:pPr>
        <w:spacing w:after="0" w:line="189"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0" w:lineRule="exact"/>
        <w:rPr>
          <w:sz w:val="20"/>
          <w:szCs w:val="20"/>
          <w:color w:val="auto"/>
        </w:rPr>
      </w:pPr>
    </w:p>
    <w:p>
      <w:pPr>
        <w:jc w:val="both"/>
        <w:ind w:firstLine="8"/>
        <w:spacing w:after="0" w:line="246" w:lineRule="auto"/>
        <w:tabs>
          <w:tab w:leader="none" w:pos="895"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or any director, officer, employee, broker dealer, or affiliate of the Underwriters,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84" w:lineRule="exact"/>
        <w:rPr>
          <w:rFonts w:ascii="Times New Roman" w:cs="Times New Roman" w:eastAsia="Times New Roman" w:hAnsi="Times New Roman"/>
          <w:sz w:val="20"/>
          <w:szCs w:val="20"/>
          <w:color w:val="auto"/>
        </w:rPr>
      </w:pPr>
    </w:p>
    <w:p>
      <w:pPr>
        <w:ind w:firstLine="8"/>
        <w:spacing w:after="0" w:line="269" w:lineRule="auto"/>
        <w:tabs>
          <w:tab w:leader="none" w:pos="895"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shall be of the essence of this Agreement. As used herein, the term “business day” shall mean any day when the Commission’s office in Washington, D.C. is open for business.</w:t>
      </w:r>
    </w:p>
    <w:p>
      <w:pPr>
        <w:spacing w:after="0" w:line="159" w:lineRule="exact"/>
        <w:rPr>
          <w:rFonts w:ascii="Times New Roman" w:cs="Times New Roman" w:eastAsia="Times New Roman" w:hAnsi="Times New Roman"/>
          <w:sz w:val="20"/>
          <w:szCs w:val="20"/>
          <w:color w:val="auto"/>
        </w:rPr>
      </w:pPr>
    </w:p>
    <w:p>
      <w:pPr>
        <w:jc w:val="both"/>
        <w:ind w:firstLine="8"/>
        <w:spacing w:after="0" w:line="243" w:lineRule="auto"/>
        <w:tabs>
          <w:tab w:leader="none" w:pos="895"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85" w:lineRule="exact"/>
        <w:rPr>
          <w:rFonts w:ascii="Times New Roman" w:cs="Times New Roman" w:eastAsia="Times New Roman" w:hAnsi="Times New Roman"/>
          <w:sz w:val="20"/>
          <w:szCs w:val="20"/>
          <w:color w:val="auto"/>
        </w:rPr>
      </w:pPr>
    </w:p>
    <w:p>
      <w:pPr>
        <w:ind w:firstLine="8"/>
        <w:spacing w:after="0" w:line="269" w:lineRule="auto"/>
        <w:tabs>
          <w:tab w:leader="none" w:pos="895"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supersedes all prior agreements and understandings (whether written or oral) between the Company and the Underwriters, or any of them, with respect to the subject matter hereof.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1" w:name="page282"/>
    <w:bookmarkEnd w:id="281"/>
    <w:p>
      <w:pPr>
        <w:jc w:val="both"/>
        <w:ind w:firstLine="8"/>
        <w:spacing w:after="0" w:line="245" w:lineRule="auto"/>
        <w:tabs>
          <w:tab w:leader="none" w:pos="895"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84" w:lineRule="exact"/>
        <w:rPr>
          <w:rFonts w:ascii="Times New Roman" w:cs="Times New Roman" w:eastAsia="Times New Roman" w:hAnsi="Times New Roman"/>
          <w:sz w:val="20"/>
          <w:szCs w:val="20"/>
          <w:color w:val="auto"/>
        </w:rPr>
      </w:pPr>
    </w:p>
    <w:p>
      <w:pPr>
        <w:ind w:right="20" w:firstLine="8"/>
        <w:spacing w:after="0" w:line="269" w:lineRule="auto"/>
        <w:tabs>
          <w:tab w:leader="none" w:pos="895"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59" w:lineRule="exact"/>
        <w:rPr>
          <w:rFonts w:ascii="Times New Roman" w:cs="Times New Roman" w:eastAsia="Times New Roman" w:hAnsi="Times New Roman"/>
          <w:sz w:val="20"/>
          <w:szCs w:val="20"/>
          <w:color w:val="auto"/>
        </w:rPr>
      </w:pPr>
    </w:p>
    <w:p>
      <w:pPr>
        <w:jc w:val="both"/>
        <w:ind w:firstLine="8"/>
        <w:spacing w:after="0" w:line="246" w:lineRule="auto"/>
        <w:tabs>
          <w:tab w:leader="none" w:pos="895"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complying with the U.S. federal ESIGN Act of 2000, Uniform Electronic Transactions Act or other applicable law, e.g., www. Docusign.com) or other transmission method any counterpart so delivered shall be deemed to have been duly and validly delivered and be valid and effective for all purposes.</w:t>
      </w:r>
    </w:p>
    <w:p>
      <w:pPr>
        <w:spacing w:after="0" w:line="184" w:lineRule="exact"/>
        <w:rPr>
          <w:rFonts w:ascii="Times New Roman" w:cs="Times New Roman" w:eastAsia="Times New Roman" w:hAnsi="Times New Roman"/>
          <w:sz w:val="20"/>
          <w:szCs w:val="20"/>
          <w:color w:val="auto"/>
        </w:rPr>
      </w:pPr>
    </w:p>
    <w:p>
      <w:pPr>
        <w:jc w:val="both"/>
        <w:ind w:firstLine="8"/>
        <w:spacing w:after="0" w:line="245" w:lineRule="auto"/>
        <w:tabs>
          <w:tab w:leader="none" w:pos="895"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84" w:lineRule="exact"/>
        <w:rPr>
          <w:rFonts w:ascii="Times New Roman" w:cs="Times New Roman" w:eastAsia="Times New Roman" w:hAnsi="Times New Roman"/>
          <w:sz w:val="20"/>
          <w:szCs w:val="20"/>
          <w:color w:val="auto"/>
        </w:rPr>
      </w:pPr>
    </w:p>
    <w:p>
      <w:pPr>
        <w:ind w:left="900" w:hanging="892"/>
        <w:spacing w:after="0"/>
        <w:tabs>
          <w:tab w:leader="none" w:pos="90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the U.S. Special Resolution Regimes.</w:t>
      </w:r>
    </w:p>
    <w:p>
      <w:pPr>
        <w:spacing w:after="0" w:line="215" w:lineRule="exact"/>
        <w:rPr>
          <w:rFonts w:ascii="Times New Roman" w:cs="Times New Roman" w:eastAsia="Times New Roman" w:hAnsi="Times New Roman"/>
          <w:sz w:val="20"/>
          <w:szCs w:val="20"/>
          <w:color w:val="auto"/>
        </w:rPr>
      </w:pPr>
    </w:p>
    <w:p>
      <w:pPr>
        <w:jc w:val="both"/>
        <w:ind w:firstLine="872"/>
        <w:spacing w:after="0" w:line="249" w:lineRule="auto"/>
        <w:tabs>
          <w:tab w:leader="none" w:pos="1731"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20"/>
          <w:szCs w:val="20"/>
          <w:color w:val="auto"/>
        </w:rPr>
      </w:pPr>
    </w:p>
    <w:p>
      <w:pPr>
        <w:jc w:val="both"/>
        <w:ind w:firstLine="872"/>
        <w:spacing w:after="0" w:line="249" w:lineRule="auto"/>
        <w:tabs>
          <w:tab w:leader="none" w:pos="1742"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20"/>
          <w:szCs w:val="20"/>
          <w:color w:val="auto"/>
        </w:rPr>
      </w:pPr>
    </w:p>
    <w:p>
      <w:pPr>
        <w:ind w:left="1740" w:hanging="868"/>
        <w:spacing w:after="0"/>
        <w:tabs>
          <w:tab w:leader="none" w:pos="1740"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section:</w:t>
      </w:r>
    </w:p>
    <w:p>
      <w:pPr>
        <w:spacing w:after="0" w:line="216" w:lineRule="exact"/>
        <w:rPr>
          <w:sz w:val="20"/>
          <w:szCs w:val="20"/>
          <w:color w:val="auto"/>
        </w:rPr>
      </w:pPr>
    </w:p>
    <w:p>
      <w:pPr>
        <w:ind w:left="880" w:right="20" w:firstLine="797"/>
        <w:spacing w:after="0" w:line="269" w:lineRule="auto"/>
        <w:rPr>
          <w:sz w:val="20"/>
          <w:szCs w:val="20"/>
          <w:color w:val="auto"/>
        </w:rPr>
      </w:pPr>
      <w:r>
        <w:rPr>
          <w:rFonts w:ascii="Times New Roman" w:cs="Times New Roman" w:eastAsia="Times New Roman" w:hAnsi="Times New Roman"/>
          <w:sz w:val="20"/>
          <w:szCs w:val="20"/>
          <w:color w:val="auto"/>
        </w:rPr>
        <w:t>“BHC Act Affiliate” has the meaning assigned to the term “affiliate” in, and shall be interpreted in accordance with, 12 U.S.C. § 1841(k).</w:t>
      </w:r>
    </w:p>
    <w:p>
      <w:pPr>
        <w:spacing w:after="0" w:line="15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“Covered Entity” means any of the following: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2" w:name="page283"/>
    <w:bookmarkEnd w:id="282"/>
    <w:p>
      <w:pPr>
        <w:ind w:left="1620" w:hanging="831"/>
        <w:spacing w:after="0"/>
        <w:tabs>
          <w:tab w:leader="none" w:pos="162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0"/>
          <w:szCs w:val="20"/>
          <w:color w:val="auto"/>
        </w:rPr>
      </w:pPr>
    </w:p>
    <w:p>
      <w:pPr>
        <w:ind w:left="1680" w:hanging="891"/>
        <w:spacing w:after="0"/>
        <w:tabs>
          <w:tab w:leader="none" w:pos="168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15" w:lineRule="exact"/>
        <w:rPr>
          <w:rFonts w:ascii="Times New Roman" w:cs="Times New Roman" w:eastAsia="Times New Roman" w:hAnsi="Times New Roman"/>
          <w:sz w:val="20"/>
          <w:szCs w:val="20"/>
          <w:color w:val="auto"/>
        </w:rPr>
      </w:pPr>
    </w:p>
    <w:p>
      <w:pPr>
        <w:ind w:left="1740" w:hanging="951"/>
        <w:spacing w:after="0"/>
        <w:tabs>
          <w:tab w:leader="none" w:pos="174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216" w:lineRule="exact"/>
        <w:rPr>
          <w:sz w:val="20"/>
          <w:szCs w:val="20"/>
          <w:color w:val="auto"/>
        </w:rPr>
      </w:pPr>
    </w:p>
    <w:p>
      <w:pPr>
        <w:jc w:val="both"/>
        <w:ind w:firstLine="797"/>
        <w:spacing w:after="0" w:line="269" w:lineRule="auto"/>
        <w:rPr>
          <w:sz w:val="20"/>
          <w:szCs w:val="20"/>
          <w:color w:val="auto"/>
        </w:rPr>
      </w:pPr>
      <w:r>
        <w:rPr>
          <w:rFonts w:ascii="Times New Roman" w:cs="Times New Roman" w:eastAsia="Times New Roman" w:hAnsi="Times New Roman"/>
          <w:sz w:val="20"/>
          <w:szCs w:val="20"/>
          <w:color w:val="auto"/>
        </w:rPr>
        <w:t>“Default Right” has the meaning assigned to that term in, and shall be interpreted in accordance with, 12 C.F.R. §§ 252.81, 47.2 or 382.1, as applicable.</w:t>
      </w:r>
    </w:p>
    <w:p>
      <w:pPr>
        <w:spacing w:after="0" w:line="159" w:lineRule="exact"/>
        <w:rPr>
          <w:sz w:val="20"/>
          <w:szCs w:val="20"/>
          <w:color w:val="auto"/>
        </w:rPr>
      </w:pPr>
    </w:p>
    <w:p>
      <w:pPr>
        <w:jc w:val="both"/>
        <w:ind w:firstLine="797"/>
        <w:spacing w:after="0" w:line="254" w:lineRule="auto"/>
        <w:rPr>
          <w:sz w:val="20"/>
          <w:szCs w:val="20"/>
          <w:color w:val="auto"/>
        </w:rPr>
      </w:pPr>
      <w:r>
        <w:rPr>
          <w:rFonts w:ascii="Times New Roman" w:cs="Times New Roman" w:eastAsia="Times New Roman" w:hAnsi="Times New Roman"/>
          <w:sz w:val="20"/>
          <w:szCs w:val="20"/>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186" w:lineRule="exact"/>
        <w:rPr>
          <w:sz w:val="20"/>
          <w:szCs w:val="20"/>
          <w:color w:val="auto"/>
        </w:rPr>
      </w:pPr>
    </w:p>
    <w:p>
      <w:pPr>
        <w:jc w:val="center"/>
        <w:ind w:right="86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181610</wp:posOffset>
            </wp:positionV>
            <wp:extent cx="714946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3" w:right="339" w:bottom="1440" w:gutter="0" w:footer="0" w:header="0"/>
        </w:sectPr>
      </w:pPr>
    </w:p>
    <w:bookmarkStart w:id="283" w:name="page284"/>
    <w:bookmarkEnd w:id="283"/>
    <w:p>
      <w:pPr>
        <w:ind w:left="10440"/>
        <w:spacing w:after="0"/>
        <w:rPr>
          <w:sz w:val="20"/>
          <w:szCs w:val="20"/>
          <w:color w:val="auto"/>
        </w:rPr>
      </w:pPr>
      <w:r>
        <w:rPr>
          <w:rFonts w:ascii="Times New Roman" w:cs="Times New Roman" w:eastAsia="Times New Roman" w:hAnsi="Times New Roman"/>
          <w:sz w:val="17"/>
          <w:szCs w:val="17"/>
          <w:color w:val="auto"/>
        </w:rPr>
        <w:t>Exhibit 1.1</w:t>
      </w:r>
    </w:p>
    <w:p>
      <w:pPr>
        <w:spacing w:after="0" w:line="232"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If the foregoing is in accordance with your understanding, please sign and return to us one for the Company and each of the Representatives plus one for each counsel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w:t>
      </w:r>
    </w:p>
    <w:p>
      <w:pPr>
        <w:jc w:val="center"/>
        <w:ind w:right="4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Jefferies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behalf of each of the Underwriters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Underwriting Agreement]</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229152313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3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99"/>
              </w:rPr>
              <w:t>Exhibit 1.1</w:t>
            </w:r>
          </w:p>
        </w:tc>
        <w:tc>
          <w:tcPr>
            <w:tcW w:w="0" w:type="dxa"/>
            <w:vAlign w:val="bottom"/>
          </w:tcPr>
          <w:p>
            <w:pPr>
              <w:spacing w:after="0"/>
              <w:rPr>
                <w:sz w:val="1"/>
                <w:szCs w:val="1"/>
                <w:color w:val="auto"/>
              </w:rPr>
            </w:pPr>
          </w:p>
        </w:tc>
      </w:tr>
      <w:tr>
        <w:trPr>
          <w:trHeight w:val="451"/>
        </w:trPr>
        <w:tc>
          <w:tcPr>
            <w:tcW w:w="4460" w:type="dxa"/>
            <w:vAlign w:val="bottom"/>
          </w:tcPr>
          <w:p>
            <w:pPr>
              <w:spacing w:after="0"/>
              <w:rPr>
                <w:sz w:val="24"/>
                <w:szCs w:val="24"/>
                <w:color w:val="auto"/>
              </w:rPr>
            </w:pPr>
          </w:p>
        </w:tc>
        <w:tc>
          <w:tcPr>
            <w:tcW w:w="4500" w:type="dxa"/>
            <w:vAlign w:val="bottom"/>
            <w:gridSpan w:val="2"/>
          </w:tcPr>
          <w:p>
            <w:pPr>
              <w:ind w:left="560"/>
              <w:spacing w:after="0"/>
              <w:rPr>
                <w:sz w:val="20"/>
                <w:szCs w:val="20"/>
                <w:color w:val="auto"/>
              </w:rPr>
            </w:pPr>
            <w:r>
              <w:rPr>
                <w:rFonts w:ascii="Times New Roman" w:cs="Times New Roman" w:eastAsia="Times New Roman" w:hAnsi="Times New Roman"/>
                <w:sz w:val="20"/>
                <w:szCs w:val="20"/>
                <w:b w:val="1"/>
                <w:bCs w:val="1"/>
                <w:color w:val="auto"/>
              </w:rPr>
              <w:t>SCHEDULE I</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 Optional</w:t>
            </w:r>
          </w:p>
        </w:tc>
        <w:tc>
          <w:tcPr>
            <w:tcW w:w="0" w:type="dxa"/>
            <w:vAlign w:val="bottom"/>
          </w:tcPr>
          <w:p>
            <w:pPr>
              <w:spacing w:after="0"/>
              <w:rPr>
                <w:sz w:val="1"/>
                <w:szCs w:val="1"/>
                <w:color w:val="auto"/>
              </w:rPr>
            </w:pPr>
          </w:p>
        </w:tc>
      </w:tr>
      <w:tr>
        <w:trPr>
          <w:trHeight w:val="229"/>
        </w:trPr>
        <w:tc>
          <w:tcPr>
            <w:tcW w:w="4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Shares to be Purchased if</w:t>
            </w:r>
          </w:p>
        </w:tc>
        <w:tc>
          <w:tcPr>
            <w:tcW w:w="0" w:type="dxa"/>
            <w:vAlign w:val="bottom"/>
          </w:tcPr>
          <w:p>
            <w:pPr>
              <w:spacing w:after="0"/>
              <w:rPr>
                <w:sz w:val="1"/>
                <w:szCs w:val="1"/>
                <w:color w:val="auto"/>
              </w:rPr>
            </w:pPr>
          </w:p>
        </w:tc>
      </w:tr>
      <w:tr>
        <w:trPr>
          <w:trHeight w:val="229"/>
        </w:trPr>
        <w:tc>
          <w:tcPr>
            <w:tcW w:w="4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Total Number of Firm</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Maximum Option</w:t>
            </w:r>
          </w:p>
        </w:tc>
        <w:tc>
          <w:tcPr>
            <w:tcW w:w="0" w:type="dxa"/>
            <w:vAlign w:val="bottom"/>
          </w:tcPr>
          <w:p>
            <w:pPr>
              <w:spacing w:after="0"/>
              <w:rPr>
                <w:sz w:val="1"/>
                <w:szCs w:val="1"/>
                <w:color w:val="auto"/>
              </w:rPr>
            </w:pPr>
          </w:p>
        </w:tc>
      </w:tr>
      <w:tr>
        <w:trPr>
          <w:trHeight w:val="262"/>
        </w:trPr>
        <w:tc>
          <w:tcPr>
            <w:tcW w:w="4460" w:type="dxa"/>
            <w:vAlign w:val="bottom"/>
          </w:tcPr>
          <w:p>
            <w:pPr>
              <w:ind w:left="2860"/>
              <w:spacing w:after="0"/>
              <w:rPr>
                <w:sz w:val="20"/>
                <w:szCs w:val="20"/>
                <w:color w:val="auto"/>
              </w:rPr>
            </w:pPr>
            <w:r>
              <w:rPr>
                <w:rFonts w:ascii="Times New Roman" w:cs="Times New Roman" w:eastAsia="Times New Roman" w:hAnsi="Times New Roman"/>
                <w:sz w:val="20"/>
                <w:szCs w:val="20"/>
                <w:b w:val="1"/>
                <w:bCs w:val="1"/>
                <w:color w:val="auto"/>
              </w:rPr>
              <w:t>Underwriter</w:t>
            </w:r>
          </w:p>
        </w:tc>
        <w:tc>
          <w:tcPr>
            <w:tcW w:w="2300" w:type="dxa"/>
            <w:vAlign w:val="bottom"/>
          </w:tcPr>
          <w:p>
            <w:pPr>
              <w:spacing w:after="0"/>
              <w:rPr>
                <w:sz w:val="22"/>
                <w:szCs w:val="2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Shares to be Purchased</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Exercised</w:t>
            </w:r>
          </w:p>
        </w:tc>
        <w:tc>
          <w:tcPr>
            <w:tcW w:w="0" w:type="dxa"/>
            <w:vAlign w:val="bottom"/>
          </w:tcPr>
          <w:p>
            <w:pPr>
              <w:spacing w:after="0"/>
              <w:rPr>
                <w:sz w:val="1"/>
                <w:szCs w:val="1"/>
                <w:color w:val="auto"/>
              </w:rPr>
            </w:pP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Goldman Sachs &amp; Co. LLC</w:t>
            </w:r>
          </w:p>
        </w:tc>
        <w:tc>
          <w:tcPr>
            <w:tcW w:w="2300" w:type="dxa"/>
            <w:vAlign w:val="bottom"/>
          </w:tcPr>
          <w:p>
            <w:pPr>
              <w:spacing w:after="0"/>
              <w:rPr>
                <w:sz w:val="22"/>
                <w:szCs w:val="2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Jefferies LLC</w:t>
            </w:r>
          </w:p>
        </w:tc>
        <w:tc>
          <w:tcPr>
            <w:tcW w:w="2300" w:type="dxa"/>
            <w:vAlign w:val="bottom"/>
          </w:tcPr>
          <w:p>
            <w:pPr>
              <w:spacing w:after="0"/>
              <w:rPr>
                <w:sz w:val="23"/>
                <w:szCs w:val="2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Stifel, Nicolaus &amp; Company, Incorporated</w:t>
            </w:r>
          </w:p>
        </w:tc>
        <w:tc>
          <w:tcPr>
            <w:tcW w:w="2300" w:type="dxa"/>
            <w:vAlign w:val="bottom"/>
          </w:tcPr>
          <w:p>
            <w:pPr>
              <w:spacing w:after="0"/>
              <w:rPr>
                <w:sz w:val="23"/>
                <w:szCs w:val="2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JMP Securities LLC</w:t>
            </w:r>
          </w:p>
        </w:tc>
        <w:tc>
          <w:tcPr>
            <w:tcW w:w="2300" w:type="dxa"/>
            <w:vAlign w:val="bottom"/>
          </w:tcPr>
          <w:p>
            <w:pPr>
              <w:spacing w:after="0"/>
              <w:rPr>
                <w:sz w:val="23"/>
                <w:szCs w:val="2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1"/>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230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60" w:type="dxa"/>
            <w:vAlign w:val="bottom"/>
            <w:vMerge w:val="continue"/>
          </w:tcPr>
          <w:p>
            <w:pPr>
              <w:spacing w:after="0"/>
              <w:rPr>
                <w:sz w:val="22"/>
                <w:szCs w:val="22"/>
                <w:color w:val="auto"/>
              </w:rPr>
            </w:pPr>
          </w:p>
        </w:tc>
        <w:tc>
          <w:tcPr>
            <w:tcW w:w="2300" w:type="dxa"/>
            <w:vAlign w:val="bottom"/>
          </w:tcPr>
          <w:p>
            <w:pPr>
              <w:spacing w:after="0"/>
              <w:rPr>
                <w:sz w:val="22"/>
                <w:szCs w:val="2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9"/>
        </w:trPr>
        <w:tc>
          <w:tcPr>
            <w:tcW w:w="44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color w:val="auto"/>
        </w:rPr>
        <w:t>Exhibit 1.1</w:t>
      </w:r>
    </w:p>
    <w:p>
      <w:pPr>
        <w:spacing w:after="0" w:line="217" w:lineRule="exact"/>
        <w:rPr>
          <w:sz w:val="20"/>
          <w:szCs w:val="20"/>
          <w:color w:val="auto"/>
        </w:rPr>
      </w:pPr>
    </w:p>
    <w:p>
      <w:pPr>
        <w:ind w:left="4108"/>
        <w:spacing w:after="0"/>
        <w:rPr>
          <w:sz w:val="20"/>
          <w:szCs w:val="20"/>
          <w:color w:val="auto"/>
        </w:rPr>
      </w:pPr>
      <w:r>
        <w:rPr>
          <w:rFonts w:ascii="Times New Roman" w:cs="Times New Roman" w:eastAsia="Times New Roman" w:hAnsi="Times New Roman"/>
          <w:sz w:val="20"/>
          <w:szCs w:val="20"/>
          <w:b w:val="1"/>
          <w:bCs w:val="1"/>
          <w:color w:val="auto"/>
        </w:rPr>
        <w:t>SCHEDULE II</w:t>
      </w:r>
    </w:p>
    <w:p>
      <w:pPr>
        <w:spacing w:after="0" w:line="220" w:lineRule="exact"/>
        <w:rPr>
          <w:sz w:val="20"/>
          <w:szCs w:val="20"/>
          <w:color w:val="auto"/>
        </w:rPr>
      </w:pPr>
    </w:p>
    <w:p>
      <w:pPr>
        <w:ind w:left="8" w:right="3100" w:hanging="8"/>
        <w:spacing w:after="0" w:line="464" w:lineRule="auto"/>
        <w:tabs>
          <w:tab w:leader="none" w:pos="876"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Issuer Free Writing Prospectuses not included in the Pricing Disclosure Package: Electronic roadshow dated [●]</w:t>
      </w:r>
    </w:p>
    <w:p>
      <w:pPr>
        <w:spacing w:after="0" w:line="1" w:lineRule="exact"/>
        <w:rPr>
          <w:rFonts w:ascii="Times New Roman" w:cs="Times New Roman" w:eastAsia="Times New Roman" w:hAnsi="Times New Roman"/>
          <w:sz w:val="20"/>
          <w:szCs w:val="20"/>
          <w:color w:val="auto"/>
        </w:rPr>
      </w:pPr>
    </w:p>
    <w:p>
      <w:pPr>
        <w:ind w:left="888" w:hanging="888"/>
        <w:spacing w:after="0"/>
        <w:tabs>
          <w:tab w:leader="none" w:pos="888"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Documents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 w:right="2200" w:hanging="8"/>
        <w:spacing w:after="0" w:line="471" w:lineRule="auto"/>
        <w:tabs>
          <w:tab w:leader="none" w:pos="876"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other than the Pricing Prospectus that comprise the Pricing Disclosure Package: The initial public offering price per share for the Shares is $[●].</w:t>
      </w:r>
    </w:p>
    <w:p>
      <w:pPr>
        <w:spacing w:after="0" w:line="1" w:lineRule="exact"/>
        <w:rPr>
          <w:rFonts w:ascii="Times New Roman" w:cs="Times New Roman" w:eastAsia="Times New Roman" w:hAnsi="Times New Roman"/>
          <w:sz w:val="20"/>
          <w:szCs w:val="20"/>
          <w:color w:val="auto"/>
        </w:rPr>
      </w:pPr>
    </w:p>
    <w:p>
      <w:pPr>
        <w:ind w:left="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purchased by the Underwriters is [●].</w:t>
      </w:r>
    </w:p>
    <w:p>
      <w:pPr>
        <w:spacing w:after="0" w:line="229" w:lineRule="exact"/>
        <w:rPr>
          <w:rFonts w:ascii="Times New Roman" w:cs="Times New Roman" w:eastAsia="Times New Roman" w:hAnsi="Times New Roman"/>
          <w:sz w:val="20"/>
          <w:szCs w:val="20"/>
          <w:color w:val="auto"/>
        </w:rPr>
      </w:pPr>
    </w:p>
    <w:p>
      <w:pPr>
        <w:ind w:left="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the Underwriters have the option to purchase is [●].</w:t>
      </w:r>
    </w:p>
    <w:p>
      <w:pPr>
        <w:spacing w:after="0" w:line="215" w:lineRule="exact"/>
        <w:rPr>
          <w:rFonts w:ascii="Times New Roman" w:cs="Times New Roman" w:eastAsia="Times New Roman" w:hAnsi="Times New Roman"/>
          <w:sz w:val="20"/>
          <w:szCs w:val="20"/>
          <w:color w:val="auto"/>
        </w:rPr>
      </w:pPr>
    </w:p>
    <w:p>
      <w:pPr>
        <w:ind w:left="888" w:hanging="888"/>
        <w:spacing w:after="0"/>
        <w:tabs>
          <w:tab w:leader="none" w:pos="888"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Testing-the-Waters Communications:</w:t>
      </w:r>
    </w:p>
    <w:p>
      <w:pPr>
        <w:spacing w:after="0" w:line="2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1745615</wp:posOffset>
            </wp:positionV>
            <wp:extent cx="714946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121" w:right="339" w:bottom="1440" w:gutter="0" w:footer="0" w:header="0"/>
        </w:sectPr>
      </w:pPr>
    </w:p>
    <w:bookmarkStart w:id="286" w:name="page287"/>
    <w:bookmarkEnd w:id="286"/>
    <w:p>
      <w:pPr>
        <w:ind w:left="10420"/>
        <w:spacing w:after="0"/>
        <w:rPr>
          <w:sz w:val="20"/>
          <w:szCs w:val="20"/>
          <w:color w:val="auto"/>
        </w:rPr>
      </w:pPr>
      <w:r>
        <w:rPr>
          <w:rFonts w:ascii="Times New Roman" w:cs="Times New Roman" w:eastAsia="Times New Roman" w:hAnsi="Times New Roman"/>
          <w:sz w:val="19"/>
          <w:szCs w:val="19"/>
          <w:b w:val="1"/>
          <w:bCs w:val="1"/>
          <w:color w:val="auto"/>
        </w:rPr>
        <w:t>ANNEX I</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Lock-Up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Athira Pharma, Inc.</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Lock-Up Agreement</w:t>
      </w:r>
    </w:p>
    <w:p>
      <w:pPr>
        <w:spacing w:after="0" w:line="370" w:lineRule="exact"/>
        <w:rPr>
          <w:sz w:val="20"/>
          <w:szCs w:val="20"/>
          <w:color w:val="auto"/>
        </w:rPr>
      </w:pPr>
    </w:p>
    <w:p>
      <w:pPr>
        <w:ind w:left="8840"/>
        <w:spacing w:after="0"/>
        <w:rPr>
          <w:sz w:val="20"/>
          <w:szCs w:val="20"/>
          <w:color w:val="auto"/>
        </w:rPr>
      </w:pPr>
      <w:r>
        <w:rPr>
          <w:rFonts w:ascii="Arial" w:cs="Arial" w:eastAsia="Arial" w:hAnsi="Arial"/>
          <w:sz w:val="21"/>
          <w:szCs w:val="21"/>
          <w:u w:val="single" w:color="auto"/>
          <w:color w:val="auto"/>
        </w:rPr>
        <w:t>_______________</w:t>
      </w:r>
      <w:r>
        <w:rPr>
          <w:rFonts w:ascii="Arial" w:cs="Arial" w:eastAsia="Arial" w:hAnsi="Arial"/>
          <w:sz w:val="21"/>
          <w:szCs w:val="21"/>
          <w:color w:val="auto"/>
        </w:rPr>
        <w:t>, 2021</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 LLC, and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ind w:left="220"/>
        <w:spacing w:after="0" w:line="230" w:lineRule="auto"/>
        <w:rPr>
          <w:sz w:val="20"/>
          <w:szCs w:val="20"/>
          <w:color w:val="auto"/>
        </w:rPr>
      </w:pPr>
      <w:r>
        <w:rPr>
          <w:rFonts w:ascii="Arial" w:cs="Arial" w:eastAsia="Arial" w:hAnsi="Arial"/>
          <w:sz w:val="22"/>
          <w:szCs w:val="22"/>
          <w:color w:val="auto"/>
        </w:rPr>
        <w:t>As representatives of the several Underwriters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named in Schedule I hereto,</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c/o Goldman Sachs &amp; Co.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200 West Street</w:t>
      </w:r>
    </w:p>
    <w:p>
      <w:pPr>
        <w:spacing w:after="0"/>
        <w:rPr>
          <w:sz w:val="20"/>
          <w:szCs w:val="20"/>
          <w:color w:val="auto"/>
        </w:rPr>
      </w:pPr>
      <w:r>
        <w:rPr>
          <w:rFonts w:ascii="Arial" w:cs="Arial" w:eastAsia="Arial" w:hAnsi="Arial"/>
          <w:sz w:val="22"/>
          <w:szCs w:val="22"/>
          <w:color w:val="auto"/>
        </w:rPr>
        <w:t>New York, New York 10282-2198</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c/o Jefferies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520 Madison Avenue</w:t>
      </w:r>
    </w:p>
    <w:p>
      <w:pPr>
        <w:spacing w:after="0"/>
        <w:rPr>
          <w:sz w:val="20"/>
          <w:szCs w:val="20"/>
          <w:color w:val="auto"/>
        </w:rPr>
      </w:pPr>
      <w:r>
        <w:rPr>
          <w:rFonts w:ascii="Arial" w:cs="Arial" w:eastAsia="Arial" w:hAnsi="Arial"/>
          <w:sz w:val="22"/>
          <w:szCs w:val="22"/>
          <w:color w:val="auto"/>
        </w:rPr>
        <w:t>New York, New York 10022</w:t>
      </w:r>
    </w:p>
    <w:p>
      <w:pPr>
        <w:spacing w:after="0" w:line="394"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Athira Pharma, Inc. - Lock-Up Agreement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66" w:lineRule="exact"/>
        <w:rPr>
          <w:sz w:val="20"/>
          <w:szCs w:val="20"/>
          <w:color w:val="auto"/>
        </w:rPr>
      </w:pPr>
    </w:p>
    <w:p>
      <w:pPr>
        <w:jc w:val="both"/>
        <w:ind w:hanging="107"/>
        <w:spacing w:after="0" w:line="238" w:lineRule="auto"/>
        <w:rPr>
          <w:sz w:val="20"/>
          <w:szCs w:val="20"/>
          <w:color w:val="auto"/>
        </w:rPr>
      </w:pPr>
      <w:r>
        <w:rPr>
          <w:rFonts w:ascii="Arial" w:cs="Arial" w:eastAsia="Arial" w:hAnsi="Arial"/>
          <w:sz w:val="22"/>
          <w:szCs w:val="22"/>
          <w:color w:val="auto"/>
        </w:rPr>
        <w:t>dersigned understands that you, as representatives (the “Representatives”), propose to enter into an underwriting agreement (the “Underwriting Agreement”) on behalf of the several Underwriters named in Schedule I to such agreement (collectively, the “Underwriters”), with Athira Pharma, Inc., a Delaware corporation (the “Company”), providing for a public offering (the “Public Offering”) of shares (the “Offered Shares”) of common stock of the Company, par value $0.0001 per share (the “Common Stock”), pursuant to a Registration Statement on Form S-1 to be filed with the Securities and Exchange Commission.</w:t>
      </w:r>
    </w:p>
    <w:p>
      <w:pPr>
        <w:spacing w:after="0" w:line="12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In consideration of the agreement by the Underwriters to offer and sell the Offered Shares, and of other good and valuable consideration the receipt and sufficiency of which is hereby acknowledged, the undersigned agrees that, during the period beginning from the date of this agreement (this “Lock-Up Agreement”) and continuing to and including the date 90 days after the date set forth on the final prospectus used to sell the Offered Shares (the “Lock-Up Period”), the undersigned shall not, and shall not cause or direct any of its affiliates to, (i) offer, sell, contract to sell, pledge, grant any option to purchase, lend or otherwise dispose of any shares of Common Stock of the Company, or any options or warrants to purchase any shares of Common Stock of the Company, or any securities convertible into, exchangeable for or that represent the right to receive shares of Common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4946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87" w:name="page288"/>
    <w:bookmarkEnd w:id="287"/>
    <w:p>
      <w:pPr>
        <w:jc w:val="both"/>
        <w:spacing w:after="0" w:line="233" w:lineRule="auto"/>
        <w:rPr>
          <w:sz w:val="20"/>
          <w:szCs w:val="20"/>
          <w:color w:val="auto"/>
        </w:rPr>
      </w:pPr>
      <w:r>
        <w:rPr>
          <w:rFonts w:ascii="Arial" w:cs="Arial" w:eastAsia="Arial" w:hAnsi="Arial"/>
          <w:sz w:val="22"/>
          <w:szCs w:val="22"/>
          <w:color w:val="auto"/>
        </w:rPr>
        <w:t>Stock of the Company (such options, warrants or other securities, collectively, “Derivative Instruments”), including without limitation any such shares or Derivative Instruments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shares of Common Stock of the Company or Derivative Instruments,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shares of Common Stock or Derivative Instruments or (iv) otherwise publicly announce any intention to engage in any of the foregoing.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w:t>
      </w:r>
    </w:p>
    <w:p>
      <w:pPr>
        <w:spacing w:after="0" w:line="16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color w:val="auto"/>
        </w:rPr>
        <w:t>If the undersigned is not a natural person, the undersigned represents and warrants that no single natural person, entity or “group” (within the meaning of Section 13(d)(3) of the Securities Exchange Act of 1934, as amended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Notwithstanding the foregoing, the undersigned may (a) transfer any of the undersigned’s shares of</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Common Stock:</w:t>
      </w:r>
    </w:p>
    <w:p>
      <w:pPr>
        <w:spacing w:after="0" w:line="205" w:lineRule="exact"/>
        <w:rPr>
          <w:sz w:val="20"/>
          <w:szCs w:val="20"/>
          <w:color w:val="auto"/>
        </w:rPr>
      </w:pPr>
    </w:p>
    <w:p>
      <w:pPr>
        <w:ind w:left="1700" w:hanging="734"/>
        <w:spacing w:after="0"/>
        <w:tabs>
          <w:tab w:leader="none" w:pos="170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acquired in open market transactions after the completion of the Public Offering;</w:t>
      </w:r>
    </w:p>
    <w:p>
      <w:pPr>
        <w:spacing w:after="0" w:line="233" w:lineRule="exact"/>
        <w:rPr>
          <w:rFonts w:ascii="Arial" w:cs="Arial" w:eastAsia="Arial" w:hAnsi="Arial"/>
          <w:sz w:val="22"/>
          <w:szCs w:val="22"/>
          <w:color w:val="auto"/>
        </w:rPr>
      </w:pPr>
    </w:p>
    <w:p>
      <w:pPr>
        <w:ind w:left="1700" w:hanging="734"/>
        <w:spacing w:after="0"/>
        <w:tabs>
          <w:tab w:leader="none" w:pos="170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as a bona fide gift or charitable contribution;</w:t>
      </w:r>
    </w:p>
    <w:p>
      <w:pPr>
        <w:spacing w:after="0" w:line="233" w:lineRule="exact"/>
        <w:rPr>
          <w:rFonts w:ascii="Arial" w:cs="Arial" w:eastAsia="Arial" w:hAnsi="Arial"/>
          <w:sz w:val="22"/>
          <w:szCs w:val="22"/>
          <w:color w:val="auto"/>
        </w:rPr>
      </w:pPr>
    </w:p>
    <w:p>
      <w:pPr>
        <w:ind w:left="1700" w:right="20" w:hanging="734"/>
        <w:spacing w:after="0" w:line="267" w:lineRule="auto"/>
        <w:tabs>
          <w:tab w:leader="none" w:pos="170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to an immediate family member or a trust for the direct or indirect benefit of the undersigned or such immediate family member of the undersigned;</w:t>
      </w:r>
    </w:p>
    <w:p>
      <w:pPr>
        <w:spacing w:after="0" w:line="166" w:lineRule="exact"/>
        <w:rPr>
          <w:rFonts w:ascii="Arial" w:cs="Arial" w:eastAsia="Arial" w:hAnsi="Arial"/>
          <w:sz w:val="22"/>
          <w:szCs w:val="22"/>
          <w:color w:val="auto"/>
        </w:rPr>
      </w:pPr>
    </w:p>
    <w:p>
      <w:pPr>
        <w:ind w:left="1700" w:right="120" w:hanging="734"/>
        <w:spacing w:after="0" w:line="266" w:lineRule="auto"/>
        <w:tabs>
          <w:tab w:leader="none" w:pos="170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 xml:space="preserve">by will or intestacy;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public filing, report or announcement shall be voluntarily made and, if required, any public report or filing under Section 16 of the Exchange Act, shall clearly indicate in the footnotes thereto that the filing relates to the transfer of shares by will or intestacy;</w:t>
      </w:r>
    </w:p>
    <w:p>
      <w:pPr>
        <w:spacing w:after="0" w:line="169" w:lineRule="exact"/>
        <w:rPr>
          <w:sz w:val="20"/>
          <w:szCs w:val="20"/>
          <w:color w:val="auto"/>
        </w:rPr>
      </w:pPr>
    </w:p>
    <w:p>
      <w:pPr>
        <w:jc w:val="both"/>
        <w:ind w:left="1700" w:hanging="842"/>
        <w:spacing w:after="0" w:line="248" w:lineRule="auto"/>
        <w:tabs>
          <w:tab w:leader="none" w:pos="170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 xml:space="preserve">pursuant to a domestic relations order, divorce decree or court order;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public filing, report or announcement shall be voluntarily made and, if required, any public report or filing under Section 16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4946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88" w:name="page289"/>
    <w:bookmarkEnd w:id="288"/>
    <w:p>
      <w:pPr>
        <w:ind w:left="842" w:right="20"/>
        <w:spacing w:after="0" w:line="267" w:lineRule="auto"/>
        <w:rPr>
          <w:sz w:val="20"/>
          <w:szCs w:val="20"/>
          <w:color w:val="auto"/>
        </w:rPr>
      </w:pPr>
      <w:r>
        <w:rPr>
          <w:rFonts w:ascii="Arial" w:cs="Arial" w:eastAsia="Arial" w:hAnsi="Arial"/>
          <w:sz w:val="22"/>
          <w:szCs w:val="22"/>
          <w:color w:val="auto"/>
        </w:rPr>
        <w:t>Exchange Act shall clearly indicate in the footnotes thereto that the filing relates to the transfer of shares pursuant to a domestic relations order, divorce decree or court order;</w:t>
      </w:r>
    </w:p>
    <w:p>
      <w:pPr>
        <w:spacing w:after="0" w:line="166" w:lineRule="exact"/>
        <w:rPr>
          <w:sz w:val="20"/>
          <w:szCs w:val="20"/>
          <w:color w:val="auto"/>
        </w:rPr>
      </w:pPr>
    </w:p>
    <w:p>
      <w:pPr>
        <w:jc w:val="both"/>
        <w:ind w:left="842" w:hanging="842"/>
        <w:spacing w:after="0" w:line="236" w:lineRule="auto"/>
        <w:tabs>
          <w:tab w:leader="none" w:pos="842" w:val="left"/>
        </w:tabs>
        <w:numPr>
          <w:ilvl w:val="0"/>
          <w:numId w:val="220"/>
        </w:numPr>
        <w:rPr>
          <w:rFonts w:ascii="Arial" w:cs="Arial" w:eastAsia="Arial" w:hAnsi="Arial"/>
          <w:sz w:val="22"/>
          <w:szCs w:val="22"/>
          <w:color w:val="auto"/>
        </w:rPr>
      </w:pPr>
      <w:r>
        <w:rPr>
          <w:rFonts w:ascii="Arial" w:cs="Arial" w:eastAsia="Arial" w:hAnsi="Arial"/>
          <w:sz w:val="22"/>
          <w:szCs w:val="22"/>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or shareholders of the undersigned;</w:t>
      </w:r>
    </w:p>
    <w:p>
      <w:pPr>
        <w:spacing w:after="0" w:line="197" w:lineRule="exact"/>
        <w:rPr>
          <w:rFonts w:ascii="Arial" w:cs="Arial" w:eastAsia="Arial" w:hAnsi="Arial"/>
          <w:sz w:val="22"/>
          <w:szCs w:val="22"/>
          <w:color w:val="auto"/>
        </w:rPr>
      </w:pPr>
    </w:p>
    <w:p>
      <w:pPr>
        <w:ind w:left="842" w:hanging="842"/>
        <w:spacing w:after="0" w:line="267" w:lineRule="auto"/>
        <w:tabs>
          <w:tab w:leader="none" w:pos="842" w:val="left"/>
        </w:tabs>
        <w:numPr>
          <w:ilvl w:val="0"/>
          <w:numId w:val="220"/>
        </w:numPr>
        <w:rPr>
          <w:rFonts w:ascii="Arial" w:cs="Arial" w:eastAsia="Arial" w:hAnsi="Arial"/>
          <w:sz w:val="22"/>
          <w:szCs w:val="22"/>
          <w:color w:val="auto"/>
        </w:rPr>
      </w:pPr>
      <w:r>
        <w:rPr>
          <w:rFonts w:ascii="Arial" w:cs="Arial" w:eastAsia="Arial" w:hAnsi="Arial"/>
          <w:sz w:val="22"/>
          <w:szCs w:val="22"/>
          <w:color w:val="auto"/>
        </w:rPr>
        <w:t>if the undersigned is a trust, to a trustor or beneficiary of the trust or to the estate of a beneficiary of such trust;</w:t>
      </w:r>
    </w:p>
    <w:p>
      <w:pPr>
        <w:spacing w:after="0" w:line="166" w:lineRule="exact"/>
        <w:rPr>
          <w:rFonts w:ascii="Arial" w:cs="Arial" w:eastAsia="Arial" w:hAnsi="Arial"/>
          <w:sz w:val="22"/>
          <w:szCs w:val="22"/>
          <w:color w:val="auto"/>
        </w:rPr>
      </w:pPr>
    </w:p>
    <w:p>
      <w:pPr>
        <w:jc w:val="both"/>
        <w:ind w:left="842" w:hanging="842"/>
        <w:spacing w:after="0" w:line="249" w:lineRule="auto"/>
        <w:tabs>
          <w:tab w:leader="none" w:pos="842" w:val="left"/>
        </w:tabs>
        <w:numPr>
          <w:ilvl w:val="0"/>
          <w:numId w:val="220"/>
        </w:numPr>
        <w:rPr>
          <w:rFonts w:ascii="Arial" w:cs="Arial" w:eastAsia="Arial" w:hAnsi="Arial"/>
          <w:sz w:val="21"/>
          <w:szCs w:val="21"/>
          <w:color w:val="auto"/>
        </w:rPr>
      </w:pPr>
      <w:r>
        <w:rPr>
          <w:rFonts w:ascii="Arial" w:cs="Arial" w:eastAsia="Arial" w:hAnsi="Arial"/>
          <w:sz w:val="21"/>
          <w:szCs w:val="21"/>
          <w:color w:val="auto"/>
        </w:rPr>
        <w:t xml:space="preserve">to the Company in connection with the repurchase of the undersigned’s shares in connection with the termination of the undersigned’s employment with the Company pursuant to contractual agreements with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public filing, report or announcement shall be voluntarily made and, if required, any public report or filing under Section 16 of the Exchange Act shall clearly indicate in the footnotes thereto that the filing relates to the transfer of shares from the repurchase of the undersigned’s shares in connection with the termination of the undersigned’s employment with the Company pursuant to contractual agreements with the Company;</w:t>
      </w:r>
    </w:p>
    <w:p>
      <w:pPr>
        <w:spacing w:after="0" w:line="190" w:lineRule="exact"/>
        <w:rPr>
          <w:rFonts w:ascii="Arial" w:cs="Arial" w:eastAsia="Arial" w:hAnsi="Arial"/>
          <w:sz w:val="21"/>
          <w:szCs w:val="21"/>
          <w:color w:val="auto"/>
        </w:rPr>
      </w:pPr>
    </w:p>
    <w:p>
      <w:pPr>
        <w:jc w:val="both"/>
        <w:ind w:left="842" w:hanging="842"/>
        <w:spacing w:after="0" w:line="245" w:lineRule="auto"/>
        <w:tabs>
          <w:tab w:leader="none" w:pos="842" w:val="left"/>
        </w:tabs>
        <w:numPr>
          <w:ilvl w:val="0"/>
          <w:numId w:val="220"/>
        </w:numPr>
        <w:rPr>
          <w:rFonts w:ascii="Arial" w:cs="Arial" w:eastAsia="Arial" w:hAnsi="Arial"/>
          <w:sz w:val="21"/>
          <w:szCs w:val="21"/>
          <w:color w:val="auto"/>
        </w:rPr>
      </w:pPr>
      <w:r>
        <w:rPr>
          <w:rFonts w:ascii="Arial" w:cs="Arial" w:eastAsia="Arial" w:hAnsi="Arial"/>
          <w:sz w:val="21"/>
          <w:szCs w:val="21"/>
          <w:color w:val="auto"/>
        </w:rPr>
        <w:t xml:space="preserve">through the disposition or forfeiture of the undersigned’s shares to the Company to satisfy any income, employment or tax withholding and remittance obligations of the undersigned or the employer of the undersigned in connection with the vesting of restricted stock, restricted stock units or other incentive awards settled in shares of Common Stock held by the undersigned;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restricted stock, restricted stock units or other incentive awards were granted under a stock incentive plan, stock purchase plan or pursuant to a contractual employment arrangement described in the prospectus related to the Public Offering and were outstanding as of the date of the prospectus;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no filing under the Exchange Act or other public filing, report or announcement reporting a change in beneficial ownership of shares of Common Stock shall be required or shall be voluntarily made during the Lock-Up Period within 60 days after the date the undersigned ceases to provide services to the Company, and after such 60th day, if the undersigned is required to file a report under Section 16(a) of the Exchange Act reporting a change in beneficial ownership of shares of Common Stock during the Lock-Up Period,</w:t>
      </w:r>
    </w:p>
    <w:p>
      <w:pPr>
        <w:spacing w:after="0" w:line="175" w:lineRule="exact"/>
        <w:rPr>
          <w:sz w:val="20"/>
          <w:szCs w:val="20"/>
          <w:color w:val="auto"/>
        </w:rPr>
      </w:pPr>
    </w:p>
    <w:p>
      <w:pPr>
        <w:ind w:left="4702"/>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164465</wp:posOffset>
            </wp:positionV>
            <wp:extent cx="714946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21" w:right="339" w:bottom="1440" w:gutter="0" w:footer="0" w:header="0"/>
        </w:sectPr>
      </w:pPr>
    </w:p>
    <w:bookmarkStart w:id="289" w:name="page290"/>
    <w:bookmarkEnd w:id="289"/>
    <w:p>
      <w:pPr>
        <w:jc w:val="both"/>
        <w:ind w:left="1700"/>
        <w:spacing w:after="0" w:line="237" w:lineRule="auto"/>
        <w:rPr>
          <w:sz w:val="20"/>
          <w:szCs w:val="20"/>
          <w:color w:val="auto"/>
        </w:rPr>
      </w:pPr>
      <w:r>
        <w:rPr>
          <w:rFonts w:ascii="Arial" w:cs="Arial" w:eastAsia="Arial" w:hAnsi="Arial"/>
          <w:sz w:val="22"/>
          <w:szCs w:val="22"/>
          <w:color w:val="auto"/>
        </w:rPr>
        <w:t xml:space="preserve">the undersigned shall clearly indicate in the footnotes thereto that the filing relates to the transfer of shares through the disposition or forfeiture of the undersigned’s shares to the Company to satisfy any income, employment or tax withholding and remittance obligations of the undersigned or the employer of the undersigned in connection with the vesting of restricted stock, restricted stock units or other incentive awards settled in shares held by the undersigned;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any underlying Common Stock or Derivative Instruments shall continue to be subject to the restrictions on transfer set forth in this Lock-Up Agreement;</w:t>
      </w:r>
    </w:p>
    <w:p>
      <w:pPr>
        <w:spacing w:after="0" w:line="195" w:lineRule="exact"/>
        <w:rPr>
          <w:sz w:val="20"/>
          <w:szCs w:val="20"/>
          <w:color w:val="auto"/>
        </w:rPr>
      </w:pPr>
    </w:p>
    <w:p>
      <w:pPr>
        <w:jc w:val="both"/>
        <w:ind w:left="1700" w:hanging="842"/>
        <w:spacing w:after="0" w:line="234" w:lineRule="auto"/>
        <w:tabs>
          <w:tab w:leader="none" w:pos="170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 xml:space="preserve">to the Company through the exercise of a stock option granted under a stock incentive plan or stock purchase plan or a warrant described in the prospectus relating to the Public Offering by the undersigned, and the receipt by the undersigned from the Company of shares of Common Stock upon any such exercise, insofar as such option or warrant is outstanding as of the date of the final prospectus relating to the Public Offering and the exercise period for such option or warrant expires during the Lock-Up Period;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underlying shares shall continue to be subject to the restrictions on transfer set forth in this Lock-Up Agreement;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no public filing, report or announcement shall be voluntarily made and, if required, any public report or filing under Section 16 of the Exchange Act shall clearly indicate in the footnotes thereto that the filing relates to the exercise of a stock option or warrant, that no shares were sold by the reporting person and that the shares received upon exercise of the stock option or warrant are subject to a lock-up agreement with the Underwriters;</w:t>
      </w:r>
    </w:p>
    <w:p>
      <w:pPr>
        <w:spacing w:after="0" w:line="199" w:lineRule="exact"/>
        <w:rPr>
          <w:rFonts w:ascii="Arial" w:cs="Arial" w:eastAsia="Arial" w:hAnsi="Arial"/>
          <w:sz w:val="22"/>
          <w:szCs w:val="22"/>
          <w:color w:val="auto"/>
        </w:rPr>
      </w:pPr>
    </w:p>
    <w:p>
      <w:pPr>
        <w:jc w:val="both"/>
        <w:ind w:left="1700" w:hanging="842"/>
        <w:spacing w:after="0" w:line="239" w:lineRule="auto"/>
        <w:tabs>
          <w:tab w:leader="none" w:pos="170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 xml:space="preserve">pursuant to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third party tender offer for all outstanding Common Stock of the Company, merger, consolidation or other similar transaction involving a Change of Control of the Company and approved by the Company’s board of directors;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such Change of Control transaction is not completed, this clause (a)(xi) shall not be applicable and the undersigned’s shares shall remain subject to the restrictions contained in this Lock-Up Agreement; or</w:t>
      </w:r>
    </w:p>
    <w:p>
      <w:pPr>
        <w:spacing w:after="0" w:line="198" w:lineRule="exact"/>
        <w:rPr>
          <w:rFonts w:ascii="Arial" w:cs="Arial" w:eastAsia="Arial" w:hAnsi="Arial"/>
          <w:sz w:val="22"/>
          <w:szCs w:val="22"/>
          <w:color w:val="auto"/>
        </w:rPr>
      </w:pPr>
    </w:p>
    <w:p>
      <w:pPr>
        <w:ind w:left="1700" w:hanging="842"/>
        <w:spacing w:after="0"/>
        <w:tabs>
          <w:tab w:leader="none" w:pos="170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with the prior written consent of each of Representatives on behalf of the Underwriters;</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 xml:space="preserve">or (b) establish a trading plan pursuant to Rule 10b5-1 under the Exchange Act for the transfer of the undersigned’s shares of Common Stock;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 such plan does not provide for the transfer of shares during the Lock-Up Period and (ii) no public filing, report or announcement shall be voluntarily made and, if required, such public announcement, report or filing shall include a statement to the effect that no transfer of the undersigned’s shares of Common Stock or Derivative Instruments may be made under such plan during the Lock-Up Period.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4946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90" w:name="page291"/>
    <w:bookmarkEnd w:id="290"/>
    <w:p>
      <w:pPr>
        <w:jc w:val="both"/>
        <w:ind w:firstLine="864"/>
        <w:spacing w:after="0" w:line="235" w:lineRule="auto"/>
        <w:rPr>
          <w:sz w:val="20"/>
          <w:szCs w:val="20"/>
          <w:color w:val="auto"/>
        </w:rPr>
      </w:pPr>
      <w:r>
        <w:rPr>
          <w:rFonts w:ascii="Arial" w:cs="Arial" w:eastAsia="Arial" w:hAnsi="Arial"/>
          <w:sz w:val="22"/>
          <w:szCs w:val="22"/>
          <w:color w:val="auto"/>
        </w:rPr>
        <w:t xml:space="preserve">In addition, provided in the case of clauses (a)(ii), (iii), (iv), (v), (vi) and (vii) above, it shall be a condition to such transfer that each transferee, donee or distributee sign and deliver a lock-up agreement substantially in the form of this Lock-Up Agreement, except in the case of clauses (a)(iv) and (v) where a court of competent jurisdiction requires such transfer or distribution be made without such a restriction;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in the case of clauses (a)(i), (ii), (iii), (vi) and (vii) above, no filing under Section 16(a) of the Exchange Act (other than a required Form 5 filing that includes a statement indicating the reason for such transfer and is filed no earlier than 40 days following the Company’s first fiscal year-end following the date of the final prospectus related to the Public Offering) or other public announcement, reporting a reduction in beneficial ownership of the undersigned’s shares of Common Stock, shall be required or shall be voluntarily made during the Lock-Up Period;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in the case of clauses (a)(ii), (a)(iii), (a)(iv), (a)(vi) and (a)(vii), any such transfer shall not involve a disposition for value.</w:t>
      </w:r>
    </w:p>
    <w:p>
      <w:pPr>
        <w:spacing w:after="0" w:line="196" w:lineRule="exact"/>
        <w:rPr>
          <w:sz w:val="20"/>
          <w:szCs w:val="20"/>
          <w:color w:val="auto"/>
        </w:rPr>
      </w:pPr>
    </w:p>
    <w:p>
      <w:pPr>
        <w:jc w:val="both"/>
        <w:ind w:hanging="107"/>
        <w:spacing w:after="0" w:line="235" w:lineRule="auto"/>
        <w:rPr>
          <w:sz w:val="20"/>
          <w:szCs w:val="20"/>
          <w:color w:val="auto"/>
        </w:rPr>
      </w:pPr>
      <w:r>
        <w:rPr>
          <w:rFonts w:ascii="Arial" w:cs="Arial" w:eastAsia="Arial" w:hAnsi="Arial"/>
          <w:sz w:val="22"/>
          <w:szCs w:val="22"/>
          <w:color w:val="auto"/>
        </w:rPr>
        <w:t>poses of this Lock-Up Agreement, “immediate family” shall mean any relationship by blood, marriage or adoption, not more remote than first cousin and “Change of Control</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voting power represented by the outstanding securities of the Company (or the surviving entity). For the avoidance of doubt, the Public Offering is not a Change of Control. The undersigned also agrees and consents to the entry of stop transfer instructions with the Company’s transfer agent and registrar against the transfer of the undersigned’s shares of Common Stock of the Company except in compliance with the foregoing restrictions.</w:t>
      </w:r>
    </w:p>
    <w:p>
      <w:pPr>
        <w:spacing w:after="0" w:line="133" w:lineRule="exact"/>
        <w:rPr>
          <w:sz w:val="20"/>
          <w:szCs w:val="20"/>
          <w:color w:val="auto"/>
        </w:rPr>
      </w:pPr>
    </w:p>
    <w:p>
      <w:pPr>
        <w:jc w:val="both"/>
        <w:ind w:hanging="107"/>
        <w:spacing w:after="0" w:line="266" w:lineRule="auto"/>
        <w:rPr>
          <w:sz w:val="20"/>
          <w:szCs w:val="20"/>
          <w:color w:val="auto"/>
        </w:rPr>
      </w:pPr>
      <w:r>
        <w:rPr>
          <w:rFonts w:ascii="Arial" w:cs="Arial" w:eastAsia="Arial" w:hAnsi="Arial"/>
          <w:sz w:val="21"/>
          <w:szCs w:val="21"/>
          <w:color w:val="auto"/>
        </w:rPr>
        <w:t>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15"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undersigned acknowledges and agrees that the Underwriters have not provided any recommendation or investment advice nor have the Underwriters solicited any action from the undersigned with respect to the Public Offering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30"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2"/>
          <w:szCs w:val="22"/>
          <w:color w:val="auto"/>
        </w:rPr>
        <w:t>Notwithstanding anything to the contrary contained herein, this Lock-Up Agreement will automatically terminate and the undersigned will be released from all of his, her or its obligations hereunder upon the earliest to occur, if any, of (i) prior to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4946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91" w:name="page292"/>
    <w:bookmarkEnd w:id="291"/>
    <w:p>
      <w:pPr>
        <w:jc w:val="both"/>
        <w:spacing w:after="0" w:line="239" w:lineRule="auto"/>
        <w:rPr>
          <w:sz w:val="20"/>
          <w:szCs w:val="20"/>
          <w:color w:val="auto"/>
        </w:rPr>
      </w:pPr>
      <w:r>
        <w:rPr>
          <w:rFonts w:ascii="Arial" w:cs="Arial" w:eastAsia="Arial" w:hAnsi="Arial"/>
          <w:sz w:val="22"/>
          <w:szCs w:val="22"/>
          <w:color w:val="auto"/>
        </w:rPr>
        <w:t>execution of the Underwriting Agreement, the Company advises the Representatives in writing that it has determined not to proceed with the Public Offering, (ii) the Company files an application to withdraw the registration statement related to the Public Offering, (iii) the Underwriting Agreement is executed but is terminated (other than the provisions thereof which survive termination) prior to payment for and delivery of the Offered Shares to be sold thereunder, and (iv) February 28, 2021, if the Underwriting Agreement has not been executed by such date.</w:t>
      </w:r>
    </w:p>
    <w:p>
      <w:pPr>
        <w:spacing w:after="0" w:line="131" w:lineRule="exact"/>
        <w:rPr>
          <w:sz w:val="20"/>
          <w:szCs w:val="20"/>
          <w:color w:val="auto"/>
        </w:rPr>
      </w:pPr>
    </w:p>
    <w:p>
      <w:pPr>
        <w:jc w:val="both"/>
        <w:ind w:firstLine="971"/>
        <w:spacing w:after="0" w:line="236" w:lineRule="auto"/>
        <w:rPr>
          <w:sz w:val="20"/>
          <w:szCs w:val="20"/>
          <w:color w:val="auto"/>
        </w:rPr>
      </w:pPr>
      <w:r>
        <w:rPr>
          <w:rFonts w:ascii="Arial" w:cs="Arial" w:eastAsia="Arial" w:hAnsi="Arial"/>
          <w:sz w:val="22"/>
          <w:szCs w:val="22"/>
          <w:color w:val="auto"/>
        </w:rPr>
        <w:t xml:space="preserve">The undersigned and the Representatives hereby consent to receipt of this Lock-Up Agreement in electronic form and understand and agree that this Lock-Up Agreement may be signed electronically. In the event that any signature is delivered by facsimile transmission, electronic mail, or otherwise by electronic transmission evidencing an intent to sign this Lock-Up Agreement (including any electronic signature complying with the U.S. federal ESIGN Act of 2000, </w:t>
      </w:r>
      <w:r>
        <w:rPr>
          <w:rFonts w:ascii="Arial" w:cs="Arial" w:eastAsia="Arial" w:hAnsi="Arial"/>
          <w:sz w:val="22"/>
          <w:szCs w:val="22"/>
          <w:i w:val="1"/>
          <w:iCs w:val="1"/>
          <w:color w:val="auto"/>
        </w:rPr>
        <w:t>e.g.,</w:t>
      </w:r>
      <w:r>
        <w:rPr>
          <w:rFonts w:ascii="Arial" w:cs="Arial" w:eastAsia="Arial" w:hAnsi="Arial"/>
          <w:sz w:val="22"/>
          <w:szCs w:val="22"/>
          <w:color w:val="auto"/>
        </w:rPr>
        <w:t xml:space="preserve"> www.docusign.com), such facsimile transmission, electronic mail or other electronic transmission shall create a valid and binding obligation of the undersigned with the same force and effect as if such signature were an original. Execution and delivery of this Lock-Up Agreement by facsimile transmission, electronic mail or other electronic transmission is legal, valid and binding for all purposes.</w:t>
      </w:r>
    </w:p>
    <w:p>
      <w:pPr>
        <w:spacing w:after="0" w:line="197" w:lineRule="exact"/>
        <w:rPr>
          <w:sz w:val="20"/>
          <w:szCs w:val="20"/>
          <w:color w:val="auto"/>
        </w:rPr>
      </w:pPr>
    </w:p>
    <w:p>
      <w:pPr>
        <w:ind w:hanging="107"/>
        <w:spacing w:after="0" w:line="267" w:lineRule="auto"/>
        <w:rPr>
          <w:sz w:val="20"/>
          <w:szCs w:val="20"/>
          <w:color w:val="auto"/>
        </w:rPr>
      </w:pPr>
      <w:r>
        <w:rPr>
          <w:rFonts w:ascii="Arial" w:cs="Arial" w:eastAsia="Arial" w:hAnsi="Arial"/>
          <w:sz w:val="22"/>
          <w:szCs w:val="22"/>
          <w:color w:val="auto"/>
        </w:rPr>
        <w:t>ck-Up Agreement and any claim, controversy or dispute arising under or related to this Lock-Up Agreement shall be governed by and construed in accordance with the laws of the State of New York.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4946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92" w:name="page293"/>
    <w:bookmarkEnd w:id="292"/>
    <w:p>
      <w:pPr>
        <w:spacing w:after="0"/>
        <w:rPr>
          <w:sz w:val="20"/>
          <w:szCs w:val="20"/>
          <w:color w:val="auto"/>
        </w:rPr>
      </w:pPr>
      <w:r>
        <w:rPr>
          <w:rFonts w:ascii="Arial" w:cs="Arial" w:eastAsia="Arial" w:hAnsi="Arial"/>
          <w:sz w:val="20"/>
          <w:szCs w:val="20"/>
          <w:color w:val="auto"/>
        </w:rPr>
        <w:t>Very truly yours,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IF AN INDIVIDUAL:</w:t>
      </w:r>
    </w:p>
    <w:p>
      <w:pPr>
        <w:spacing w:after="0" w:line="200" w:lineRule="exact"/>
        <w:rPr>
          <w:sz w:val="20"/>
          <w:szCs w:val="20"/>
          <w:color w:val="auto"/>
        </w:rPr>
      </w:pPr>
    </w:p>
    <w:p>
      <w:pPr>
        <w:spacing w:after="0" w:line="278" w:lineRule="exact"/>
        <w:rPr>
          <w:sz w:val="20"/>
          <w:szCs w:val="20"/>
          <w:color w:val="auto"/>
        </w:rPr>
      </w:pPr>
    </w:p>
    <w:p>
      <w:pPr>
        <w:ind w:left="1660"/>
        <w:spacing w:after="0"/>
        <w:rPr>
          <w:sz w:val="20"/>
          <w:szCs w:val="20"/>
          <w:color w:val="auto"/>
        </w:rPr>
      </w:pPr>
      <w:r>
        <w:rPr>
          <w:rFonts w:ascii="Arial" w:cs="Arial" w:eastAsia="Arial" w:hAnsi="Arial"/>
          <w:sz w:val="20"/>
          <w:szCs w:val="20"/>
          <w:i w:val="1"/>
          <w:iCs w:val="1"/>
          <w:color w:val="auto"/>
        </w:rPr>
        <w:t>(duly 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35744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18415</wp:posOffset>
            </wp:positionV>
            <wp:extent cx="30175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9" w:lineRule="exact"/>
        <w:rPr>
          <w:sz w:val="20"/>
          <w:szCs w:val="20"/>
          <w:color w:val="auto"/>
        </w:rPr>
      </w:pPr>
    </w:p>
    <w:p>
      <w:pPr>
        <w:jc w:val="right"/>
        <w:ind w:right="960"/>
        <w:spacing w:after="0"/>
        <w:rPr>
          <w:sz w:val="20"/>
          <w:szCs w:val="20"/>
          <w:color w:val="auto"/>
        </w:rPr>
      </w:pPr>
      <w:r>
        <w:rPr>
          <w:rFonts w:ascii="Arial" w:cs="Arial" w:eastAsia="Arial" w:hAnsi="Arial"/>
          <w:sz w:val="20"/>
          <w:szCs w:val="20"/>
          <w:i w:val="1"/>
          <w:iCs w:val="1"/>
          <w:color w:val="auto"/>
        </w:rPr>
        <w:t>(please print full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357441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3">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357441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4">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IF AN ENTITY:</w:t>
      </w:r>
    </w:p>
    <w:p>
      <w:pPr>
        <w:spacing w:after="0" w:line="200" w:lineRule="exact"/>
        <w:rPr>
          <w:sz w:val="20"/>
          <w:szCs w:val="20"/>
          <w:color w:val="auto"/>
        </w:rPr>
      </w:pPr>
    </w:p>
    <w:p>
      <w:pPr>
        <w:spacing w:after="0" w:line="278" w:lineRule="exact"/>
        <w:rPr>
          <w:sz w:val="20"/>
          <w:szCs w:val="20"/>
          <w:color w:val="auto"/>
        </w:rPr>
      </w:pPr>
    </w:p>
    <w:p>
      <w:pPr>
        <w:ind w:left="1000"/>
        <w:spacing w:after="0"/>
        <w:rPr>
          <w:sz w:val="20"/>
          <w:szCs w:val="20"/>
          <w:color w:val="auto"/>
        </w:rPr>
      </w:pPr>
      <w:r>
        <w:rPr>
          <w:rFonts w:ascii="Arial" w:cs="Arial" w:eastAsia="Arial" w:hAnsi="Arial"/>
          <w:sz w:val="20"/>
          <w:szCs w:val="20"/>
          <w:i w:val="1"/>
          <w:iCs w:val="1"/>
          <w:color w:val="auto"/>
        </w:rPr>
        <w:t>(please print complete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336867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18415</wp:posOffset>
            </wp:positionV>
            <wp:extent cx="264033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(duly authorized signature)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18415</wp:posOffset>
            </wp:positionV>
            <wp:extent cx="264033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9" w:lineRule="exact"/>
        <w:rPr>
          <w:sz w:val="20"/>
          <w:szCs w:val="20"/>
          <w:color w:val="auto"/>
        </w:rPr>
      </w:pPr>
    </w:p>
    <w:p>
      <w:pPr>
        <w:ind w:left="2220"/>
        <w:spacing w:after="0"/>
        <w:rPr>
          <w:sz w:val="20"/>
          <w:szCs w:val="20"/>
          <w:color w:val="auto"/>
        </w:rPr>
      </w:pPr>
      <w:r>
        <w:rPr>
          <w:rFonts w:ascii="Arial" w:cs="Arial" w:eastAsia="Arial" w:hAnsi="Arial"/>
          <w:sz w:val="20"/>
          <w:szCs w:val="20"/>
          <w:i w:val="1"/>
          <w:iCs w:val="1"/>
          <w:color w:val="auto"/>
        </w:rPr>
        <w:t>(please print full name)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18415</wp:posOffset>
            </wp:positionV>
            <wp:extent cx="264033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9"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(please print full title)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464185</wp:posOffset>
            </wp:positionV>
            <wp:extent cx="336867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336867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E-mail:</w:t>
      </w:r>
    </w:p>
    <w:p>
      <w:pPr>
        <w:spacing w:after="0" w:line="200" w:lineRule="exact"/>
        <w:rPr>
          <w:sz w:val="20"/>
          <w:szCs w:val="20"/>
          <w:color w:val="auto"/>
        </w:rPr>
      </w:pPr>
    </w:p>
    <w:p>
      <w:pPr>
        <w:sectPr>
          <w:pgSz w:w="11900" w:h="16838" w:orient="portrait"/>
          <w:cols w:equalWidth="0" w:num="2">
            <w:col w:w="5220" w:space="720"/>
            <w:col w:w="4400"/>
          </w:cols>
          <w:pgMar w:left="320" w:top="54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340"/>
          </w:cols>
          <w:pgMar w:left="320" w:top="542" w:right="1239" w:bottom="1440" w:gutter="0" w:footer="0" w:header="0"/>
          <w:type w:val="continuous"/>
        </w:sectPr>
      </w:pPr>
    </w:p>
    <w:bookmarkStart w:id="293" w:name="page294"/>
    <w:bookmarkEnd w:id="293"/>
    <w:p>
      <w:pPr>
        <w:ind w:left="6160"/>
        <w:spacing w:after="0"/>
        <w:rPr>
          <w:sz w:val="20"/>
          <w:szCs w:val="20"/>
          <w:color w:val="auto"/>
        </w:rPr>
      </w:pPr>
      <w:r>
        <w:rPr>
          <w:rFonts w:ascii="Georgia" w:cs="Georgia" w:eastAsia="Georgia" w:hAnsi="Georgia"/>
          <w:sz w:val="14"/>
          <w:szCs w:val="14"/>
          <w:color w:val="003D4C"/>
        </w:rPr>
        <w:t>Wilson Sonsini Goodrich &amp; Rosati</w:t>
      </w:r>
    </w:p>
    <w:p>
      <w:pPr>
        <w:spacing w:after="0" w:line="3" w:lineRule="exact"/>
        <w:rPr>
          <w:sz w:val="20"/>
          <w:szCs w:val="20"/>
          <w:color w:val="auto"/>
        </w:rPr>
      </w:pPr>
    </w:p>
    <w:p>
      <w:pPr>
        <w:ind w:left="6160"/>
        <w:spacing w:after="0"/>
        <w:rPr>
          <w:sz w:val="20"/>
          <w:szCs w:val="20"/>
          <w:color w:val="auto"/>
        </w:rPr>
      </w:pPr>
      <w:r>
        <w:rPr>
          <w:rFonts w:ascii="Georgia" w:cs="Georgia" w:eastAsia="Georgia" w:hAnsi="Georgia"/>
          <w:sz w:val="14"/>
          <w:szCs w:val="14"/>
          <w:color w:val="003D4C"/>
        </w:rPr>
        <w:t>Professional Corporation</w:t>
      </w:r>
    </w:p>
    <w:p>
      <w:pPr>
        <w:spacing w:after="0" w:line="70" w:lineRule="exact"/>
        <w:rPr>
          <w:sz w:val="20"/>
          <w:szCs w:val="20"/>
          <w:color w:val="auto"/>
        </w:rPr>
      </w:pPr>
    </w:p>
    <w:p>
      <w:pPr>
        <w:ind w:left="6160"/>
        <w:spacing w:after="0"/>
        <w:rPr>
          <w:sz w:val="20"/>
          <w:szCs w:val="20"/>
          <w:color w:val="auto"/>
        </w:rPr>
      </w:pPr>
      <w:r>
        <w:rPr>
          <w:rFonts w:ascii="Georgia" w:cs="Georgia" w:eastAsia="Georgia" w:hAnsi="Georgia"/>
          <w:sz w:val="14"/>
          <w:szCs w:val="14"/>
          <w:color w:val="003D4C"/>
        </w:rPr>
        <w:t>701 Fifth Avenue</w:t>
      </w:r>
    </w:p>
    <w:p>
      <w:pPr>
        <w:spacing w:after="0" w:line="3" w:lineRule="exact"/>
        <w:rPr>
          <w:sz w:val="20"/>
          <w:szCs w:val="20"/>
          <w:color w:val="auto"/>
        </w:rPr>
      </w:pPr>
    </w:p>
    <w:p>
      <w:pPr>
        <w:ind w:left="6160"/>
        <w:spacing w:after="0"/>
        <w:rPr>
          <w:sz w:val="20"/>
          <w:szCs w:val="20"/>
          <w:color w:val="auto"/>
        </w:rPr>
      </w:pPr>
      <w:r>
        <w:rPr>
          <w:rFonts w:ascii="Georgia" w:cs="Georgia" w:eastAsia="Georgia" w:hAnsi="Georgia"/>
          <w:sz w:val="14"/>
          <w:szCs w:val="14"/>
          <w:color w:val="003D4C"/>
        </w:rPr>
        <w:t>Suite 5100</w:t>
      </w:r>
    </w:p>
    <w:p>
      <w:pPr>
        <w:spacing w:after="0" w:line="3" w:lineRule="exact"/>
        <w:rPr>
          <w:sz w:val="20"/>
          <w:szCs w:val="20"/>
          <w:color w:val="auto"/>
        </w:rPr>
      </w:pPr>
    </w:p>
    <w:p>
      <w:pPr>
        <w:ind w:left="6160"/>
        <w:spacing w:after="0"/>
        <w:rPr>
          <w:sz w:val="20"/>
          <w:szCs w:val="20"/>
          <w:color w:val="auto"/>
        </w:rPr>
      </w:pPr>
      <w:r>
        <w:rPr>
          <w:rFonts w:ascii="Georgia" w:cs="Georgia" w:eastAsia="Georgia" w:hAnsi="Georgia"/>
          <w:sz w:val="14"/>
          <w:szCs w:val="14"/>
          <w:color w:val="003D4C"/>
        </w:rPr>
        <w:t>Seattle, Washington 98104-7036</w:t>
      </w:r>
    </w:p>
    <w:p>
      <w:pPr>
        <w:spacing w:after="0" w:line="84" w:lineRule="exact"/>
        <w:rPr>
          <w:sz w:val="20"/>
          <w:szCs w:val="20"/>
          <w:color w:val="auto"/>
        </w:rPr>
      </w:pPr>
    </w:p>
    <w:p>
      <w:pPr>
        <w:ind w:left="6160"/>
        <w:spacing w:after="0"/>
        <w:rPr>
          <w:sz w:val="20"/>
          <w:szCs w:val="20"/>
          <w:color w:val="auto"/>
        </w:rPr>
      </w:pPr>
      <w:r>
        <w:rPr>
          <w:rFonts w:ascii="Georgia" w:cs="Georgia" w:eastAsia="Georgia" w:hAnsi="Georgia"/>
          <w:sz w:val="9"/>
          <w:szCs w:val="9"/>
          <w:color w:val="003D4C"/>
        </w:rPr>
        <w:t>O</w:t>
      </w:r>
      <w:r>
        <w:rPr>
          <w:rFonts w:ascii="Georgia" w:cs="Georgia" w:eastAsia="Georgia" w:hAnsi="Georgia"/>
          <w:sz w:val="14"/>
          <w:szCs w:val="14"/>
          <w:color w:val="003D4C"/>
        </w:rPr>
        <w:t>: 206.883.2500</w:t>
      </w:r>
    </w:p>
    <w:p>
      <w:pPr>
        <w:spacing w:after="0" w:line="3" w:lineRule="exact"/>
        <w:rPr>
          <w:sz w:val="20"/>
          <w:szCs w:val="20"/>
          <w:color w:val="auto"/>
        </w:rPr>
      </w:pPr>
    </w:p>
    <w:p>
      <w:pPr>
        <w:ind w:left="6160"/>
        <w:spacing w:after="0"/>
        <w:rPr>
          <w:sz w:val="20"/>
          <w:szCs w:val="20"/>
          <w:color w:val="auto"/>
        </w:rPr>
      </w:pPr>
      <w:r>
        <w:rPr>
          <w:rFonts w:ascii="Georgia" w:cs="Georgia" w:eastAsia="Georgia" w:hAnsi="Georgia"/>
          <w:sz w:val="9"/>
          <w:szCs w:val="9"/>
          <w:color w:val="003D4C"/>
        </w:rPr>
        <w:t>F</w:t>
      </w:r>
      <w:r>
        <w:rPr>
          <w:rFonts w:ascii="Georgia" w:cs="Georgia" w:eastAsia="Georgia" w:hAnsi="Georgia"/>
          <w:sz w:val="14"/>
          <w:szCs w:val="14"/>
          <w:color w:val="003D4C"/>
        </w:rPr>
        <w:t>: 206.883.2699</w:t>
      </w:r>
    </w:p>
    <w:p>
      <w:pPr>
        <w:spacing w:after="0" w:line="200" w:lineRule="exact"/>
        <w:rPr>
          <w:sz w:val="20"/>
          <w:szCs w:val="20"/>
          <w:color w:val="auto"/>
        </w:rPr>
      </w:pPr>
    </w:p>
    <w:p>
      <w:pPr>
        <w:spacing w:after="0" w:line="264"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January 19, 2021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Athira Pharma,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18706 North Creek Parkway, Suite 104</w:t>
      </w:r>
    </w:p>
    <w:p>
      <w:pPr>
        <w:spacing w:after="0"/>
        <w:rPr>
          <w:sz w:val="20"/>
          <w:szCs w:val="20"/>
          <w:color w:val="auto"/>
        </w:rPr>
      </w:pPr>
      <w:r>
        <w:rPr>
          <w:rFonts w:ascii="Times New Roman" w:cs="Times New Roman" w:eastAsia="Times New Roman" w:hAnsi="Times New Roman"/>
          <w:sz w:val="20"/>
          <w:szCs w:val="20"/>
          <w:color w:val="auto"/>
        </w:rPr>
        <w:t>Bothell, WA 98011</w:t>
      </w: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20"/>
          <w:szCs w:val="20"/>
          <w:b w:val="1"/>
          <w:bCs w:val="1"/>
          <w:u w:val="single" w:color="auto"/>
          <w:color w:val="auto"/>
        </w:rPr>
        <w:t>Registration Statement on Form S-1</w:t>
      </w: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19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This opinion is furnished to you in connection with the Registration Statement on Form S-1, as may be amended (the “</w:t>
      </w:r>
      <w:r>
        <w:rPr>
          <w:rFonts w:ascii="Times New Roman" w:cs="Times New Roman" w:eastAsia="Times New Roman" w:hAnsi="Times New Roman"/>
          <w:sz w:val="20"/>
          <w:szCs w:val="20"/>
          <w:u w:val="single" w:color="auto"/>
          <w:color w:val="auto"/>
        </w:rPr>
        <w:t>Registration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Statement</w:t>
      </w:r>
      <w:r>
        <w:rPr>
          <w:rFonts w:ascii="Times New Roman" w:cs="Times New Roman" w:eastAsia="Times New Roman" w:hAnsi="Times New Roman"/>
          <w:sz w:val="20"/>
          <w:szCs w:val="20"/>
          <w:color w:val="auto"/>
        </w:rPr>
        <w:t>”), filed by Athira Pharma,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with the Securities and Exchange Commission in connection with the registration under the Securities Act of 1933, as amended, of up to 4,600,000 shares (which includes 600,000 shares issuable upon exercise of an option to purchase additional shares granted to the underwriters) of the Company’s common stock, par value $0.0001 per share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to be issued and sold by the Company. We understand that the Shares are to be sold to the underwriters for resale to the public as described in the Registration Statement and pursuant to an underwriting agreement, substantially in the form filed as an exhibit to the Registration Statement, to be entered into by and among the Company and the underwriters (the “</w:t>
      </w:r>
      <w:r>
        <w:rPr>
          <w:rFonts w:ascii="Times New Roman" w:cs="Times New Roman" w:eastAsia="Times New Roman" w:hAnsi="Times New Roman"/>
          <w:sz w:val="20"/>
          <w:szCs w:val="20"/>
          <w:u w:val="single" w:color="auto"/>
          <w:color w:val="auto"/>
        </w:rPr>
        <w:t>Underwriting Agreement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We are acting as counsel for the Company in connection with the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8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17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On the basis of the foregoing, we are of the opinion that the Shares to be issued and sold by the Company have been duly authorized and, when such Shares are issued and paid for in accordance with the terms of the Underwriting Agreement, will be validly issued, fully paid and nonassessable.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ind w:left="1840"/>
              <w:spacing w:after="0"/>
              <w:rPr>
                <w:sz w:val="20"/>
                <w:szCs w:val="20"/>
                <w:color w:val="auto"/>
              </w:rPr>
            </w:pPr>
            <w:r>
              <w:rPr>
                <w:rFonts w:ascii="Times New Roman" w:cs="Times New Roman" w:eastAsia="Times New Roman" w:hAnsi="Times New Roman"/>
                <w:sz w:val="13"/>
                <w:szCs w:val="13"/>
                <w:color w:val="003D4C"/>
                <w:w w:val="97"/>
              </w:rPr>
              <w:t>AUSTINBEIJING</w:t>
            </w:r>
          </w:p>
        </w:tc>
        <w:tc>
          <w:tcPr>
            <w:tcW w:w="1420" w:type="dxa"/>
            <w:vAlign w:val="bottom"/>
          </w:tcPr>
          <w:p>
            <w:pPr>
              <w:ind w:left="40"/>
              <w:spacing w:after="0"/>
              <w:rPr>
                <w:sz w:val="20"/>
                <w:szCs w:val="20"/>
                <w:color w:val="auto"/>
              </w:rPr>
            </w:pPr>
            <w:r>
              <w:rPr>
                <w:rFonts w:ascii="Times New Roman" w:cs="Times New Roman" w:eastAsia="Times New Roman" w:hAnsi="Times New Roman"/>
                <w:sz w:val="13"/>
                <w:szCs w:val="13"/>
                <w:color w:val="003D4C"/>
                <w:w w:val="96"/>
              </w:rPr>
              <w:t>BOSTONBRUSSELS</w:t>
            </w:r>
          </w:p>
        </w:tc>
        <w:tc>
          <w:tcPr>
            <w:tcW w:w="2960" w:type="dxa"/>
            <w:vAlign w:val="bottom"/>
          </w:tcPr>
          <w:p>
            <w:pPr>
              <w:ind w:left="260"/>
              <w:spacing w:after="0"/>
              <w:rPr>
                <w:sz w:val="20"/>
                <w:szCs w:val="20"/>
                <w:color w:val="auto"/>
              </w:rPr>
            </w:pPr>
            <w:r>
              <w:rPr>
                <w:rFonts w:ascii="Times New Roman" w:cs="Times New Roman" w:eastAsia="Times New Roman" w:hAnsi="Times New Roman"/>
                <w:sz w:val="13"/>
                <w:szCs w:val="13"/>
                <w:color w:val="003D4C"/>
                <w:w w:val="98"/>
              </w:rPr>
              <w:t>HONG KONGLONDONLOS ANGELES</w:t>
            </w:r>
          </w:p>
        </w:tc>
        <w:tc>
          <w:tcPr>
            <w:tcW w:w="3640" w:type="dxa"/>
            <w:vAlign w:val="bottom"/>
          </w:tcPr>
          <w:p>
            <w:pPr>
              <w:ind w:left="180"/>
              <w:spacing w:after="0"/>
              <w:rPr>
                <w:sz w:val="20"/>
                <w:szCs w:val="20"/>
                <w:color w:val="auto"/>
              </w:rPr>
            </w:pPr>
            <w:r>
              <w:rPr>
                <w:rFonts w:ascii="Times New Roman" w:cs="Times New Roman" w:eastAsia="Times New Roman" w:hAnsi="Times New Roman"/>
                <w:sz w:val="13"/>
                <w:szCs w:val="13"/>
                <w:color w:val="003D4C"/>
                <w:w w:val="91"/>
              </w:rPr>
              <w:t>NEW YORKPALO ALTO</w:t>
            </w:r>
          </w:p>
        </w:tc>
      </w:tr>
      <w:tr>
        <w:trPr>
          <w:trHeight w:val="164"/>
        </w:trPr>
        <w:tc>
          <w:tcPr>
            <w:tcW w:w="3240" w:type="dxa"/>
            <w:vAlign w:val="bottom"/>
          </w:tcPr>
          <w:p>
            <w:pPr>
              <w:ind w:left="2500"/>
              <w:spacing w:after="0"/>
              <w:rPr>
                <w:sz w:val="20"/>
                <w:szCs w:val="20"/>
                <w:color w:val="auto"/>
              </w:rPr>
            </w:pPr>
            <w:r>
              <w:rPr>
                <w:rFonts w:ascii="Times New Roman" w:cs="Times New Roman" w:eastAsia="Times New Roman" w:hAnsi="Times New Roman"/>
                <w:sz w:val="13"/>
                <w:szCs w:val="13"/>
                <w:color w:val="003D4C"/>
              </w:rPr>
              <w:t>SAN DIEGO</w:t>
            </w:r>
          </w:p>
        </w:tc>
        <w:tc>
          <w:tcPr>
            <w:tcW w:w="1420" w:type="dxa"/>
            <w:vAlign w:val="bottom"/>
          </w:tcPr>
          <w:p>
            <w:pPr>
              <w:ind w:left="180"/>
              <w:spacing w:after="0"/>
              <w:rPr>
                <w:sz w:val="20"/>
                <w:szCs w:val="20"/>
                <w:color w:val="auto"/>
              </w:rPr>
            </w:pPr>
            <w:r>
              <w:rPr>
                <w:rFonts w:ascii="Times New Roman" w:cs="Times New Roman" w:eastAsia="Times New Roman" w:hAnsi="Times New Roman"/>
                <w:sz w:val="13"/>
                <w:szCs w:val="13"/>
                <w:color w:val="003D4C"/>
              </w:rPr>
              <w:t>SAN FRANCISCO</w:t>
            </w:r>
          </w:p>
        </w:tc>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003D4C"/>
                <w:w w:val="95"/>
              </w:rPr>
              <w:t>SEATTLESHANGHAIWASHINGTON, DC</w:t>
            </w:r>
          </w:p>
        </w:tc>
        <w:tc>
          <w:tcPr>
            <w:tcW w:w="3640" w:type="dxa"/>
            <w:vAlign w:val="bottom"/>
          </w:tcPr>
          <w:p>
            <w:pPr>
              <w:ind w:left="60"/>
              <w:spacing w:after="0"/>
              <w:rPr>
                <w:sz w:val="20"/>
                <w:szCs w:val="20"/>
                <w:color w:val="auto"/>
              </w:rPr>
            </w:pPr>
            <w:r>
              <w:rPr>
                <w:rFonts w:ascii="Times New Roman" w:cs="Times New Roman" w:eastAsia="Times New Roman" w:hAnsi="Times New Roman"/>
                <w:sz w:val="13"/>
                <w:szCs w:val="13"/>
                <w:color w:val="003D4C"/>
              </w:rPr>
              <w:t>WILMINGTON, DE</w:t>
            </w:r>
          </w:p>
        </w:tc>
      </w:tr>
      <w:tr>
        <w:trPr>
          <w:trHeight w:val="550"/>
        </w:trPr>
        <w:tc>
          <w:tcPr>
            <w:tcW w:w="3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43" w:right="31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22"/>
          <w:szCs w:val="22"/>
          <w:color w:val="auto"/>
        </w:rPr>
        <w:t xml:space="preserve">January </w:t>
      </w:r>
      <w:r>
        <w:rPr>
          <w:rFonts w:ascii="Times New Roman" w:cs="Times New Roman" w:eastAsia="Times New Roman" w:hAnsi="Times New Roman"/>
          <w:sz w:val="19"/>
          <w:szCs w:val="19"/>
          <w:color w:val="auto"/>
        </w:rPr>
        <w:t>19, 2021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We consent to the use of this opinion as an exhibit to the Registration Statement, and we consent to the reference of our name under the caption “Legal Matters” in the prospectus forming part of the Registration Statement.</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Very truly yours,</w:t>
      </w:r>
    </w:p>
    <w:p>
      <w:pPr>
        <w:ind w:left="5840"/>
        <w:spacing w:after="0"/>
        <w:rPr>
          <w:sz w:val="20"/>
          <w:szCs w:val="20"/>
          <w:color w:val="auto"/>
        </w:rPr>
      </w:pPr>
      <w:r>
        <w:rPr>
          <w:rFonts w:ascii="Times New Roman" w:cs="Times New Roman" w:eastAsia="Times New Roman" w:hAnsi="Times New Roman"/>
          <w:sz w:val="20"/>
          <w:szCs w:val="20"/>
          <w:color w:val="auto"/>
        </w:rPr>
        <w:t>WILSON SONSINI GOODRICH &amp; ROSATI</w:t>
      </w:r>
    </w:p>
    <w:p>
      <w:pPr>
        <w:ind w:left="5840"/>
        <w:spacing w:after="0"/>
        <w:rPr>
          <w:sz w:val="20"/>
          <w:szCs w:val="20"/>
          <w:color w:val="auto"/>
        </w:rPr>
      </w:pPr>
      <w:r>
        <w:rPr>
          <w:rFonts w:ascii="Times New Roman" w:cs="Times New Roman" w:eastAsia="Times New Roman" w:hAnsi="Times New Roman"/>
          <w:sz w:val="20"/>
          <w:szCs w:val="20"/>
          <w:color w:val="auto"/>
        </w:rPr>
        <w:t>Professional Corporation</w:t>
      </w:r>
    </w:p>
    <w:p>
      <w:pPr>
        <w:ind w:left="5840"/>
        <w:spacing w:after="0"/>
        <w:rPr>
          <w:sz w:val="20"/>
          <w:szCs w:val="20"/>
          <w:color w:val="auto"/>
        </w:rPr>
      </w:pPr>
      <w:r>
        <w:rPr>
          <w:rFonts w:ascii="Times New Roman" w:cs="Times New Roman" w:eastAsia="Times New Roman" w:hAnsi="Times New Roman"/>
          <w:sz w:val="20"/>
          <w:szCs w:val="20"/>
          <w:color w:val="auto"/>
        </w:rPr>
        <w:t>/s/ Wilson Sonsini Goodrich &amp; Rosati, P.C.</w:t>
      </w:r>
    </w:p>
    <w:p>
      <w:pPr>
        <w:sectPr>
          <w:pgSz w:w="11900" w:h="16838" w:orient="portrait"/>
          <w:cols w:equalWidth="0" w:num="1">
            <w:col w:w="11220"/>
          </w:cols>
          <w:pgMar w:left="320" w:top="787" w:right="35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color w:val="auto"/>
        </w:rPr>
        <w:t>Exhibit 23.1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and Young, LLP, Independent Registered Public Accounting Firm</w:t>
      </w: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July 24, 2020, except for Note 17(a), 17(g), 17(h) and 17(i), as to which the date is September 14, 2020, in the Registration Statement (Form S-1) and related Prospectus of Athira Pharma, Inc. dated January 19, 2021.</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January 19, 2021</w:t>
      </w:r>
    </w:p>
    <w:sectPr>
      <w:pgSz w:w="11900" w:h="16838" w:orient="portrait"/>
      <w:cols w:equalWidth="0" w:num="1">
        <w:col w:w="11240"/>
      </w:cols>
      <w:pgMar w:left="320" w:top="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3584BCB"/>
    <w:multiLevelType w:val="hybridMultilevel"/>
    <w:lvl w:ilvl="0">
      <w:lvlJc w:val="left"/>
      <w:lvlText w:val="(%1)"/>
      <w:numFmt w:val="decimal"/>
      <w:start w:val="1"/>
    </w:lvl>
  </w:abstractNum>
  <w:abstractNum w:abstractNumId="1">
    <w:nsid w:val="415E286C"/>
    <w:multiLevelType w:val="hybridMultilevel"/>
    <w:lvl w:ilvl="0">
      <w:lvlJc w:val="left"/>
      <w:lvlText w:val="(%1)"/>
      <w:numFmt w:val="decimal"/>
      <w:start w:val="1"/>
    </w:lvl>
  </w:abstractNum>
  <w:abstractNum w:abstractNumId="2">
    <w:nsid w:val="7C58FD05"/>
    <w:multiLevelType w:val="hybridMultilevel"/>
    <w:lvl w:ilvl="0">
      <w:lvlJc w:val="left"/>
      <w:lvlText w:val="(%1)"/>
      <w:numFmt w:val="decimal"/>
      <w:start w:val="1"/>
    </w:lvl>
  </w:abstractNum>
  <w:abstractNum w:abstractNumId="3">
    <w:nsid w:val="23D86AAC"/>
    <w:multiLevelType w:val="hybridMultilevel"/>
    <w:lvl w:ilvl="0">
      <w:lvlJc w:val="left"/>
      <w:lvlText w:val="•"/>
      <w:numFmt w:val="bullet"/>
      <w:start w:val="1"/>
    </w:lvl>
  </w:abstractNum>
  <w:abstractNum w:abstractNumId="4">
    <w:nsid w:val="45E6D486"/>
    <w:multiLevelType w:val="hybridMultilevel"/>
    <w:lvl w:ilvl="0">
      <w:lvlJc w:val="left"/>
      <w:lvlText w:val="•"/>
      <w:numFmt w:val="bullet"/>
      <w:start w:val="1"/>
    </w:lvl>
  </w:abstractNum>
  <w:abstractNum w:abstractNumId="5">
    <w:nsid w:val="5C10FE21"/>
    <w:multiLevelType w:val="hybridMultilevel"/>
    <w:lvl w:ilvl="0">
      <w:lvlJc w:val="left"/>
      <w:lvlText w:val="•"/>
      <w:numFmt w:val="bullet"/>
      <w:start w:val="1"/>
    </w:lvl>
  </w:abstractNum>
  <w:abstractNum w:abstractNumId="6">
    <w:nsid w:val="E7FFA2B"/>
    <w:multiLevelType w:val="hybridMultilevel"/>
    <w:lvl w:ilvl="0">
      <w:lvlJc w:val="left"/>
      <w:lvlText w:val="•"/>
      <w:numFmt w:val="bullet"/>
      <w:start w:val="1"/>
    </w:lvl>
  </w:abstractNum>
  <w:abstractNum w:abstractNumId="7">
    <w:nsid w:val="3C5991AA"/>
    <w:multiLevelType w:val="hybridMultilevel"/>
    <w:lvl w:ilvl="0">
      <w:lvlJc w:val="left"/>
      <w:lvlText w:val="•"/>
      <w:numFmt w:val="bullet"/>
      <w:start w:val="1"/>
    </w:lvl>
  </w:abstractNum>
  <w:abstractNum w:abstractNumId="8">
    <w:nsid w:val="4BD8591A"/>
    <w:multiLevelType w:val="hybridMultilevel"/>
    <w:lvl w:ilvl="0">
      <w:lvlJc w:val="left"/>
      <w:lvlText w:val="•"/>
      <w:numFmt w:val="bullet"/>
      <w:start w:val="1"/>
    </w:lvl>
  </w:abstractNum>
  <w:abstractNum w:abstractNumId="9">
    <w:nsid w:val="78DF6A55"/>
    <w:multiLevelType w:val="hybridMultilevel"/>
    <w:lvl w:ilvl="0">
      <w:lvlJc w:val="left"/>
      <w:lvlText w:val="•"/>
      <w:numFmt w:val="bullet"/>
      <w:start w:val="1"/>
    </w:lvl>
  </w:abstractNum>
  <w:abstractNum w:abstractNumId="10">
    <w:nsid w:val="39B7AAA2"/>
    <w:multiLevelType w:val="hybridMultilevel"/>
    <w:lvl w:ilvl="0">
      <w:lvlJc w:val="left"/>
      <w:lvlText w:val="•"/>
      <w:numFmt w:val="bullet"/>
      <w:start w:val="1"/>
    </w:lvl>
  </w:abstractNum>
  <w:abstractNum w:abstractNumId="11">
    <w:nsid w:val="2B0D8DBE"/>
    <w:multiLevelType w:val="hybridMultilevel"/>
    <w:lvl w:ilvl="0">
      <w:lvlJc w:val="left"/>
      <w:lvlText w:val="•"/>
      <w:numFmt w:val="bullet"/>
      <w:start w:val="1"/>
    </w:lvl>
  </w:abstractNum>
  <w:abstractNum w:abstractNumId="12">
    <w:nsid w:val="6C80EC70"/>
    <w:multiLevelType w:val="hybridMultilevel"/>
    <w:lvl w:ilvl="0">
      <w:lvlJc w:val="left"/>
      <w:lvlText w:val="•"/>
      <w:numFmt w:val="bullet"/>
      <w:start w:val="1"/>
    </w:lvl>
  </w:abstractNum>
  <w:abstractNum w:abstractNumId="13">
    <w:nsid w:val="379E21B5"/>
    <w:multiLevelType w:val="hybridMultilevel"/>
    <w:lvl w:ilvl="0">
      <w:lvlJc w:val="left"/>
      <w:lvlText w:val="(%1)"/>
      <w:numFmt w:val="decimal"/>
      <w:start w:val="1"/>
    </w:lvl>
  </w:abstractNum>
  <w:abstractNum w:abstractNumId="14">
    <w:nsid w:val="69E373"/>
    <w:multiLevelType w:val="hybridMultilevel"/>
    <w:lvl w:ilvl="0">
      <w:lvlJc w:val="left"/>
      <w:lvlText w:val="(%1)"/>
      <w:numFmt w:val="decimal"/>
      <w:start w:val="1"/>
    </w:lvl>
  </w:abstractNum>
  <w:abstractNum w:abstractNumId="15">
    <w:nsid w:val="2C27173B"/>
    <w:multiLevelType w:val="hybridMultilevel"/>
    <w:lvl w:ilvl="0">
      <w:lvlJc w:val="left"/>
      <w:lvlText w:val="•"/>
      <w:numFmt w:val="bullet"/>
      <w:start w:val="1"/>
    </w:lvl>
  </w:abstractNum>
  <w:abstractNum w:abstractNumId="16">
    <w:nsid w:val="4C9B0904"/>
    <w:multiLevelType w:val="hybridMultilevel"/>
    <w:lvl w:ilvl="0">
      <w:lvlJc w:val="left"/>
      <w:lvlText w:val="•"/>
      <w:numFmt w:val="bullet"/>
      <w:start w:val="1"/>
    </w:lvl>
  </w:abstractNum>
  <w:abstractNum w:abstractNumId="17">
    <w:nsid w:val="6AA7B75C"/>
    <w:multiLevelType w:val="hybridMultilevel"/>
    <w:lvl w:ilvl="0">
      <w:lvlJc w:val="left"/>
      <w:lvlText w:val="•"/>
      <w:numFmt w:val="bullet"/>
      <w:start w:val="1"/>
    </w:lvl>
  </w:abstractNum>
  <w:abstractNum w:abstractNumId="18">
    <w:nsid w:val="1DF029D3"/>
    <w:multiLevelType w:val="hybridMultilevel"/>
    <w:lvl w:ilvl="0">
      <w:lvlJc w:val="left"/>
      <w:lvlText w:val="•"/>
      <w:numFmt w:val="bullet"/>
      <w:start w:val="1"/>
    </w:lvl>
  </w:abstractNum>
  <w:abstractNum w:abstractNumId="19">
    <w:nsid w:val="5675FF36"/>
    <w:multiLevelType w:val="hybridMultilevel"/>
    <w:lvl w:ilvl="0">
      <w:lvlJc w:val="left"/>
      <w:lvlText w:val="•"/>
      <w:numFmt w:val="bullet"/>
      <w:start w:val="1"/>
    </w:lvl>
  </w:abstractNum>
  <w:abstractNum w:abstractNumId="20">
    <w:nsid w:val="3DD15094"/>
    <w:multiLevelType w:val="hybridMultilevel"/>
    <w:lvl w:ilvl="0">
      <w:lvlJc w:val="left"/>
      <w:lvlText w:val="•"/>
      <w:numFmt w:val="bullet"/>
      <w:start w:val="1"/>
    </w:lvl>
  </w:abstractNum>
  <w:abstractNum w:abstractNumId="21">
    <w:nsid w:val="3DB012B3"/>
    <w:multiLevelType w:val="hybridMultilevel"/>
    <w:lvl w:ilvl="0">
      <w:lvlJc w:val="left"/>
      <w:lvlText w:val="•"/>
      <w:numFmt w:val="bullet"/>
      <w:start w:val="1"/>
    </w:lvl>
  </w:abstractNum>
  <w:abstractNum w:abstractNumId="22">
    <w:nsid w:val="2708C9AF"/>
    <w:multiLevelType w:val="hybridMultilevel"/>
    <w:lvl w:ilvl="0">
      <w:lvlJc w:val="left"/>
      <w:lvlText w:val="•"/>
      <w:numFmt w:val="bullet"/>
      <w:start w:val="1"/>
    </w:lvl>
  </w:abstractNum>
  <w:abstractNum w:abstractNumId="23">
    <w:nsid w:val="5B25ACE2"/>
    <w:multiLevelType w:val="hybridMultilevel"/>
    <w:lvl w:ilvl="0">
      <w:lvlJc w:val="left"/>
      <w:lvlText w:val="•"/>
      <w:numFmt w:val="bullet"/>
      <w:start w:val="1"/>
    </w:lvl>
  </w:abstractNum>
  <w:abstractNum w:abstractNumId="24">
    <w:nsid w:val="175DFCF0"/>
    <w:multiLevelType w:val="hybridMultilevel"/>
    <w:lvl w:ilvl="0">
      <w:lvlJc w:val="left"/>
      <w:lvlText w:val="•"/>
      <w:numFmt w:val="bullet"/>
      <w:start w:val="1"/>
    </w:lvl>
  </w:abstractNum>
  <w:abstractNum w:abstractNumId="25">
    <w:nsid w:val="4F97E3E4"/>
    <w:multiLevelType w:val="hybridMultilevel"/>
    <w:lvl w:ilvl="0">
      <w:lvlJc w:val="left"/>
      <w:lvlText w:val="•"/>
      <w:numFmt w:val="bullet"/>
      <w:start w:val="1"/>
    </w:lvl>
  </w:abstractNum>
  <w:abstractNum w:abstractNumId="26">
    <w:nsid w:val="53B0A9E"/>
    <w:multiLevelType w:val="hybridMultilevel"/>
    <w:lvl w:ilvl="0">
      <w:lvlJc w:val="left"/>
      <w:lvlText w:val="•"/>
      <w:numFmt w:val="bullet"/>
      <w:start w:val="1"/>
    </w:lvl>
  </w:abstractNum>
  <w:abstractNum w:abstractNumId="27">
    <w:nsid w:val="34FD6B4F"/>
    <w:multiLevelType w:val="hybridMultilevel"/>
    <w:lvl w:ilvl="0">
      <w:lvlJc w:val="left"/>
      <w:lvlText w:val="•"/>
      <w:numFmt w:val="bullet"/>
      <w:start w:val="1"/>
    </w:lvl>
  </w:abstractNum>
  <w:abstractNum w:abstractNumId="28">
    <w:nsid w:val="5915FF32"/>
    <w:multiLevelType w:val="hybridMultilevel"/>
    <w:lvl w:ilvl="0">
      <w:lvlJc w:val="left"/>
      <w:lvlText w:val="•"/>
      <w:numFmt w:val="bullet"/>
      <w:start w:val="1"/>
    </w:lvl>
  </w:abstractNum>
  <w:abstractNum w:abstractNumId="29">
    <w:nsid w:val="56438D15"/>
    <w:multiLevelType w:val="hybridMultilevel"/>
    <w:lvl w:ilvl="0">
      <w:lvlJc w:val="left"/>
      <w:lvlText w:val="•"/>
      <w:numFmt w:val="bullet"/>
      <w:start w:val="1"/>
    </w:lvl>
  </w:abstractNum>
  <w:abstractNum w:abstractNumId="30">
    <w:nsid w:val="519E3149"/>
    <w:multiLevelType w:val="hybridMultilevel"/>
    <w:lvl w:ilvl="0">
      <w:lvlJc w:val="left"/>
      <w:lvlText w:val="•"/>
      <w:numFmt w:val="bullet"/>
      <w:start w:val="1"/>
    </w:lvl>
  </w:abstractNum>
  <w:abstractNum w:abstractNumId="31">
    <w:nsid w:val="2C6E4AFD"/>
    <w:multiLevelType w:val="hybridMultilevel"/>
    <w:lvl w:ilvl="0">
      <w:lvlJc w:val="left"/>
      <w:lvlText w:val="•"/>
      <w:numFmt w:val="bullet"/>
      <w:start w:val="1"/>
    </w:lvl>
  </w:abstractNum>
  <w:abstractNum w:abstractNumId="32">
    <w:nsid w:val="17A1B582"/>
    <w:multiLevelType w:val="hybridMultilevel"/>
    <w:lvl w:ilvl="0">
      <w:lvlJc w:val="left"/>
      <w:lvlText w:val="•"/>
      <w:numFmt w:val="bullet"/>
      <w:start w:val="1"/>
    </w:lvl>
  </w:abstractNum>
  <w:abstractNum w:abstractNumId="33">
    <w:nsid w:val="4DF72E4E"/>
    <w:multiLevelType w:val="hybridMultilevel"/>
    <w:lvl w:ilvl="0">
      <w:lvlJc w:val="left"/>
      <w:lvlText w:val="•"/>
      <w:numFmt w:val="bullet"/>
      <w:start w:val="1"/>
    </w:lvl>
  </w:abstractNum>
  <w:abstractNum w:abstractNumId="34">
    <w:nsid w:val="5046B5A9"/>
    <w:multiLevelType w:val="hybridMultilevel"/>
    <w:lvl w:ilvl="0">
      <w:lvlJc w:val="left"/>
      <w:lvlText w:val="•"/>
      <w:numFmt w:val="bullet"/>
      <w:start w:val="1"/>
    </w:lvl>
  </w:abstractNum>
  <w:abstractNum w:abstractNumId="35">
    <w:nsid w:val="5D888A08"/>
    <w:multiLevelType w:val="hybridMultilevel"/>
    <w:lvl w:ilvl="0">
      <w:lvlJc w:val="left"/>
      <w:lvlText w:val="•"/>
      <w:numFmt w:val="bullet"/>
      <w:start w:val="1"/>
    </w:lvl>
  </w:abstractNum>
  <w:abstractNum w:abstractNumId="36">
    <w:nsid w:val="2A082C70"/>
    <w:multiLevelType w:val="hybridMultilevel"/>
    <w:lvl w:ilvl="0">
      <w:lvlJc w:val="left"/>
      <w:lvlText w:val="•"/>
      <w:numFmt w:val="bullet"/>
      <w:start w:val="1"/>
    </w:lvl>
  </w:abstractNum>
  <w:abstractNum w:abstractNumId="37">
    <w:nsid w:val="5EC6AFD4"/>
    <w:multiLevelType w:val="hybridMultilevel"/>
    <w:lvl w:ilvl="0">
      <w:lvlJc w:val="left"/>
      <w:lvlText w:val="•"/>
      <w:numFmt w:val="bullet"/>
      <w:start w:val="1"/>
    </w:lvl>
  </w:abstractNum>
  <w:abstractNum w:abstractNumId="38">
    <w:nsid w:val="19E21BB2"/>
    <w:multiLevelType w:val="hybridMultilevel"/>
    <w:lvl w:ilvl="0">
      <w:lvlJc w:val="left"/>
      <w:lvlText w:val="•"/>
      <w:numFmt w:val="bullet"/>
      <w:start w:val="1"/>
    </w:lvl>
  </w:abstractNum>
  <w:abstractNum w:abstractNumId="39">
    <w:nsid w:val="75E0858A"/>
    <w:multiLevelType w:val="hybridMultilevel"/>
    <w:lvl w:ilvl="0">
      <w:lvlJc w:val="left"/>
      <w:lvlText w:val="•"/>
      <w:numFmt w:val="bullet"/>
      <w:start w:val="1"/>
    </w:lvl>
  </w:abstractNum>
  <w:abstractNum w:abstractNumId="40">
    <w:nsid w:val="57A61A29"/>
    <w:multiLevelType w:val="hybridMultilevel"/>
    <w:lvl w:ilvl="0">
      <w:lvlJc w:val="left"/>
      <w:lvlText w:val="•"/>
      <w:numFmt w:val="bullet"/>
      <w:start w:val="1"/>
    </w:lvl>
  </w:abstractNum>
  <w:abstractNum w:abstractNumId="41">
    <w:nsid w:val="5399C654"/>
    <w:multiLevelType w:val="hybridMultilevel"/>
    <w:lvl w:ilvl="0">
      <w:lvlJc w:val="left"/>
      <w:lvlText w:val="•"/>
      <w:numFmt w:val="bullet"/>
      <w:start w:val="1"/>
    </w:lvl>
  </w:abstractNum>
  <w:abstractNum w:abstractNumId="42">
    <w:nsid w:val="20EE1348"/>
    <w:multiLevelType w:val="hybridMultilevel"/>
    <w:lvl w:ilvl="0">
      <w:lvlJc w:val="left"/>
      <w:lvlText w:val="•"/>
      <w:numFmt w:val="bullet"/>
      <w:start w:val="1"/>
    </w:lvl>
  </w:abstractNum>
  <w:abstractNum w:abstractNumId="43">
    <w:nsid w:val="4427069A"/>
    <w:multiLevelType w:val="hybridMultilevel"/>
    <w:lvl w:ilvl="0">
      <w:lvlJc w:val="left"/>
      <w:lvlText w:val="•"/>
      <w:numFmt w:val="bullet"/>
      <w:start w:val="1"/>
    </w:lvl>
  </w:abstractNum>
  <w:abstractNum w:abstractNumId="44">
    <w:nsid w:val="B37E80A"/>
    <w:multiLevelType w:val="hybridMultilevel"/>
    <w:lvl w:ilvl="0">
      <w:lvlJc w:val="left"/>
      <w:lvlText w:val="•"/>
      <w:numFmt w:val="bullet"/>
      <w:start w:val="1"/>
    </w:lvl>
  </w:abstractNum>
  <w:abstractNum w:abstractNumId="45">
    <w:nsid w:val="2157F6BC"/>
    <w:multiLevelType w:val="hybridMultilevel"/>
    <w:lvl w:ilvl="0">
      <w:lvlJc w:val="left"/>
      <w:lvlText w:val="•"/>
      <w:numFmt w:val="bullet"/>
      <w:start w:val="1"/>
    </w:lvl>
  </w:abstractNum>
  <w:abstractNum w:abstractNumId="46">
    <w:nsid w:val="704E1DD5"/>
    <w:multiLevelType w:val="hybridMultilevel"/>
    <w:lvl w:ilvl="0">
      <w:lvlJc w:val="left"/>
      <w:lvlText w:val="•"/>
      <w:numFmt w:val="bullet"/>
      <w:start w:val="1"/>
    </w:lvl>
  </w:abstractNum>
  <w:abstractNum w:abstractNumId="47">
    <w:nsid w:val="57D2F10E"/>
    <w:multiLevelType w:val="hybridMultilevel"/>
    <w:lvl w:ilvl="0">
      <w:lvlJc w:val="left"/>
      <w:lvlText w:val="•"/>
      <w:numFmt w:val="bullet"/>
      <w:start w:val="1"/>
    </w:lvl>
  </w:abstractNum>
  <w:abstractNum w:abstractNumId="48">
    <w:nsid w:val="BFFAE18"/>
    <w:multiLevelType w:val="hybridMultilevel"/>
    <w:lvl w:ilvl="0">
      <w:lvlJc w:val="left"/>
      <w:lvlText w:val="•"/>
      <w:numFmt w:val="bullet"/>
      <w:start w:val="1"/>
    </w:lvl>
  </w:abstractNum>
  <w:abstractNum w:abstractNumId="49">
    <w:nsid w:val="E3E47A8"/>
    <w:multiLevelType w:val="hybridMultilevel"/>
    <w:lvl w:ilvl="0">
      <w:lvlJc w:val="left"/>
      <w:lvlText w:val="•"/>
      <w:numFmt w:val="bullet"/>
      <w:start w:val="1"/>
    </w:lvl>
  </w:abstractNum>
  <w:abstractNum w:abstractNumId="50">
    <w:nsid w:val="2E48F044"/>
    <w:multiLevelType w:val="hybridMultilevel"/>
    <w:lvl w:ilvl="0">
      <w:lvlJc w:val="left"/>
      <w:lvlText w:val="•"/>
      <w:numFmt w:val="bullet"/>
      <w:start w:val="1"/>
    </w:lvl>
  </w:abstractNum>
  <w:abstractNum w:abstractNumId="51">
    <w:nsid w:val="49D0FEAC"/>
    <w:multiLevelType w:val="hybridMultilevel"/>
    <w:lvl w:ilvl="0">
      <w:lvlJc w:val="left"/>
      <w:lvlText w:val="•"/>
      <w:numFmt w:val="bullet"/>
      <w:start w:val="1"/>
    </w:lvl>
  </w:abstractNum>
  <w:abstractNum w:abstractNumId="52">
    <w:nsid w:val="4BEE5A5B"/>
    <w:multiLevelType w:val="hybridMultilevel"/>
    <w:lvl w:ilvl="0">
      <w:lvlJc w:val="left"/>
      <w:lvlText w:val="•"/>
      <w:numFmt w:val="bullet"/>
      <w:start w:val="1"/>
    </w:lvl>
  </w:abstractNum>
  <w:abstractNum w:abstractNumId="53">
    <w:nsid w:val="5551B9F3"/>
    <w:multiLevelType w:val="hybridMultilevel"/>
    <w:lvl w:ilvl="0">
      <w:lvlJc w:val="left"/>
      <w:lvlText w:val="•"/>
      <w:numFmt w:val="bullet"/>
      <w:start w:val="1"/>
    </w:lvl>
  </w:abstractNum>
  <w:abstractNum w:abstractNumId="54">
    <w:nsid w:val="24F6AB8E"/>
    <w:multiLevelType w:val="hybridMultilevel"/>
    <w:lvl w:ilvl="0">
      <w:lvlJc w:val="left"/>
      <w:lvlText w:val="•"/>
      <w:numFmt w:val="bullet"/>
      <w:start w:val="1"/>
    </w:lvl>
  </w:abstractNum>
  <w:abstractNum w:abstractNumId="55">
    <w:nsid w:val="634C574C"/>
    <w:multiLevelType w:val="hybridMultilevel"/>
    <w:lvl w:ilvl="0">
      <w:lvlJc w:val="left"/>
      <w:lvlText w:val="•"/>
      <w:numFmt w:val="bullet"/>
      <w:start w:val="1"/>
    </w:lvl>
  </w:abstractNum>
  <w:abstractNum w:abstractNumId="56">
    <w:nsid w:val="24E99DD7"/>
    <w:multiLevelType w:val="hybridMultilevel"/>
    <w:lvl w:ilvl="0">
      <w:lvlJc w:val="left"/>
      <w:lvlText w:val="(%1)"/>
      <w:numFmt w:val="decimal"/>
      <w:start w:val="1"/>
    </w:lvl>
  </w:abstractNum>
  <w:abstractNum w:abstractNumId="57">
    <w:nsid w:val="2A31B62D"/>
    <w:multiLevelType w:val="hybridMultilevel"/>
    <w:lvl w:ilvl="0">
      <w:lvlJc w:val="left"/>
      <w:lvlText w:val="•"/>
      <w:numFmt w:val="bullet"/>
      <w:start w:val="1"/>
    </w:lvl>
  </w:abstractNum>
  <w:abstractNum w:abstractNumId="58">
    <w:nsid w:val="1849C29B"/>
    <w:multiLevelType w:val="hybridMultilevel"/>
    <w:lvl w:ilvl="0">
      <w:lvlJc w:val="left"/>
      <w:lvlText w:val="•"/>
      <w:numFmt w:val="bullet"/>
      <w:start w:val="1"/>
    </w:lvl>
  </w:abstractNum>
  <w:abstractNum w:abstractNumId="59">
    <w:nsid w:val="7DFF9D09"/>
    <w:multiLevelType w:val="hybridMultilevel"/>
    <w:lvl w:ilvl="0">
      <w:lvlJc w:val="left"/>
      <w:lvlText w:val="(%1)"/>
      <w:numFmt w:val="decimal"/>
      <w:start w:val="1"/>
    </w:lvl>
  </w:abstractNum>
  <w:abstractNum w:abstractNumId="60">
    <w:nsid w:val="754342"/>
    <w:multiLevelType w:val="hybridMultilevel"/>
    <w:lvl w:ilvl="0">
      <w:lvlJc w:val="left"/>
      <w:lvlText w:val="(%1)"/>
      <w:numFmt w:val="decimal"/>
      <w:start w:val="1"/>
    </w:lvl>
  </w:abstractNum>
  <w:abstractNum w:abstractNumId="61">
    <w:nsid w:val="69E7F3E5"/>
    <w:multiLevelType w:val="hybridMultilevel"/>
    <w:lvl w:ilvl="0">
      <w:lvlJc w:val="left"/>
      <w:lvlText w:val="(%1)"/>
      <w:numFmt w:val="decimal"/>
      <w:start w:val="1"/>
    </w:lvl>
  </w:abstractNum>
  <w:abstractNum w:abstractNumId="62">
    <w:nsid w:val="2A6DE806"/>
    <w:multiLevelType w:val="hybridMultilevel"/>
    <w:lvl w:ilvl="0">
      <w:lvlJc w:val="left"/>
      <w:lvlText w:val="•"/>
      <w:numFmt w:val="bullet"/>
      <w:start w:val="1"/>
    </w:lvl>
  </w:abstractNum>
  <w:abstractNum w:abstractNumId="63">
    <w:nsid w:val="1816F8C4"/>
    <w:multiLevelType w:val="hybridMultilevel"/>
    <w:lvl w:ilvl="0">
      <w:lvlJc w:val="left"/>
      <w:lvlText w:val="•"/>
      <w:numFmt w:val="bullet"/>
      <w:start w:val="1"/>
    </w:lvl>
  </w:abstractNum>
  <w:abstractNum w:abstractNumId="64">
    <w:nsid w:val="37DF2233"/>
    <w:multiLevelType w:val="hybridMultilevel"/>
    <w:lvl w:ilvl="0">
      <w:lvlJc w:val="left"/>
      <w:lvlText w:val="•"/>
      <w:numFmt w:val="bullet"/>
      <w:start w:val="1"/>
    </w:lvl>
  </w:abstractNum>
  <w:abstractNum w:abstractNumId="65">
    <w:nsid w:val="7AB49DAF"/>
    <w:multiLevelType w:val="hybridMultilevel"/>
    <w:lvl w:ilvl="0">
      <w:lvlJc w:val="left"/>
      <w:lvlText w:val="*"/>
      <w:numFmt w:val="bullet"/>
      <w:start w:val="1"/>
    </w:lvl>
  </w:abstractNum>
  <w:abstractNum w:abstractNumId="66">
    <w:nsid w:val="759F82CD"/>
    <w:multiLevelType w:val="hybridMultilevel"/>
    <w:lvl w:ilvl="0">
      <w:lvlJc w:val="left"/>
      <w:lvlText w:val="*"/>
      <w:numFmt w:val="bullet"/>
      <w:start w:val="1"/>
    </w:lvl>
  </w:abstractNum>
  <w:abstractNum w:abstractNumId="67">
    <w:nsid w:val="61E74EA3"/>
    <w:multiLevelType w:val="hybridMultilevel"/>
    <w:lvl w:ilvl="0">
      <w:lvlJc w:val="left"/>
      <w:lvlText w:val="•"/>
      <w:numFmt w:val="bullet"/>
      <w:start w:val="1"/>
    </w:lvl>
  </w:abstractNum>
  <w:abstractNum w:abstractNumId="68">
    <w:nsid w:val="597B4D84"/>
    <w:multiLevelType w:val="hybridMultilevel"/>
    <w:lvl w:ilvl="0">
      <w:lvlJc w:val="left"/>
      <w:lvlText w:val="•"/>
      <w:numFmt w:val="bullet"/>
      <w:start w:val="1"/>
    </w:lvl>
  </w:abstractNum>
  <w:abstractNum w:abstractNumId="69">
    <w:nsid w:val="F819E7F"/>
    <w:multiLevelType w:val="hybridMultilevel"/>
    <w:lvl w:ilvl="0">
      <w:lvlJc w:val="left"/>
      <w:lvlText w:val="•"/>
      <w:numFmt w:val="bullet"/>
      <w:start w:val="1"/>
    </w:lvl>
  </w:abstractNum>
  <w:abstractNum w:abstractNumId="70">
    <w:nsid w:val="57C7D42D"/>
    <w:multiLevelType w:val="hybridMultilevel"/>
    <w:lvl w:ilvl="0">
      <w:lvlJc w:val="left"/>
      <w:lvlText w:val="•"/>
      <w:numFmt w:val="bullet"/>
      <w:start w:val="1"/>
    </w:lvl>
  </w:abstractNum>
  <w:abstractNum w:abstractNumId="71">
    <w:nsid w:val="312167AD"/>
    <w:multiLevelType w:val="hybridMultilevel"/>
    <w:lvl w:ilvl="0">
      <w:lvlJc w:val="left"/>
      <w:lvlText w:val="•"/>
      <w:numFmt w:val="bullet"/>
      <w:start w:val="1"/>
    </w:lvl>
  </w:abstractNum>
  <w:abstractNum w:abstractNumId="72">
    <w:nsid w:val="631B64D4"/>
    <w:multiLevelType w:val="hybridMultilevel"/>
    <w:lvl w:ilvl="0">
      <w:lvlJc w:val="left"/>
      <w:lvlText w:val="•"/>
      <w:numFmt w:val="bullet"/>
      <w:start w:val="1"/>
    </w:lvl>
  </w:abstractNum>
  <w:abstractNum w:abstractNumId="73">
    <w:nsid w:val="78B5E776"/>
    <w:multiLevelType w:val="hybridMultilevel"/>
    <w:lvl w:ilvl="0">
      <w:lvlJc w:val="left"/>
      <w:lvlText w:val="(%1)"/>
      <w:numFmt w:val="decimal"/>
      <w:start w:val="1"/>
    </w:lvl>
  </w:abstractNum>
  <w:abstractNum w:abstractNumId="74">
    <w:nsid w:val="75486E47"/>
    <w:multiLevelType w:val="hybridMultilevel"/>
    <w:lvl w:ilvl="0">
      <w:lvlJc w:val="left"/>
      <w:lvlText w:val="•"/>
      <w:numFmt w:val="bullet"/>
      <w:start w:val="1"/>
    </w:lvl>
  </w:abstractNum>
  <w:abstractNum w:abstractNumId="75">
    <w:nsid w:val="6E534CDE"/>
    <w:multiLevelType w:val="hybridMultilevel"/>
    <w:lvl w:ilvl="0">
      <w:lvlJc w:val="left"/>
      <w:lvlText w:val="•"/>
      <w:numFmt w:val="bullet"/>
      <w:start w:val="1"/>
    </w:lvl>
  </w:abstractNum>
  <w:abstractNum w:abstractNumId="76">
    <w:nsid w:val="1A0DDE32"/>
    <w:multiLevelType w:val="hybridMultilevel"/>
    <w:lvl w:ilvl="0">
      <w:lvlJc w:val="left"/>
      <w:lvlText w:val="•"/>
      <w:numFmt w:val="bullet"/>
      <w:start w:val="1"/>
    </w:lvl>
  </w:abstractNum>
  <w:abstractNum w:abstractNumId="77">
    <w:nsid w:val="65968C1C"/>
    <w:multiLevelType w:val="hybridMultilevel"/>
    <w:lvl w:ilvl="0">
      <w:lvlJc w:val="left"/>
      <w:lvlText w:val="•"/>
      <w:numFmt w:val="bullet"/>
      <w:start w:val="1"/>
    </w:lvl>
  </w:abstractNum>
  <w:abstractNum w:abstractNumId="78">
    <w:nsid w:val="46263DEC"/>
    <w:multiLevelType w:val="hybridMultilevel"/>
    <w:lvl w:ilvl="0">
      <w:lvlJc w:val="left"/>
      <w:lvlText w:val="•"/>
      <w:numFmt w:val="bullet"/>
      <w:start w:val="1"/>
    </w:lvl>
  </w:abstractNum>
  <w:abstractNum w:abstractNumId="79">
    <w:nsid w:val="260D8C4A"/>
    <w:multiLevelType w:val="hybridMultilevel"/>
    <w:lvl w:ilvl="0">
      <w:lvlJc w:val="left"/>
      <w:lvlText w:val="•"/>
      <w:numFmt w:val="bullet"/>
      <w:start w:val="1"/>
    </w:lvl>
  </w:abstractNum>
  <w:abstractNum w:abstractNumId="80">
    <w:nsid w:val="73D4D3C4"/>
    <w:multiLevelType w:val="hybridMultilevel"/>
    <w:lvl w:ilvl="0">
      <w:lvlJc w:val="left"/>
      <w:lvlText w:val="•"/>
      <w:numFmt w:val="bullet"/>
      <w:start w:val="1"/>
    </w:lvl>
  </w:abstractNum>
  <w:abstractNum w:abstractNumId="81">
    <w:nsid w:val="746F2E30"/>
    <w:multiLevelType w:val="hybridMultilevel"/>
    <w:lvl w:ilvl="0">
      <w:lvlJc w:val="left"/>
      <w:lvlText w:val="•"/>
      <w:numFmt w:val="bullet"/>
      <w:start w:val="1"/>
    </w:lvl>
  </w:abstractNum>
  <w:abstractNum w:abstractNumId="82">
    <w:nsid w:val="6FDE8AF6"/>
    <w:multiLevelType w:val="hybridMultilevel"/>
    <w:lvl w:ilvl="0">
      <w:lvlJc w:val="left"/>
      <w:lvlText w:val="•"/>
      <w:numFmt w:val="bullet"/>
      <w:start w:val="1"/>
    </w:lvl>
  </w:abstractNum>
  <w:abstractNum w:abstractNumId="83">
    <w:nsid w:val="3FC32E20"/>
    <w:multiLevelType w:val="hybridMultilevel"/>
    <w:lvl w:ilvl="0">
      <w:lvlJc w:val="left"/>
      <w:lvlText w:val="•"/>
      <w:numFmt w:val="bullet"/>
      <w:start w:val="1"/>
    </w:lvl>
  </w:abstractNum>
  <w:abstractNum w:abstractNumId="84">
    <w:nsid w:val="49C0E823"/>
    <w:multiLevelType w:val="hybridMultilevel"/>
    <w:lvl w:ilvl="0">
      <w:lvlJc w:val="left"/>
      <w:lvlText w:val="•"/>
      <w:numFmt w:val="bullet"/>
      <w:start w:val="1"/>
    </w:lvl>
  </w:abstractNum>
  <w:abstractNum w:abstractNumId="85">
    <w:nsid w:val="14D53685"/>
    <w:multiLevelType w:val="hybridMultilevel"/>
    <w:lvl w:ilvl="0">
      <w:lvlJc w:val="left"/>
      <w:lvlText w:val="•"/>
      <w:numFmt w:val="bullet"/>
      <w:start w:val="1"/>
    </w:lvl>
  </w:abstractNum>
  <w:abstractNum w:abstractNumId="86">
    <w:nsid w:val="230F856C"/>
    <w:multiLevelType w:val="hybridMultilevel"/>
    <w:lvl w:ilvl="0">
      <w:lvlJc w:val="left"/>
      <w:lvlText w:val="•"/>
      <w:numFmt w:val="bullet"/>
      <w:start w:val="1"/>
    </w:lvl>
  </w:abstractNum>
  <w:abstractNum w:abstractNumId="87">
    <w:nsid w:val="6EAA85FB"/>
    <w:multiLevelType w:val="hybridMultilevel"/>
    <w:lvl w:ilvl="0">
      <w:lvlJc w:val="left"/>
      <w:lvlText w:val="•"/>
      <w:numFmt w:val="bullet"/>
      <w:start w:val="1"/>
    </w:lvl>
  </w:abstractNum>
  <w:abstractNum w:abstractNumId="88">
    <w:nsid w:val="3F06ECB2"/>
    <w:multiLevelType w:val="hybridMultilevel"/>
    <w:lvl w:ilvl="0">
      <w:lvlJc w:val="left"/>
      <w:lvlText w:val="•"/>
      <w:numFmt w:val="bullet"/>
      <w:start w:val="1"/>
    </w:lvl>
  </w:abstractNum>
  <w:abstractNum w:abstractNumId="89">
    <w:nsid w:val="3B594807"/>
    <w:multiLevelType w:val="hybridMultilevel"/>
    <w:lvl w:ilvl="0">
      <w:lvlJc w:val="left"/>
      <w:lvlText w:val="•"/>
      <w:numFmt w:val="bullet"/>
      <w:start w:val="1"/>
    </w:lvl>
  </w:abstractNum>
  <w:abstractNum w:abstractNumId="90">
    <w:nsid w:val="6CAA2304"/>
    <w:multiLevelType w:val="hybridMultilevel"/>
    <w:lvl w:ilvl="0">
      <w:lvlJc w:val="left"/>
      <w:lvlText w:val="(%1)"/>
      <w:numFmt w:val="decimal"/>
      <w:start w:val="1"/>
    </w:lvl>
  </w:abstractNum>
  <w:abstractNum w:abstractNumId="91">
    <w:nsid w:val="3F7C2FF4"/>
    <w:multiLevelType w:val="hybridMultilevel"/>
    <w:lvl w:ilvl="0">
      <w:lvlJc w:val="left"/>
      <w:lvlText w:val="•"/>
      <w:numFmt w:val="bullet"/>
      <w:start w:val="1"/>
    </w:lvl>
  </w:abstractNum>
  <w:abstractNum w:abstractNumId="92">
    <w:nsid w:val="25413BEC"/>
    <w:multiLevelType w:val="hybridMultilevel"/>
    <w:lvl w:ilvl="0">
      <w:lvlJc w:val="left"/>
      <w:lvlText w:val="•"/>
      <w:numFmt w:val="bullet"/>
      <w:start w:val="1"/>
    </w:lvl>
  </w:abstractNum>
  <w:abstractNum w:abstractNumId="93">
    <w:nsid w:val="17180B0B"/>
    <w:multiLevelType w:val="hybridMultilevel"/>
    <w:lvl w:ilvl="0">
      <w:lvlJc w:val="left"/>
      <w:lvlText w:val="•"/>
      <w:numFmt w:val="bullet"/>
      <w:start w:val="1"/>
    </w:lvl>
  </w:abstractNum>
  <w:abstractNum w:abstractNumId="94">
    <w:nsid w:val="579328B9"/>
    <w:multiLevelType w:val="hybridMultilevel"/>
    <w:lvl w:ilvl="0">
      <w:lvlJc w:val="left"/>
      <w:lvlText w:val="•"/>
      <w:numFmt w:val="bullet"/>
      <w:start w:val="1"/>
    </w:lvl>
  </w:abstractNum>
  <w:abstractNum w:abstractNumId="95">
    <w:nsid w:val="5D205E20"/>
    <w:multiLevelType w:val="hybridMultilevel"/>
    <w:lvl w:ilvl="0">
      <w:lvlJc w:val="left"/>
      <w:lvlText w:val="(%1)"/>
      <w:numFmt w:val="decimal"/>
      <w:start w:val="1"/>
    </w:lvl>
  </w:abstractNum>
  <w:abstractNum w:abstractNumId="96">
    <w:nsid w:val="11CCA8BA"/>
    <w:multiLevelType w:val="hybridMultilevel"/>
    <w:lvl w:ilvl="0">
      <w:lvlJc w:val="left"/>
      <w:lvlText w:val="•"/>
      <w:numFmt w:val="bullet"/>
      <w:start w:val="1"/>
    </w:lvl>
  </w:abstractNum>
  <w:abstractNum w:abstractNumId="97">
    <w:nsid w:val="4D32AB86"/>
    <w:multiLevelType w:val="hybridMultilevel"/>
    <w:lvl w:ilvl="0">
      <w:lvlJc w:val="left"/>
      <w:lvlText w:val="•"/>
      <w:numFmt w:val="bullet"/>
      <w:start w:val="1"/>
    </w:lvl>
  </w:abstractNum>
  <w:abstractNum w:abstractNumId="98">
    <w:nsid w:val="3F07ACC3"/>
    <w:multiLevelType w:val="hybridMultilevel"/>
    <w:lvl w:ilvl="0">
      <w:lvlJc w:val="left"/>
      <w:lvlText w:val="•"/>
      <w:numFmt w:val="bullet"/>
      <w:start w:val="1"/>
    </w:lvl>
  </w:abstractNum>
  <w:abstractNum w:abstractNumId="99">
    <w:nsid w:val="6B47F63E"/>
    <w:multiLevelType w:val="hybridMultilevel"/>
    <w:lvl w:ilvl="0">
      <w:lvlJc w:val="left"/>
      <w:lvlText w:val="(%1)"/>
      <w:numFmt w:val="decimal"/>
      <w:start w:val="1"/>
    </w:lvl>
  </w:abstractNum>
  <w:abstractNum w:abstractNumId="100">
    <w:nsid w:val="5CB44A05"/>
    <w:multiLevelType w:val="hybridMultilevel"/>
    <w:lvl w:ilvl="0">
      <w:lvlJc w:val="left"/>
      <w:lvlText w:val="(%1)"/>
      <w:numFmt w:val="decimal"/>
      <w:start w:val="1"/>
    </w:lvl>
  </w:abstractNum>
  <w:abstractNum w:abstractNumId="101">
    <w:nsid w:val="16CF80F1"/>
    <w:multiLevelType w:val="hybridMultilevel"/>
    <w:lvl w:ilvl="0">
      <w:lvlJc w:val="left"/>
      <w:lvlText w:val="•"/>
      <w:numFmt w:val="bullet"/>
      <w:start w:val="1"/>
    </w:lvl>
  </w:abstractNum>
  <w:abstractNum w:abstractNumId="102">
    <w:nsid w:val="1C695DEC"/>
    <w:multiLevelType w:val="hybridMultilevel"/>
    <w:lvl w:ilvl="0">
      <w:lvlJc w:val="left"/>
      <w:lvlText w:val="•"/>
      <w:numFmt w:val="bullet"/>
      <w:start w:val="1"/>
    </w:lvl>
  </w:abstractNum>
  <w:abstractNum w:abstractNumId="103">
    <w:nsid w:val="3FCFAED9"/>
    <w:multiLevelType w:val="hybridMultilevel"/>
    <w:lvl w:ilvl="0">
      <w:lvlJc w:val="left"/>
      <w:lvlText w:val="•"/>
      <w:numFmt w:val="bullet"/>
      <w:start w:val="1"/>
    </w:lvl>
  </w:abstractNum>
  <w:abstractNum w:abstractNumId="104">
    <w:nsid w:val="F856867"/>
    <w:multiLevelType w:val="hybridMultilevel"/>
    <w:lvl w:ilvl="0">
      <w:lvlJc w:val="left"/>
      <w:lvlText w:val="•"/>
      <w:numFmt w:val="bullet"/>
      <w:start w:val="1"/>
    </w:lvl>
  </w:abstractNum>
  <w:abstractNum w:abstractNumId="105">
    <w:nsid w:val="11B1CC33"/>
    <w:multiLevelType w:val="hybridMultilevel"/>
    <w:lvl w:ilvl="0">
      <w:lvlJc w:val="left"/>
      <w:lvlText w:val="•"/>
      <w:numFmt w:val="bullet"/>
      <w:start w:val="1"/>
    </w:lvl>
  </w:abstractNum>
  <w:abstractNum w:abstractNumId="106">
    <w:nsid w:val="2E22FBB7"/>
    <w:multiLevelType w:val="hybridMultilevel"/>
    <w:lvl w:ilvl="0">
      <w:lvlJc w:val="left"/>
      <w:lvlText w:val="(%1)"/>
      <w:numFmt w:val="decimal"/>
      <w:start w:val="2"/>
    </w:lvl>
  </w:abstractNum>
  <w:abstractNum w:abstractNumId="107">
    <w:nsid w:val="29934699"/>
    <w:multiLevelType w:val="hybridMultilevel"/>
    <w:lvl w:ilvl="0">
      <w:lvlJc w:val="left"/>
      <w:lvlText w:val="•"/>
      <w:numFmt w:val="bullet"/>
      <w:start w:val="1"/>
    </w:lvl>
  </w:abstractNum>
  <w:abstractNum w:abstractNumId="108">
    <w:nsid w:val="77485850"/>
    <w:multiLevelType w:val="hybridMultilevel"/>
    <w:lvl w:ilvl="0">
      <w:lvlJc w:val="left"/>
      <w:lvlText w:val="•"/>
      <w:numFmt w:val="bullet"/>
      <w:start w:val="1"/>
    </w:lvl>
  </w:abstractNum>
  <w:abstractNum w:abstractNumId="109">
    <w:nsid w:val="744939A3"/>
    <w:multiLevelType w:val="hybridMultilevel"/>
    <w:lvl w:ilvl="0">
      <w:lvlJc w:val="left"/>
      <w:lvlText w:val="•"/>
      <w:numFmt w:val="bullet"/>
      <w:start w:val="1"/>
    </w:lvl>
  </w:abstractNum>
  <w:abstractNum w:abstractNumId="110">
    <w:nsid w:val="4FA0D2E3"/>
    <w:multiLevelType w:val="hybridMultilevel"/>
    <w:lvl w:ilvl="0">
      <w:lvlJc w:val="left"/>
      <w:lvlText w:val="(%1)"/>
      <w:numFmt w:val="decimal"/>
      <w:start w:val="1"/>
    </w:lvl>
  </w:abstractNum>
  <w:abstractNum w:abstractNumId="111">
    <w:nsid w:val="6B1D2C14"/>
    <w:multiLevelType w:val="hybridMultilevel"/>
    <w:lvl w:ilvl="0">
      <w:lvlJc w:val="left"/>
      <w:lvlText w:val="•"/>
      <w:numFmt w:val="bullet"/>
      <w:start w:val="1"/>
    </w:lvl>
  </w:abstractNum>
  <w:abstractNum w:abstractNumId="112">
    <w:nsid w:val="68B867D3"/>
    <w:multiLevelType w:val="hybridMultilevel"/>
    <w:lvl w:ilvl="0">
      <w:lvlJc w:val="left"/>
      <w:lvlText w:val="•"/>
      <w:numFmt w:val="bullet"/>
      <w:start w:val="1"/>
    </w:lvl>
  </w:abstractNum>
  <w:abstractNum w:abstractNumId="113">
    <w:nsid w:val="3F7F5DD9"/>
    <w:multiLevelType w:val="hybridMultilevel"/>
    <w:lvl w:ilvl="0">
      <w:lvlJc w:val="left"/>
      <w:lvlText w:val="•"/>
      <w:numFmt w:val="bullet"/>
      <w:start w:val="1"/>
    </w:lvl>
  </w:abstractNum>
  <w:abstractNum w:abstractNumId="114">
    <w:nsid w:val="2AE05A34"/>
    <w:multiLevelType w:val="hybridMultilevel"/>
    <w:lvl w:ilvl="0">
      <w:lvlJc w:val="left"/>
      <w:lvlText w:val="*"/>
      <w:numFmt w:val="bullet"/>
      <w:start w:val="1"/>
    </w:lvl>
  </w:abstractNum>
  <w:abstractNum w:abstractNumId="115">
    <w:nsid w:val="32794FF7"/>
    <w:multiLevelType w:val="hybridMultilevel"/>
    <w:lvl w:ilvl="0">
      <w:lvlJc w:val="left"/>
      <w:lvlText w:val="(%1)"/>
      <w:numFmt w:val="decimal"/>
      <w:start w:val="1"/>
    </w:lvl>
  </w:abstractNum>
  <w:abstractNum w:abstractNumId="116">
    <w:nsid w:val="5454945E"/>
    <w:multiLevelType w:val="hybridMultilevel"/>
    <w:lvl w:ilvl="0">
      <w:lvlJc w:val="left"/>
      <w:lvlText w:val="(%1)"/>
      <w:numFmt w:val="decimal"/>
      <w:start w:val="6"/>
    </w:lvl>
  </w:abstractNum>
  <w:abstractNum w:abstractNumId="117">
    <w:nsid w:val="4DEFDFA0"/>
    <w:multiLevelType w:val="hybridMultilevel"/>
    <w:lvl w:ilvl="0">
      <w:lvlJc w:val="left"/>
      <w:lvlText w:val="•"/>
      <w:numFmt w:val="bullet"/>
      <w:start w:val="1"/>
    </w:lvl>
  </w:abstractNum>
  <w:abstractNum w:abstractNumId="118">
    <w:nsid w:val="2123D5F2"/>
    <w:multiLevelType w:val="hybridMultilevel"/>
    <w:lvl w:ilvl="0">
      <w:lvlJc w:val="left"/>
      <w:lvlText w:val="•"/>
      <w:numFmt w:val="bullet"/>
      <w:start w:val="1"/>
    </w:lvl>
  </w:abstractNum>
  <w:abstractNum w:abstractNumId="119">
    <w:nsid w:val="135B8110"/>
    <w:multiLevelType w:val="hybridMultilevel"/>
    <w:lvl w:ilvl="0">
      <w:lvlJc w:val="left"/>
      <w:lvlText w:val="•"/>
      <w:numFmt w:val="bullet"/>
      <w:start w:val="1"/>
    </w:lvl>
  </w:abstractNum>
  <w:abstractNum w:abstractNumId="120">
    <w:nsid w:val="94927A8"/>
    <w:multiLevelType w:val="hybridMultilevel"/>
    <w:lvl w:ilvl="0">
      <w:lvlJc w:val="left"/>
      <w:lvlText w:val="•"/>
      <w:numFmt w:val="bullet"/>
      <w:start w:val="1"/>
    </w:lvl>
  </w:abstractNum>
  <w:abstractNum w:abstractNumId="121">
    <w:nsid w:val="DCDF8F6"/>
    <w:multiLevelType w:val="hybridMultilevel"/>
    <w:lvl w:ilvl="0">
      <w:lvlJc w:val="left"/>
      <w:lvlText w:val="•"/>
      <w:numFmt w:val="bullet"/>
      <w:start w:val="1"/>
    </w:lvl>
  </w:abstractNum>
  <w:abstractNum w:abstractNumId="122">
    <w:nsid w:val="52D7B105"/>
    <w:multiLevelType w:val="hybridMultilevel"/>
    <w:lvl w:ilvl="0">
      <w:lvlJc w:val="left"/>
      <w:lvlText w:val="•"/>
      <w:numFmt w:val="bullet"/>
      <w:start w:val="1"/>
    </w:lvl>
  </w:abstractNum>
  <w:abstractNum w:abstractNumId="123">
    <w:nsid w:val="2E8A6394"/>
    <w:multiLevelType w:val="hybridMultilevel"/>
    <w:lvl w:ilvl="0">
      <w:lvlJc w:val="left"/>
      <w:lvlText w:val="•"/>
      <w:numFmt w:val="bullet"/>
      <w:start w:val="1"/>
    </w:lvl>
  </w:abstractNum>
  <w:abstractNum w:abstractNumId="124">
    <w:nsid w:val="24E60401"/>
    <w:multiLevelType w:val="hybridMultilevel"/>
    <w:lvl w:ilvl="0">
      <w:lvlJc w:val="left"/>
      <w:lvlText w:val="•"/>
      <w:numFmt w:val="bullet"/>
      <w:start w:val="1"/>
    </w:lvl>
  </w:abstractNum>
  <w:abstractNum w:abstractNumId="125">
    <w:nsid w:val="2A6AD9BE"/>
    <w:multiLevelType w:val="hybridMultilevel"/>
    <w:lvl w:ilvl="0">
      <w:lvlJc w:val="left"/>
      <w:lvlText w:val="•"/>
      <w:numFmt w:val="bullet"/>
      <w:start w:val="1"/>
    </w:lvl>
  </w:abstractNum>
  <w:abstractNum w:abstractNumId="126">
    <w:nsid w:val="BAAC1B4"/>
    <w:multiLevelType w:val="hybridMultilevel"/>
    <w:lvl w:ilvl="0">
      <w:lvlJc w:val="left"/>
      <w:lvlText w:val="•"/>
      <w:numFmt w:val="bullet"/>
      <w:start w:val="1"/>
    </w:lvl>
  </w:abstractNum>
  <w:abstractNum w:abstractNumId="127">
    <w:nsid w:val="36B2ACBC"/>
    <w:multiLevelType w:val="hybridMultilevel"/>
    <w:lvl w:ilvl="0">
      <w:lvlJc w:val="left"/>
      <w:lvlText w:val="•"/>
      <w:numFmt w:val="bullet"/>
      <w:start w:val="1"/>
    </w:lvl>
  </w:abstractNum>
  <w:abstractNum w:abstractNumId="128">
    <w:nsid w:val="779D8544"/>
    <w:multiLevelType w:val="hybridMultilevel"/>
    <w:lvl w:ilvl="0">
      <w:lvlJc w:val="left"/>
      <w:lvlText w:val="%1."/>
      <w:numFmt w:val="decimal"/>
      <w:start w:val="1"/>
    </w:lvl>
  </w:abstractNum>
  <w:abstractNum w:abstractNumId="129">
    <w:nsid w:val="4AB26E78"/>
    <w:multiLevelType w:val="hybridMultilevel"/>
    <w:lvl w:ilvl="0">
      <w:lvlJc w:val="left"/>
      <w:lvlText w:val="%1."/>
      <w:numFmt w:val="decimal"/>
      <w:start w:val="2"/>
    </w:lvl>
  </w:abstractNum>
  <w:abstractNum w:abstractNumId="130">
    <w:nsid w:val="21FAA2FA"/>
    <w:multiLevelType w:val="hybridMultilevel"/>
    <w:lvl w:ilvl="0">
      <w:lvlJc w:val="left"/>
      <w:lvlText w:val="%1."/>
      <w:numFmt w:val="decimal"/>
      <w:start w:val="3"/>
    </w:lvl>
  </w:abstractNum>
  <w:abstractNum w:abstractNumId="131">
    <w:nsid w:val="5451CF49"/>
    <w:multiLevelType w:val="hybridMultilevel"/>
    <w:lvl w:ilvl="0">
      <w:lvlJc w:val="left"/>
      <w:lvlText w:val="%1."/>
      <w:numFmt w:val="decimal"/>
      <w:start w:val="4"/>
    </w:lvl>
  </w:abstractNum>
  <w:abstractNum w:abstractNumId="132">
    <w:nsid w:val="6181EF69"/>
    <w:multiLevelType w:val="hybridMultilevel"/>
    <w:lvl w:ilvl="0">
      <w:lvlJc w:val="left"/>
      <w:lvlText w:val="%1."/>
      <w:numFmt w:val="decimal"/>
      <w:start w:val="5"/>
    </w:lvl>
  </w:abstractNum>
  <w:abstractNum w:abstractNumId="133">
    <w:nsid w:val="3E6400E6"/>
    <w:multiLevelType w:val="hybridMultilevel"/>
    <w:lvl w:ilvl="0">
      <w:lvlJc w:val="left"/>
      <w:lvlText w:val="%1."/>
      <w:numFmt w:val="decimal"/>
      <w:start w:val="6"/>
    </w:lvl>
  </w:abstractNum>
  <w:abstractNum w:abstractNumId="134">
    <w:nsid w:val="14217E23"/>
    <w:multiLevelType w:val="hybridMultilevel"/>
    <w:lvl w:ilvl="0">
      <w:lvlJc w:val="left"/>
      <w:lvlText w:val="%1."/>
      <w:numFmt w:val="decimal"/>
      <w:start w:val="7"/>
    </w:lvl>
  </w:abstractNum>
  <w:abstractNum w:abstractNumId="135">
    <w:nsid w:val="710757D0"/>
    <w:multiLevelType w:val="hybridMultilevel"/>
    <w:lvl w:ilvl="0">
      <w:lvlJc w:val="left"/>
      <w:lvlText w:val="•"/>
      <w:numFmt w:val="bullet"/>
      <w:start w:val="1"/>
    </w:lvl>
  </w:abstractNum>
  <w:abstractNum w:abstractNumId="136">
    <w:nsid w:val="5015CD1A"/>
    <w:multiLevelType w:val="hybridMultilevel"/>
    <w:lvl w:ilvl="0">
      <w:lvlJc w:val="left"/>
      <w:lvlText w:val="•"/>
      <w:numFmt w:val="bullet"/>
      <w:start w:val="1"/>
    </w:lvl>
  </w:abstractNum>
  <w:abstractNum w:abstractNumId="137">
    <w:nsid w:val="424479DA"/>
    <w:multiLevelType w:val="hybridMultilevel"/>
    <w:lvl w:ilvl="0">
      <w:lvlJc w:val="left"/>
      <w:lvlText w:val="%1."/>
      <w:numFmt w:val="decimal"/>
      <w:start w:val="8"/>
    </w:lvl>
  </w:abstractNum>
  <w:abstractNum w:abstractNumId="138">
    <w:nsid w:val="1A9A9E69"/>
    <w:multiLevelType w:val="hybridMultilevel"/>
    <w:lvl w:ilvl="0">
      <w:lvlJc w:val="left"/>
      <w:lvlText w:val="%1."/>
      <w:numFmt w:val="decimal"/>
      <w:start w:val="9"/>
    </w:lvl>
  </w:abstractNum>
  <w:abstractNum w:abstractNumId="139">
    <w:nsid w:val="475E256A"/>
    <w:multiLevelType w:val="hybridMultilevel"/>
    <w:lvl w:ilvl="0">
      <w:lvlJc w:val="left"/>
      <w:lvlText w:val="%1."/>
      <w:numFmt w:val="decimal"/>
      <w:start w:val="10"/>
    </w:lvl>
  </w:abstractNum>
  <w:abstractNum w:abstractNumId="140">
    <w:nsid w:val="368DB37E"/>
    <w:multiLevelType w:val="hybridMultilevel"/>
    <w:lvl w:ilvl="0">
      <w:lvlJc w:val="left"/>
      <w:lvlText w:val="%1."/>
      <w:numFmt w:val="decimal"/>
      <w:start w:val="11"/>
    </w:lvl>
  </w:abstractNum>
  <w:abstractNum w:abstractNumId="141">
    <w:nsid w:val="6A3B714C"/>
    <w:multiLevelType w:val="hybridMultilevel"/>
    <w:lvl w:ilvl="0">
      <w:lvlJc w:val="left"/>
      <w:lvlText w:val="%1."/>
      <w:numFmt w:val="decimal"/>
      <w:start w:val="12"/>
    </w:lvl>
  </w:abstractNum>
  <w:abstractNum w:abstractNumId="142">
    <w:nsid w:val="327B517E"/>
    <w:multiLevelType w:val="hybridMultilevel"/>
    <w:lvl w:ilvl="0">
      <w:lvlJc w:val="left"/>
      <w:lvlText w:val="•"/>
      <w:numFmt w:val="bullet"/>
      <w:start w:val="1"/>
    </w:lvl>
  </w:abstractNum>
  <w:abstractNum w:abstractNumId="143">
    <w:nsid w:val="1F461B51"/>
    <w:multiLevelType w:val="hybridMultilevel"/>
    <w:lvl w:ilvl="0">
      <w:lvlJc w:val="left"/>
      <w:lvlText w:val="•"/>
      <w:numFmt w:val="bullet"/>
      <w:start w:val="1"/>
    </w:lvl>
  </w:abstractNum>
  <w:abstractNum w:abstractNumId="144">
    <w:nsid w:val="29BACF25"/>
    <w:multiLevelType w:val="hybridMultilevel"/>
    <w:lvl w:ilvl="0">
      <w:lvlJc w:val="left"/>
      <w:lvlText w:val="%1."/>
      <w:numFmt w:val="decimal"/>
      <w:start w:val="13"/>
    </w:lvl>
  </w:abstractNum>
  <w:abstractNum w:abstractNumId="145">
    <w:nsid w:val="5D5BABB3"/>
    <w:multiLevelType w:val="hybridMultilevel"/>
    <w:lvl w:ilvl="0">
      <w:lvlJc w:val="left"/>
      <w:lvlText w:val="%1."/>
      <w:numFmt w:val="decimal"/>
      <w:start w:val="14"/>
    </w:lvl>
  </w:abstractNum>
  <w:abstractNum w:abstractNumId="146">
    <w:nsid w:val="51BF6B48"/>
    <w:multiLevelType w:val="hybridMultilevel"/>
    <w:lvl w:ilvl="0">
      <w:lvlJc w:val="left"/>
      <w:lvlText w:val="%1."/>
      <w:numFmt w:val="decimal"/>
      <w:start w:val="15"/>
    </w:lvl>
  </w:abstractNum>
  <w:abstractNum w:abstractNumId="147">
    <w:nsid w:val="7E0F6384"/>
    <w:multiLevelType w:val="hybridMultilevel"/>
    <w:lvl w:ilvl="0">
      <w:lvlJc w:val="left"/>
      <w:lvlText w:val="%1."/>
      <w:numFmt w:val="decimal"/>
      <w:start w:val="16"/>
    </w:lvl>
  </w:abstractNum>
  <w:abstractNum w:abstractNumId="148">
    <w:nsid w:val="2B4B8B53"/>
    <w:multiLevelType w:val="hybridMultilevel"/>
    <w:lvl w:ilvl="0">
      <w:lvlJc w:val="left"/>
      <w:lvlText w:val="%1."/>
      <w:numFmt w:val="decimal"/>
      <w:start w:val="17"/>
    </w:lvl>
  </w:abstractNum>
  <w:abstractNum w:abstractNumId="149">
    <w:nsid w:val="72E3413A"/>
    <w:multiLevelType w:val="hybridMultilevel"/>
    <w:lvl w:ilvl="0">
      <w:lvlJc w:val="left"/>
      <w:lvlText w:val="(%1)"/>
      <w:numFmt w:val="lowerLetter"/>
      <w:start w:val="1"/>
    </w:lvl>
  </w:abstractNum>
  <w:abstractNum w:abstractNumId="150">
    <w:nsid w:val="116AE494"/>
    <w:multiLevelType w:val="hybridMultilevel"/>
    <w:lvl w:ilvl="0">
      <w:lvlJc w:val="left"/>
      <w:lvlText w:val="(%1)"/>
      <w:numFmt w:val="lowerLetter"/>
      <w:start w:val="2"/>
    </w:lvl>
  </w:abstractNum>
  <w:abstractNum w:abstractNumId="151">
    <w:nsid w:val="3494B2FB"/>
    <w:multiLevelType w:val="hybridMultilevel"/>
    <w:lvl w:ilvl="0">
      <w:lvlJc w:val="left"/>
      <w:lvlText w:val="(%1)"/>
      <w:numFmt w:val="lowerLetter"/>
      <w:start w:val="3"/>
    </w:lvl>
  </w:abstractNum>
  <w:abstractNum w:abstractNumId="152">
    <w:nsid w:val="B13A31"/>
    <w:multiLevelType w:val="hybridMultilevel"/>
    <w:lvl w:ilvl="0">
      <w:lvlJc w:val="left"/>
      <w:lvlText w:val="(%1)"/>
      <w:numFmt w:val="lowerLetter"/>
      <w:start w:val="4"/>
    </w:lvl>
  </w:abstractNum>
  <w:abstractNum w:abstractNumId="153">
    <w:nsid w:val="64429599"/>
    <w:multiLevelType w:val="hybridMultilevel"/>
    <w:lvl w:ilvl="0">
      <w:lvlJc w:val="left"/>
      <w:lvlText w:val="(%1)"/>
      <w:numFmt w:val="lowerLetter"/>
      <w:start w:val="5"/>
    </w:lvl>
  </w:abstractNum>
  <w:abstractNum w:abstractNumId="154">
    <w:nsid w:val="631F1690"/>
    <w:multiLevelType w:val="hybridMultilevel"/>
    <w:lvl w:ilvl="0">
      <w:lvlJc w:val="left"/>
      <w:lvlText w:val="(%1)"/>
      <w:numFmt w:val="lowerLetter"/>
      <w:start w:val="6"/>
    </w:lvl>
  </w:abstractNum>
  <w:abstractNum w:abstractNumId="155">
    <w:nsid w:val="25973E32"/>
    <w:multiLevelType w:val="hybridMultilevel"/>
    <w:lvl w:ilvl="0">
      <w:lvlJc w:val="left"/>
      <w:lvlText w:val="(%1)"/>
      <w:numFmt w:val="lowerLetter"/>
      <w:start w:val="7"/>
    </w:lvl>
  </w:abstractNum>
  <w:abstractNum w:abstractNumId="156">
    <w:nsid w:val="EAD6F57"/>
    <w:multiLevelType w:val="hybridMultilevel"/>
    <w:lvl w:ilvl="0">
      <w:lvlJc w:val="left"/>
      <w:lvlText w:val="(%1)"/>
      <w:numFmt w:val="lowerLetter"/>
      <w:start w:val="8"/>
    </w:lvl>
  </w:abstractNum>
  <w:abstractNum w:abstractNumId="157">
    <w:nsid w:val="6EC9D844"/>
    <w:multiLevelType w:val="hybridMultilevel"/>
    <w:lvl w:ilvl="0">
      <w:lvlJc w:val="left"/>
      <w:lvlText w:val="(%1)"/>
      <w:numFmt w:val="lowerRoman"/>
      <w:start w:val="1"/>
    </w:lvl>
  </w:abstractNum>
  <w:abstractNum w:abstractNumId="158">
    <w:nsid w:val="5C49EAEE"/>
    <w:multiLevelType w:val="hybridMultilevel"/>
    <w:lvl w:ilvl="0">
      <w:lvlJc w:val="left"/>
      <w:lvlText w:val="%1."/>
      <w:numFmt w:val="decimal"/>
      <w:start w:val="1"/>
    </w:lvl>
  </w:abstractNum>
  <w:abstractNum w:abstractNumId="159">
    <w:nsid w:val="64AF49B"/>
    <w:multiLevelType w:val="hybridMultilevel"/>
    <w:lvl w:ilvl="0">
      <w:lvlJc w:val="left"/>
      <w:lvlText w:val="%1."/>
      <w:numFmt w:val="decimal"/>
      <w:start w:val="2"/>
    </w:lvl>
  </w:abstractNum>
  <w:abstractNum w:abstractNumId="160">
    <w:nsid w:val="397C46BC"/>
    <w:multiLevelType w:val="hybridMultilevel"/>
    <w:lvl w:ilvl="0">
      <w:lvlJc w:val="left"/>
      <w:lvlText w:val="%1)"/>
      <w:numFmt w:val="decimal"/>
      <w:start w:val="3"/>
    </w:lvl>
  </w:abstractNum>
  <w:abstractNum w:abstractNumId="161">
    <w:nsid w:val="7E448DE9"/>
    <w:multiLevelType w:val="hybridMultilevel"/>
    <w:lvl w:ilvl="0">
      <w:lvlJc w:val="left"/>
      <w:lvlText w:val="%1."/>
      <w:numFmt w:val="decimal"/>
      <w:start w:val="4"/>
    </w:lvl>
  </w:abstractNum>
  <w:abstractNum w:abstractNumId="162">
    <w:nsid w:val="5A9CC3E5"/>
    <w:multiLevelType w:val="hybridMultilevel"/>
    <w:lvl w:ilvl="0">
      <w:lvlJc w:val="left"/>
      <w:lvlText w:val="%1."/>
      <w:numFmt w:val="decimal"/>
      <w:start w:val="5"/>
    </w:lvl>
  </w:abstractNum>
  <w:abstractNum w:abstractNumId="163">
    <w:nsid w:val="1AFE3625"/>
    <w:multiLevelType w:val="hybridMultilevel"/>
    <w:lvl w:ilvl="0">
      <w:lvlJc w:val="left"/>
      <w:lvlText w:val="%1."/>
      <w:numFmt w:val="decimal"/>
      <w:start w:val="6"/>
    </w:lvl>
  </w:abstractNum>
  <w:abstractNum w:abstractNumId="164">
    <w:nsid w:val="3CA88ECF"/>
    <w:multiLevelType w:val="hybridMultilevel"/>
    <w:lvl w:ilvl="0">
      <w:lvlJc w:val="left"/>
      <w:lvlText w:val="•"/>
      <w:numFmt w:val="bullet"/>
      <w:start w:val="1"/>
    </w:lvl>
  </w:abstractNum>
  <w:abstractNum w:abstractNumId="165">
    <w:nsid w:val="6EBE4208"/>
    <w:multiLevelType w:val="hybridMultilevel"/>
    <w:lvl w:ilvl="0">
      <w:lvlJc w:val="left"/>
      <w:lvlText w:val="•"/>
      <w:numFmt w:val="bullet"/>
      <w:start w:val="1"/>
    </w:lvl>
  </w:abstractNum>
  <w:abstractNum w:abstractNumId="166">
    <w:nsid w:val="C058DF5"/>
    <w:multiLevelType w:val="hybridMultilevel"/>
    <w:lvl w:ilvl="0">
      <w:lvlJc w:val="left"/>
      <w:lvlText w:val="%1."/>
      <w:numFmt w:val="decimal"/>
      <w:start w:val="7"/>
    </w:lvl>
  </w:abstractNum>
  <w:abstractNum w:abstractNumId="167">
    <w:nsid w:val="CBE5BE9"/>
    <w:multiLevelType w:val="hybridMultilevel"/>
    <w:lvl w:ilvl="0">
      <w:lvlJc w:val="left"/>
      <w:lvlText w:val="%1."/>
      <w:numFmt w:val="decimal"/>
      <w:start w:val="8"/>
    </w:lvl>
  </w:abstractNum>
  <w:abstractNum w:abstractNumId="168">
    <w:nsid w:val="3102BBE2"/>
    <w:multiLevelType w:val="hybridMultilevel"/>
    <w:lvl w:ilvl="0">
      <w:lvlJc w:val="left"/>
      <w:lvlText w:val="%1."/>
      <w:numFmt w:val="decimal"/>
      <w:start w:val="9"/>
    </w:lvl>
  </w:abstractNum>
  <w:abstractNum w:abstractNumId="169">
    <w:nsid w:val="26A02C5E"/>
    <w:multiLevelType w:val="hybridMultilevel"/>
    <w:lvl w:ilvl="0">
      <w:lvlJc w:val="left"/>
      <w:lvlText w:val="%1."/>
      <w:numFmt w:val="decimal"/>
      <w:start w:val="10"/>
    </w:lvl>
  </w:abstractNum>
  <w:abstractNum w:abstractNumId="170">
    <w:nsid w:val="541C8153"/>
    <w:multiLevelType w:val="hybridMultilevel"/>
    <w:lvl w:ilvl="0">
      <w:lvlJc w:val="left"/>
      <w:lvlText w:val="%1."/>
      <w:numFmt w:val="decimal"/>
      <w:start w:val="11"/>
    </w:lvl>
  </w:abstractNum>
  <w:abstractNum w:abstractNumId="171">
    <w:nsid w:val="67906F60"/>
    <w:multiLevelType w:val="hybridMultilevel"/>
    <w:lvl w:ilvl="0">
      <w:lvlJc w:val="left"/>
      <w:lvlText w:val="•"/>
      <w:numFmt w:val="bullet"/>
      <w:start w:val="1"/>
    </w:lvl>
  </w:abstractNum>
  <w:abstractNum w:abstractNumId="172">
    <w:nsid w:val="10DB9DAA"/>
    <w:multiLevelType w:val="hybridMultilevel"/>
    <w:lvl w:ilvl="0">
      <w:lvlJc w:val="left"/>
      <w:lvlText w:val="%1."/>
      <w:numFmt w:val="decimal"/>
      <w:start w:val="12"/>
    </w:lvl>
  </w:abstractNum>
  <w:abstractNum w:abstractNumId="173">
    <w:nsid w:val="697D2D2"/>
    <w:multiLevelType w:val="hybridMultilevel"/>
    <w:lvl w:ilvl="0">
      <w:lvlJc w:val="left"/>
      <w:lvlText w:val="%1."/>
      <w:numFmt w:val="decimal"/>
      <w:start w:val="13"/>
    </w:lvl>
  </w:abstractNum>
  <w:abstractNum w:abstractNumId="174">
    <w:nsid w:val="6D68AB2"/>
    <w:multiLevelType w:val="hybridMultilevel"/>
    <w:lvl w:ilvl="0">
      <w:lvlJc w:val="left"/>
      <w:lvlText w:val="(%1)"/>
      <w:numFmt w:val="lowerLetter"/>
      <w:start w:val="1"/>
    </w:lvl>
  </w:abstractNum>
  <w:abstractNum w:abstractNumId="175">
    <w:nsid w:val="3A966CD0"/>
    <w:multiLevelType w:val="hybridMultilevel"/>
    <w:lvl w:ilvl="0">
      <w:lvlJc w:val="left"/>
      <w:lvlText w:val="(%1)"/>
      <w:numFmt w:val="lowerLetter"/>
      <w:start w:val="5"/>
    </w:lvl>
  </w:abstractNum>
  <w:abstractNum w:abstractNumId="176">
    <w:nsid w:val="63F37E85"/>
    <w:multiLevelType w:val="hybridMultilevel"/>
    <w:lvl w:ilvl="0">
      <w:lvlJc w:val="left"/>
      <w:lvlText w:val="(%1)"/>
      <w:numFmt w:val="lowerLetter"/>
      <w:start w:val="10"/>
    </w:lvl>
  </w:abstractNum>
  <w:abstractNum w:abstractNumId="177">
    <w:nsid w:val="5895F5FA"/>
    <w:multiLevelType w:val="hybridMultilevel"/>
    <w:lvl w:ilvl="0">
      <w:lvlJc w:val="left"/>
      <w:lvlText w:val="+"/>
      <w:numFmt w:val="bullet"/>
      <w:start w:val="1"/>
    </w:lvl>
  </w:abstractNum>
  <w:abstractNum w:abstractNumId="178">
    <w:nsid w:val="38A5D054"/>
    <w:multiLevelType w:val="hybridMultilevel"/>
    <w:lvl w:ilvl="0">
      <w:lvlJc w:val="left"/>
      <w:lvlText w:val="†"/>
      <w:numFmt w:val="bullet"/>
      <w:start w:val="1"/>
    </w:lvl>
  </w:abstractNum>
  <w:abstractNum w:abstractNumId="179">
    <w:nsid w:val="F3F09D8"/>
    <w:multiLevelType w:val="hybridMultilevel"/>
    <w:lvl w:ilvl="0">
      <w:lvlJc w:val="left"/>
      <w:lvlText w:val="(%1)"/>
      <w:numFmt w:val="decimal"/>
      <w:start w:val="1"/>
    </w:lvl>
  </w:abstractNum>
  <w:abstractNum w:abstractNumId="180">
    <w:nsid w:val="4B793735"/>
    <w:multiLevelType w:val="hybridMultilevel"/>
    <w:lvl w:ilvl="0">
      <w:lvlJc w:val="left"/>
      <w:lvlText w:val="[●]"/>
      <w:numFmt w:val="bullet"/>
      <w:start w:val="1"/>
    </w:lvl>
  </w:abstractNum>
  <w:abstractNum w:abstractNumId="181">
    <w:nsid w:val="4A10B4E8"/>
    <w:multiLevelType w:val="hybridMultilevel"/>
    <w:lvl w:ilvl="0">
      <w:lvlJc w:val="left"/>
      <w:lvlText w:val="%1."/>
      <w:numFmt w:val="decimal"/>
      <w:start w:val="1"/>
    </w:lvl>
    <w:lvl w:ilvl="1">
      <w:lvlJc w:val="left"/>
      <w:lvlText w:val="(%2)"/>
      <w:numFmt w:val="lowerLetter"/>
      <w:start w:val="1"/>
    </w:lvl>
  </w:abstractNum>
  <w:abstractNum w:abstractNumId="182">
    <w:nsid w:val="43D3BCD4"/>
    <w:multiLevelType w:val="hybridMultilevel"/>
    <w:lvl w:ilvl="0">
      <w:lvlJc w:val="left"/>
      <w:lvlText w:val="(%1)"/>
      <w:numFmt w:val="lowerLetter"/>
      <w:start w:val="2"/>
    </w:lvl>
  </w:abstractNum>
  <w:abstractNum w:abstractNumId="183">
    <w:nsid w:val="4C2A7166"/>
    <w:multiLevelType w:val="hybridMultilevel"/>
    <w:lvl w:ilvl="0">
      <w:lvlJc w:val="left"/>
      <w:lvlText w:val="%1"/>
      <w:numFmt w:val="lowerLetter"/>
      <w:start w:val="1"/>
    </w:lvl>
    <w:lvl w:ilvl="1">
      <w:lvlJc w:val="left"/>
      <w:lvlText w:val="(%2)"/>
      <w:numFmt w:val="lowerLetter"/>
      <w:start w:val="5"/>
    </w:lvl>
  </w:abstractNum>
  <w:abstractNum w:abstractNumId="184">
    <w:nsid w:val="2E534A82"/>
    <w:multiLevelType w:val="hybridMultilevel"/>
    <w:lvl w:ilvl="0">
      <w:lvlJc w:val="left"/>
      <w:lvlText w:val="(%1)"/>
      <w:numFmt w:val="lowerLetter"/>
      <w:start w:val="9"/>
    </w:lvl>
    <w:lvl w:ilvl="1">
      <w:lvlJc w:val="left"/>
      <w:lvlText w:val="(%2)"/>
      <w:numFmt w:val="lowerLetter"/>
      <w:start w:val="6"/>
    </w:lvl>
  </w:abstractNum>
  <w:abstractNum w:abstractNumId="185">
    <w:nsid w:val="26F2D364"/>
    <w:multiLevelType w:val="hybridMultilevel"/>
    <w:lvl w:ilvl="0">
      <w:lvlJc w:val="left"/>
      <w:lvlText w:val="(%1)"/>
      <w:numFmt w:val="lowerLetter"/>
      <w:start w:val="9"/>
    </w:lvl>
  </w:abstractNum>
  <w:abstractNum w:abstractNumId="186">
    <w:nsid w:val="71C1AF98"/>
    <w:multiLevelType w:val="hybridMultilevel"/>
    <w:lvl w:ilvl="0">
      <w:lvlJc w:val="left"/>
      <w:lvlText w:val="(%1)"/>
      <w:numFmt w:val="lowerLetter"/>
      <w:start w:val="14"/>
    </w:lvl>
  </w:abstractNum>
  <w:abstractNum w:abstractNumId="187">
    <w:nsid w:val="3D00B9D9"/>
    <w:multiLevelType w:val="hybridMultilevel"/>
    <w:lvl w:ilvl="0">
      <w:lvlJc w:val="left"/>
      <w:lvlText w:val="(%1)"/>
      <w:numFmt w:val="lowerLetter"/>
      <w:start w:val="20"/>
    </w:lvl>
  </w:abstractNum>
  <w:abstractNum w:abstractNumId="188">
    <w:nsid w:val="15BCABA8"/>
    <w:multiLevelType w:val="hybridMultilevel"/>
    <w:lvl w:ilvl="0">
      <w:lvlJc w:val="left"/>
      <w:lvlText w:val="(%1)"/>
      <w:numFmt w:val="lowerLetter"/>
      <w:start w:val="27"/>
    </w:lvl>
  </w:abstractNum>
  <w:abstractNum w:abstractNumId="189">
    <w:nsid w:val="4E0B9A87"/>
    <w:multiLevelType w:val="hybridMultilevel"/>
    <w:lvl w:ilvl="0">
      <w:lvlJc w:val="left"/>
      <w:lvlText w:val="(%1)"/>
      <w:numFmt w:val="lowerLetter"/>
      <w:start w:val="32"/>
    </w:lvl>
  </w:abstractNum>
  <w:abstractNum w:abstractNumId="190">
    <w:nsid w:val="434BAE75"/>
    <w:multiLevelType w:val="hybridMultilevel"/>
    <w:lvl w:ilvl="0">
      <w:lvlJc w:val="left"/>
      <w:lvlText w:val="(%1)"/>
      <w:numFmt w:val="lowerLetter"/>
      <w:start w:val="36"/>
    </w:lvl>
  </w:abstractNum>
  <w:abstractNum w:abstractNumId="191">
    <w:nsid w:val="4F38F265"/>
    <w:multiLevelType w:val="hybridMultilevel"/>
    <w:lvl w:ilvl="0">
      <w:lvlJc w:val="left"/>
      <w:lvlText w:val="%1"/>
      <w:numFmt w:val="lowerLetter"/>
      <w:start w:val="1"/>
    </w:lvl>
    <w:lvl w:ilvl="1">
      <w:lvlJc w:val="left"/>
      <w:lvlText w:val="(%2)"/>
      <w:numFmt w:val="lowerLetter"/>
      <w:start w:val="35"/>
    </w:lvl>
  </w:abstractNum>
  <w:abstractNum w:abstractNumId="192">
    <w:nsid w:val="4C502870"/>
    <w:multiLevelType w:val="hybridMultilevel"/>
    <w:lvl w:ilvl="0">
      <w:lvlJc w:val="left"/>
      <w:lvlText w:val="(%1)"/>
      <w:numFmt w:val="lowerLetter"/>
      <w:start w:val="37"/>
    </w:lvl>
    <w:lvl w:ilvl="1">
      <w:lvlJc w:val="left"/>
      <w:lvlText w:val="%2"/>
      <w:numFmt w:val="lowerLetter"/>
      <w:start w:val="1"/>
    </w:lvl>
  </w:abstractNum>
  <w:abstractNum w:abstractNumId="193">
    <w:nsid w:val="1DE8725A"/>
    <w:multiLevelType w:val="hybridMultilevel"/>
    <w:lvl w:ilvl="0">
      <w:lvlJc w:val="left"/>
      <w:lvlText w:val="(%1)"/>
      <w:numFmt w:val="lowerLetter"/>
      <w:start w:val="38"/>
    </w:lvl>
  </w:abstractNum>
  <w:abstractNum w:abstractNumId="194">
    <w:nsid w:val="6A37288A"/>
    <w:multiLevelType w:val="hybridMultilevel"/>
    <w:lvl w:ilvl="0">
      <w:lvlJc w:val="left"/>
      <w:lvlText w:val="%1"/>
      <w:numFmt w:val="decimal"/>
      <w:start w:val="1"/>
    </w:lvl>
    <w:lvl w:ilvl="1">
      <w:lvlJc w:val="left"/>
      <w:lvlText w:val="(%2)"/>
      <w:numFmt w:val="lowerLetter"/>
      <w:start w:val="44"/>
    </w:lvl>
  </w:abstractNum>
  <w:abstractNum w:abstractNumId="195">
    <w:nsid w:val="8F8B73F"/>
    <w:multiLevelType w:val="hybridMultilevel"/>
    <w:lvl w:ilvl="0">
      <w:lvlJc w:val="left"/>
      <w:lvlText w:val="%1."/>
      <w:numFmt w:val="decimal"/>
      <w:start w:val="2"/>
    </w:lvl>
    <w:lvl w:ilvl="1">
      <w:lvlJc w:val="left"/>
      <w:lvlText w:val="%2"/>
      <w:numFmt w:val="lowerLetter"/>
      <w:start w:val="1"/>
    </w:lvl>
  </w:abstractNum>
  <w:abstractNum w:abstractNumId="196">
    <w:nsid w:val="CA6B462"/>
    <w:multiLevelType w:val="hybridMultilevel"/>
    <w:lvl w:ilvl="0">
      <w:lvlJc w:val="left"/>
      <w:lvlText w:val="(%1)"/>
      <w:numFmt w:val="lowerRoman"/>
      <w:start w:val="1"/>
    </w:lvl>
  </w:abstractNum>
  <w:abstractNum w:abstractNumId="197">
    <w:nsid w:val="763CB680"/>
    <w:multiLevelType w:val="hybridMultilevel"/>
    <w:lvl w:ilvl="0">
      <w:lvlJc w:val="left"/>
      <w:lvlText w:val="%1."/>
      <w:numFmt w:val="decimal"/>
      <w:start w:val="3"/>
    </w:lvl>
    <w:lvl w:ilvl="1">
      <w:lvlJc w:val="left"/>
      <w:lvlText w:val="(%2)"/>
      <w:numFmt w:val="lowerLetter"/>
      <w:start w:val="1"/>
    </w:lvl>
  </w:abstractNum>
  <w:abstractNum w:abstractNumId="198">
    <w:nsid w:val="15B71329"/>
    <w:multiLevelType w:val="hybridMultilevel"/>
    <w:lvl w:ilvl="0">
      <w:lvlJc w:val="left"/>
      <w:lvlText w:val="(%1)"/>
      <w:numFmt w:val="lowerLetter"/>
      <w:start w:val="2"/>
    </w:lvl>
  </w:abstractNum>
  <w:abstractNum w:abstractNumId="199">
    <w:nsid w:val="3DA97044"/>
    <w:multiLevelType w:val="hybridMultilevel"/>
    <w:lvl w:ilvl="0">
      <w:lvlJc w:val="left"/>
      <w:lvlText w:val="(%1)"/>
      <w:numFmt w:val="lowerLetter"/>
      <w:start w:val="1"/>
    </w:lvl>
    <w:lvl w:ilvl="1">
      <w:lvlJc w:val="left"/>
      <w:lvlText w:val="(%2)"/>
      <w:numFmt w:val="lowerLetter"/>
      <w:start w:val="6"/>
    </w:lvl>
  </w:abstractNum>
  <w:abstractNum w:abstractNumId="200">
    <w:nsid w:val="1CDCE2DE"/>
    <w:multiLevelType w:val="hybridMultilevel"/>
    <w:lvl w:ilvl="0">
      <w:lvlJc w:val="left"/>
      <w:lvlText w:val="%1"/>
      <w:numFmt w:val="decimal"/>
      <w:start w:val="1"/>
    </w:lvl>
    <w:lvl w:ilvl="1">
      <w:lvlJc w:val="left"/>
      <w:lvlText w:val="(%2)"/>
      <w:numFmt w:val="lowerLetter"/>
      <w:start w:val="8"/>
    </w:lvl>
  </w:abstractNum>
  <w:abstractNum w:abstractNumId="201">
    <w:nsid w:val="69D3947C"/>
    <w:multiLevelType w:val="hybridMultilevel"/>
    <w:lvl w:ilvl="0">
      <w:lvlJc w:val="left"/>
      <w:lvlText w:val="%1."/>
      <w:numFmt w:val="decimal"/>
      <w:start w:val="6"/>
    </w:lvl>
    <w:lvl w:ilvl="1">
      <w:lvlJc w:val="left"/>
      <w:lvlText w:val="(%2)"/>
      <w:numFmt w:val="lowerLetter"/>
      <w:start w:val="1"/>
    </w:lvl>
  </w:abstractNum>
  <w:abstractNum w:abstractNumId="202">
    <w:nsid w:val="2539DFA5"/>
    <w:multiLevelType w:val="hybridMultilevel"/>
    <w:lvl w:ilvl="0">
      <w:lvlJc w:val="left"/>
      <w:lvlText w:val="%1"/>
      <w:numFmt w:val="decimal"/>
      <w:start w:val="1"/>
    </w:lvl>
    <w:lvl w:ilvl="1">
      <w:lvlJc w:val="left"/>
      <w:lvlText w:val="(%2)"/>
      <w:numFmt w:val="lowerLetter"/>
      <w:start w:val="3"/>
    </w:lvl>
  </w:abstractNum>
  <w:abstractNum w:abstractNumId="203">
    <w:nsid w:val="2DB88089"/>
    <w:multiLevelType w:val="hybridMultilevel"/>
    <w:lvl w:ilvl="0">
      <w:lvlJc w:val="left"/>
      <w:lvlText w:val="%1."/>
      <w:numFmt w:val="decimal"/>
      <w:start w:val="7"/>
    </w:lvl>
    <w:lvl w:ilvl="1">
      <w:lvlJc w:val="left"/>
      <w:lvlText w:val="(%2)"/>
      <w:numFmt w:val="lowerLetter"/>
      <w:start w:val="1"/>
    </w:lvl>
  </w:abstractNum>
  <w:abstractNum w:abstractNumId="204">
    <w:nsid w:val="706B674E"/>
    <w:multiLevelType w:val="hybridMultilevel"/>
    <w:lvl w:ilvl="0">
      <w:lvlJc w:val="left"/>
      <w:lvlText w:val="(%1)"/>
      <w:numFmt w:val="lowerLetter"/>
      <w:start w:val="2"/>
    </w:lvl>
  </w:abstractNum>
  <w:abstractNum w:abstractNumId="205">
    <w:nsid w:val="2C106A57"/>
    <w:multiLevelType w:val="hybridMultilevel"/>
    <w:lvl w:ilvl="0">
      <w:lvlJc w:val="left"/>
      <w:lvlText w:val="%1"/>
      <w:numFmt w:val="decimal"/>
      <w:start w:val="1"/>
    </w:lvl>
    <w:lvl w:ilvl="1">
      <w:lvlJc w:val="left"/>
      <w:lvlText w:val="(%2)"/>
      <w:numFmt w:val="lowerLetter"/>
      <w:start w:val="7"/>
    </w:lvl>
  </w:abstractNum>
  <w:abstractNum w:abstractNumId="206">
    <w:nsid w:val="684EED59"/>
    <w:multiLevelType w:val="hybridMultilevel"/>
    <w:lvl w:ilvl="0">
      <w:lvlJc w:val="left"/>
      <w:lvlText w:val="%1."/>
      <w:numFmt w:val="decimal"/>
      <w:start w:val="9"/>
    </w:lvl>
    <w:lvl w:ilvl="1">
      <w:lvlJc w:val="left"/>
      <w:lvlText w:val="%2"/>
      <w:numFmt w:val="lowerLetter"/>
      <w:start w:val="1"/>
    </w:lvl>
  </w:abstractNum>
  <w:abstractNum w:abstractNumId="207">
    <w:nsid w:val="545EE5D3"/>
    <w:multiLevelType w:val="hybridMultilevel"/>
    <w:lvl w:ilvl="0">
      <w:lvlJc w:val="left"/>
      <w:lvlText w:val="(%1)"/>
      <w:numFmt w:val="lowerLetter"/>
      <w:start w:val="1"/>
    </w:lvl>
  </w:abstractNum>
  <w:abstractNum w:abstractNumId="208">
    <w:nsid w:val="4A66051"/>
    <w:multiLevelType w:val="hybridMultilevel"/>
    <w:lvl w:ilvl="0">
      <w:lvlJc w:val="left"/>
      <w:lvlText w:val="(%1)"/>
      <w:numFmt w:val="lowerLetter"/>
      <w:start w:val="3"/>
    </w:lvl>
  </w:abstractNum>
  <w:abstractNum w:abstractNumId="209">
    <w:nsid w:val="20F4BDAD"/>
    <w:multiLevelType w:val="hybridMultilevel"/>
    <w:lvl w:ilvl="0">
      <w:lvlJc w:val="left"/>
      <w:lvlText w:val="(%1)"/>
      <w:numFmt w:val="lowerLetter"/>
      <w:start w:val="1"/>
    </w:lvl>
    <w:lvl w:ilvl="1">
      <w:lvlJc w:val="left"/>
      <w:lvlText w:val="(%2)"/>
      <w:numFmt w:val="lowerLetter"/>
      <w:start w:val="1"/>
    </w:lvl>
  </w:abstractNum>
  <w:abstractNum w:abstractNumId="210">
    <w:nsid w:val="639DEFAC"/>
    <w:multiLevelType w:val="hybridMultilevel"/>
    <w:lvl w:ilvl="0">
      <w:lvlJc w:val="left"/>
      <w:lvlText w:val="%1."/>
      <w:numFmt w:val="decimal"/>
      <w:start w:val="11"/>
    </w:lvl>
  </w:abstractNum>
  <w:abstractNum w:abstractNumId="211">
    <w:nsid w:val="501F9786"/>
    <w:multiLevelType w:val="hybridMultilevel"/>
    <w:lvl w:ilvl="0">
      <w:lvlJc w:val="left"/>
      <w:lvlText w:val="%1."/>
      <w:numFmt w:val="decimal"/>
      <w:start w:val="13"/>
    </w:lvl>
  </w:abstractNum>
  <w:abstractNum w:abstractNumId="212">
    <w:nsid w:val="6B057295"/>
    <w:multiLevelType w:val="hybridMultilevel"/>
    <w:lvl w:ilvl="0">
      <w:lvlJc w:val="left"/>
      <w:lvlText w:val="%1."/>
      <w:numFmt w:val="decimal"/>
      <w:start w:val="14"/>
    </w:lvl>
  </w:abstractNum>
  <w:abstractNum w:abstractNumId="213">
    <w:nsid w:val="2771AC80"/>
    <w:multiLevelType w:val="hybridMultilevel"/>
    <w:lvl w:ilvl="0">
      <w:lvlJc w:val="left"/>
      <w:lvlText w:val="%1."/>
      <w:numFmt w:val="decimal"/>
      <w:start w:val="18"/>
    </w:lvl>
    <w:lvl w:ilvl="1">
      <w:lvlJc w:val="left"/>
      <w:lvlText w:val="(%2)"/>
      <w:numFmt w:val="lowerLetter"/>
      <w:start w:val="1"/>
    </w:lvl>
  </w:abstractNum>
  <w:abstractNum w:abstractNumId="214">
    <w:nsid w:val="1C4A08EC"/>
    <w:multiLevelType w:val="hybridMultilevel"/>
    <w:lvl w:ilvl="0">
      <w:lvlJc w:val="left"/>
      <w:lvlText w:val="(%1)"/>
      <w:numFmt w:val="lowerRoman"/>
      <w:start w:val="1"/>
    </w:lvl>
  </w:abstractNum>
  <w:abstractNum w:abstractNumId="215">
    <w:nsid w:val="1958BD17"/>
    <w:multiLevelType w:val="hybridMultilevel"/>
    <w:lvl w:ilvl="0">
      <w:lvlJc w:val="left"/>
      <w:lvlText w:val="(%1)"/>
      <w:numFmt w:val="lowerLetter"/>
      <w:start w:val="1"/>
    </w:lvl>
  </w:abstractNum>
  <w:abstractNum w:abstractNumId="216">
    <w:nsid w:val="4E647FE4"/>
    <w:multiLevelType w:val="hybridMultilevel"/>
    <w:lvl w:ilvl="0">
      <w:lvlJc w:val="left"/>
      <w:lvlText w:val="(%1)"/>
      <w:numFmt w:val="lowerLetter"/>
      <w:start w:val="3"/>
    </w:lvl>
  </w:abstractNum>
  <w:abstractNum w:abstractNumId="217">
    <w:nsid w:val="E0BB885"/>
    <w:multiLevelType w:val="hybridMultilevel"/>
    <w:lvl w:ilvl="0">
      <w:lvlJc w:val="left"/>
      <w:lvlText w:val="(%1)"/>
      <w:numFmt w:val="lowerRoman"/>
      <w:start w:val="1"/>
    </w:lvl>
  </w:abstractNum>
  <w:abstractNum w:abstractNumId="218">
    <w:nsid w:val="565976F1"/>
    <w:multiLevelType w:val="hybridMultilevel"/>
    <w:lvl w:ilvl="0">
      <w:lvlJc w:val="left"/>
      <w:lvlText w:val="(%1)"/>
      <w:numFmt w:val="lowerRoman"/>
      <w:start w:val="5"/>
    </w:lvl>
  </w:abstractNum>
  <w:abstractNum w:abstractNumId="219">
    <w:nsid w:val="64212B8C"/>
    <w:multiLevelType w:val="hybridMultilevel"/>
    <w:lvl w:ilvl="0">
      <w:lvlJc w:val="left"/>
      <w:lvlText w:val="(%1)"/>
      <w:numFmt w:val="lowerRoman"/>
      <w:start w:val="6"/>
    </w:lvl>
  </w:abstractNum>
  <w:abstractNum w:abstractNumId="220">
    <w:nsid w:val="5C17530C"/>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69"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png"/><Relationship Id="rId399"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409" Type="http://schemas.openxmlformats.org/officeDocument/2006/relationships/image" Target="media/image375.png"/><Relationship Id="rId410" Type="http://schemas.openxmlformats.org/officeDocument/2006/relationships/image" Target="media/image376.png"/><Relationship Id="rId411" Type="http://schemas.openxmlformats.org/officeDocument/2006/relationships/image" Target="media/image377.png"/><Relationship Id="rId412" Type="http://schemas.openxmlformats.org/officeDocument/2006/relationships/image" Target="media/image378.png"/><Relationship Id="rId413" Type="http://schemas.openxmlformats.org/officeDocument/2006/relationships/image" Target="media/image379.png"/><Relationship Id="rId414" Type="http://schemas.openxmlformats.org/officeDocument/2006/relationships/image" Target="media/image380.png"/><Relationship Id="rId415" Type="http://schemas.openxmlformats.org/officeDocument/2006/relationships/image" Target="media/image381.png"/><Relationship Id="rId416" Type="http://schemas.openxmlformats.org/officeDocument/2006/relationships/image" Target="media/image382.png"/><Relationship Id="rId417" Type="http://schemas.openxmlformats.org/officeDocument/2006/relationships/image" Target="media/image383.png"/><Relationship Id="rId418" Type="http://schemas.openxmlformats.org/officeDocument/2006/relationships/image" Target="media/image384.png"/><Relationship Id="rId419" Type="http://schemas.openxmlformats.org/officeDocument/2006/relationships/image" Target="media/image385.png"/><Relationship Id="rId420" Type="http://schemas.openxmlformats.org/officeDocument/2006/relationships/image" Target="media/image386.png"/><Relationship Id="rId421" Type="http://schemas.openxmlformats.org/officeDocument/2006/relationships/image" Target="media/image387.png"/><Relationship Id="rId422" Type="http://schemas.openxmlformats.org/officeDocument/2006/relationships/image" Target="media/image388.png"/><Relationship Id="rId423" Type="http://schemas.openxmlformats.org/officeDocument/2006/relationships/image" Target="media/image389.png"/><Relationship Id="rId424" Type="http://schemas.openxmlformats.org/officeDocument/2006/relationships/image" Target="media/image390.png"/><Relationship Id="rId425"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354" Type="http://schemas.openxmlformats.org/officeDocument/2006/relationships/hyperlink" Target="http://www.sec.gov/Archives/edgar/data/0001620463/000156459020042848/atha-ex31_91.htm" TargetMode="External"/><Relationship Id="rId355" Type="http://schemas.openxmlformats.org/officeDocument/2006/relationships/hyperlink" Target="http://www.sec.gov/Archives/edgar/data/0001620463/000156459020042848/atha-ex32_92.htm" TargetMode="External"/><Relationship Id="rId356" Type="http://schemas.openxmlformats.org/officeDocument/2006/relationships/hyperlink" Target="http://www.sec.gov/Archives/edgar/data/0001620463/000156459020043324/atha-ex41_478.htm" TargetMode="External"/><Relationship Id="rId357" Type="http://schemas.openxmlformats.org/officeDocument/2006/relationships/hyperlink" Target="http://www.sec.gov/Archives/edgar/data/0001620463/000156459020042848/atha-ex42_7.htm" TargetMode="External"/><Relationship Id="rId358" Type="http://schemas.openxmlformats.org/officeDocument/2006/relationships/hyperlink" Target="http://www.sec.gov/Archives/edgar/data/0001620463/000156459020041369/atha-ex101_530.htm" TargetMode="External"/><Relationship Id="rId359" Type="http://schemas.openxmlformats.org/officeDocument/2006/relationships/hyperlink" Target="http://www.sec.gov/Archives/edgar/data/0001620463/000156459020042848/atha-ex102_90.htm" TargetMode="External"/><Relationship Id="rId360" Type="http://schemas.openxmlformats.org/officeDocument/2006/relationships/hyperlink" Target="http://www.sec.gov/Archives/edgar/data/0001620463/000156459020042848/atha-ex103_14.htm" TargetMode="External"/><Relationship Id="rId361" Type="http://schemas.openxmlformats.org/officeDocument/2006/relationships/hyperlink" Target="http://www.sec.gov/Archives/edgar/data/0001620463/000156459020042848/atha-ex104_409.htm" TargetMode="External"/><Relationship Id="rId362" Type="http://schemas.openxmlformats.org/officeDocument/2006/relationships/hyperlink" Target="http://www.sec.gov/Archives/edgar/data/0001620463/000156459020042848/atha-ex105_89.htm" TargetMode="External"/><Relationship Id="rId363" Type="http://schemas.openxmlformats.org/officeDocument/2006/relationships/hyperlink" Target="http://www.sec.gov/Archives/edgar/data/0001620463/000156459020042848/atha-ex106_88.htm" TargetMode="External"/><Relationship Id="rId364" Type="http://schemas.openxmlformats.org/officeDocument/2006/relationships/hyperlink" Target="http://www.sec.gov/Archives/edgar/data/0001620463/000156459020042848/atha-ex107_87.htm" TargetMode="External"/><Relationship Id="rId365" Type="http://schemas.openxmlformats.org/officeDocument/2006/relationships/hyperlink" Target="http://www.sec.gov/Archives/edgar/data/0001620463/000156459020042848/atha-ex108_86.htm" TargetMode="External"/><Relationship Id="rId366" Type="http://schemas.openxmlformats.org/officeDocument/2006/relationships/hyperlink" Target="http://www.sec.gov/Archives/edgar/data/0001620463/000156459020041369/atha-ex109_529.htm" TargetMode="External"/><Relationship Id="rId367" Type="http://schemas.openxmlformats.org/officeDocument/2006/relationships/hyperlink" Target="http://www.sec.gov/Archives/edgar/data/0001620463/000156459020042848/atha-ex1010_85.htm" TargetMode="External"/><Relationship Id="rId368" Type="http://schemas.openxmlformats.org/officeDocument/2006/relationships/hyperlink" Target="http://www.sec.gov/Archives/edgar/data/0001620463/000156459020042848/atha-ex1011_9.htm" TargetMode="External"/><Relationship Id="rId370" Type="http://schemas.openxmlformats.org/officeDocument/2006/relationships/hyperlink" Target="http://www.sec.gov/Archives/edgar/data/0001620463/000156459020042848/atha-ex1012_84.htm" TargetMode="External"/><Relationship Id="rId371" Type="http://schemas.openxmlformats.org/officeDocument/2006/relationships/hyperlink" Target="http://www.sec.gov/Archives/edgar/data/0001620463/000156459020042848/atha-ex1013_83.htm" TargetMode="External"/><Relationship Id="rId372" Type="http://schemas.openxmlformats.org/officeDocument/2006/relationships/hyperlink" Target="http://www.sec.gov/Archives/edgar/data/0001620463/000156459020042848/atha-ex1014_535.htm" TargetMode="External"/><Relationship Id="rId373" Type="http://schemas.openxmlformats.org/officeDocument/2006/relationships/hyperlink" Target="http://www.sec.gov/Archives/edgar/data/0001620463/000156459020042848/atha-ex1015_534.htm" TargetMode="External"/><Relationship Id="rId374" Type="http://schemas.openxmlformats.org/officeDocument/2006/relationships/hyperlink" Target="http://www.sec.gov/Archives/edgar/data/0001620463/000156459020042848/atha-ex1016_533.htm" TargetMode="External"/><Relationship Id="rId375" Type="http://schemas.openxmlformats.org/officeDocument/2006/relationships/hyperlink" Target="http://www.sec.gov/Archives/edgar/data/0001620463/000156459020042848/atha-ex1017_532.htm" TargetMode="External"/><Relationship Id="rId376" Type="http://schemas.openxmlformats.org/officeDocument/2006/relationships/hyperlink" Target="http://www.sec.gov/Archives/edgar/data/0001620463/000156459020042848/atha-ex1018_531.htm" TargetMode="External"/><Relationship Id="rId377" Type="http://schemas.openxmlformats.org/officeDocument/2006/relationships/hyperlink" Target="http://www.sec.gov/Archives/edgar/data/0001620463/000156459020042848/atha-ex1019_530.htm" TargetMode="External"/><Relationship Id="rId378" Type="http://schemas.openxmlformats.org/officeDocument/2006/relationships/hyperlink" Target="http://www.sec.gov/Archives/edgar/data/0001620463/000156459020042848/atha-ex1020_529.htm" TargetMode="External"/><Relationship Id="rId379" Type="http://schemas.openxmlformats.org/officeDocument/2006/relationships/hyperlink" Target="http://www.sec.gov/Archives/edgar/data/0001620463/000156459020043324/atha-ex1021_821.htm" TargetMode="External"/><Relationship Id="rId380" Type="http://schemas.openxmlformats.org/officeDocument/2006/relationships/hyperlink" Target="http://www.sec.gov/Archives/edgar/data/0001620463/000156459020043324/atha-ex1022_820.htm" TargetMode="External"/><Relationship Id="rId381" Type="http://schemas.openxmlformats.org/officeDocument/2006/relationships/hyperlink" Target="http://www.sec.gov/Archives/edgar/data/0001620463/000156459020042848/atha-ex21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2021-01-19T06:33:33Z</dcterms:created>
  <dcterms:modified xsi:type="dcterms:W3CDTF">2021-01-19T06:33:33Z</dcterms:modified>
</cp:coreProperties>
</file>