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13D/A</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Athira Pharma, Inc.</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Common Stock, $0.0001 par value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04746L 104</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Alexander Rakitin</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Perceptive Advisors LLC</w:t>
      </w:r>
    </w:p>
    <w:p>
      <w:pPr>
        <w:jc w:val="center"/>
        <w:ind w:right="-63"/>
        <w:spacing w:after="0" w:line="181" w:lineRule="auto"/>
        <w:rPr>
          <w:sz w:val="20"/>
          <w:szCs w:val="20"/>
          <w:color w:val="auto"/>
        </w:rPr>
      </w:pPr>
      <w:r>
        <w:rPr>
          <w:rFonts w:ascii="Times New Roman" w:cs="Times New Roman" w:eastAsia="Times New Roman" w:hAnsi="Times New Roman"/>
          <w:sz w:val="18"/>
          <w:szCs w:val="18"/>
          <w:b w:val="1"/>
          <w:bCs w:val="1"/>
          <w:color w:val="auto"/>
        </w:rPr>
        <w:t>51 Astor Place, 10</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spacing w:after="0" w:line="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New York, NY 10003</w:t>
      </w:r>
    </w:p>
    <w:p>
      <w:pPr>
        <w:spacing w:after="0" w:line="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(646) 205-5340</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December 27, 2023</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left="4" w:right="12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1" w:lineRule="exact"/>
        <w:rPr>
          <w:sz w:val="24"/>
          <w:szCs w:val="24"/>
          <w:color w:val="auto"/>
        </w:rPr>
      </w:pPr>
    </w:p>
    <w:p>
      <w:pPr>
        <w:ind w:left="4" w:right="18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Section 240.13d-7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14" w:lineRule="exact"/>
        <w:rPr>
          <w:sz w:val="24"/>
          <w:szCs w:val="24"/>
          <w:color w:val="auto"/>
        </w:rPr>
      </w:pPr>
    </w:p>
    <w:p>
      <w:pPr>
        <w:ind w:left="424"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as amended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183515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4"/>
          </w:cols>
          <w:pgMar w:left="436" w:top="511" w:right="5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04746L 104</w:t>
      </w:r>
    </w:p>
    <w:p>
      <w:pPr>
        <w:spacing w:after="0" w:line="266" w:lineRule="exact"/>
        <w:rPr>
          <w:sz w:val="20"/>
          <w:szCs w:val="20"/>
          <w:color w:val="auto"/>
        </w:rPr>
      </w:pPr>
    </w:p>
    <w:p>
      <w:pPr>
        <w:ind w:left="660" w:right="8140" w:hanging="417"/>
        <w:spacing w:after="0" w:line="430" w:lineRule="auto"/>
        <w:tabs>
          <w:tab w:leader="none" w:pos="6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Perceptive Advisors LLC</w:t>
      </w:r>
    </w:p>
    <w:p>
      <w:pPr>
        <w:spacing w:after="0" w:line="1" w:lineRule="exact"/>
        <w:rPr>
          <w:rFonts w:ascii="Times New Roman" w:cs="Times New Roman" w:eastAsia="Times New Roman" w:hAnsi="Times New Roman"/>
          <w:sz w:val="17"/>
          <w:szCs w:val="17"/>
          <w:color w:val="auto"/>
        </w:rPr>
      </w:pPr>
    </w:p>
    <w:p>
      <w:pPr>
        <w:ind w:left="660" w:hanging="417"/>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926580" cy="6111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17"/>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w:t>
      </w:r>
    </w:p>
    <w:p>
      <w:pPr>
        <w:spacing w:after="0" w:line="36"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11"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Pr>
          <w:p>
            <w:pPr>
              <w:spacing w:after="0"/>
              <w:rPr>
                <w:sz w:val="24"/>
                <w:szCs w:val="24"/>
                <w:color w:val="auto"/>
              </w:rPr>
            </w:pP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7"/>
        </w:trPr>
        <w:tc>
          <w:tcPr>
            <w:tcW w:w="9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Borders>
              <w:bottom w:val="single" w:sz="8" w:color="auto"/>
            </w:tcBorders>
          </w:tcPr>
          <w:p>
            <w:pPr>
              <w:spacing w:after="0"/>
              <w:rPr>
                <w:sz w:val="5"/>
                <w:szCs w:val="5"/>
                <w:color w:val="auto"/>
              </w:rPr>
            </w:pPr>
          </w:p>
        </w:tc>
        <w:tc>
          <w:tcPr>
            <w:tcW w:w="9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980" w:type="dxa"/>
            <w:vAlign w:val="bottom"/>
            <w:vMerge w:val="continue"/>
          </w:tcPr>
          <w:p>
            <w:pPr>
              <w:spacing w:after="0"/>
              <w:rPr>
                <w:sz w:val="10"/>
                <w:szCs w:val="10"/>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2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9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vMerge w:val="continue"/>
          </w:tcPr>
          <w:p>
            <w:pPr>
              <w:spacing w:after="0"/>
              <w:rPr>
                <w:sz w:val="9"/>
                <w:szCs w:val="9"/>
                <w:color w:val="auto"/>
              </w:rPr>
            </w:pPr>
          </w:p>
        </w:tc>
        <w:tc>
          <w:tcPr>
            <w:tcW w:w="9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98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9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Owned by</w:t>
            </w:r>
          </w:p>
        </w:tc>
        <w:tc>
          <w:tcPr>
            <w:tcW w:w="480" w:type="dxa"/>
            <w:vAlign w:val="bottom"/>
          </w:tcPr>
          <w:p>
            <w:pPr>
              <w:spacing w:after="0"/>
              <w:rPr>
                <w:sz w:val="18"/>
                <w:szCs w:val="18"/>
                <w:color w:val="auto"/>
              </w:rPr>
            </w:pPr>
          </w:p>
        </w:tc>
        <w:tc>
          <w:tcPr>
            <w:tcW w:w="92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5,402,964</w:t>
            </w:r>
          </w:p>
        </w:tc>
        <w:tc>
          <w:tcPr>
            <w:tcW w:w="0" w:type="dxa"/>
            <w:vAlign w:val="bottom"/>
          </w:tcPr>
          <w:p>
            <w:pPr>
              <w:spacing w:after="0"/>
              <w:rPr>
                <w:sz w:val="1"/>
                <w:szCs w:val="1"/>
                <w:color w:val="auto"/>
              </w:rPr>
            </w:pPr>
          </w:p>
        </w:tc>
      </w:tr>
      <w:tr>
        <w:trPr>
          <w:trHeight w:val="120"/>
        </w:trPr>
        <w:tc>
          <w:tcPr>
            <w:tcW w:w="9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Borders>
              <w:bottom w:val="single" w:sz="8" w:color="auto"/>
            </w:tcBorders>
          </w:tcPr>
          <w:p>
            <w:pPr>
              <w:spacing w:after="0"/>
              <w:rPr>
                <w:sz w:val="10"/>
                <w:szCs w:val="10"/>
                <w:color w:val="auto"/>
              </w:rPr>
            </w:pPr>
          </w:p>
        </w:tc>
        <w:tc>
          <w:tcPr>
            <w:tcW w:w="92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98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92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9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vMerge w:val="continue"/>
          </w:tcPr>
          <w:p>
            <w:pPr>
              <w:spacing w:after="0"/>
              <w:rPr>
                <w:sz w:val="13"/>
                <w:szCs w:val="13"/>
                <w:color w:val="auto"/>
              </w:rPr>
            </w:pPr>
          </w:p>
        </w:tc>
        <w:tc>
          <w:tcPr>
            <w:tcW w:w="9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98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8"/>
                <w:szCs w:val="18"/>
                <w:color w:val="auto"/>
              </w:rPr>
            </w:pPr>
          </w:p>
        </w:tc>
        <w:tc>
          <w:tcPr>
            <w:tcW w:w="92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980" w:type="dxa"/>
            <w:vAlign w:val="bottom"/>
            <w:vMerge w:val="restart"/>
          </w:tcPr>
          <w:p>
            <w:pPr>
              <w:jc w:val="center"/>
              <w:ind w:right="10"/>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Pr>
          <w:p>
            <w:pPr>
              <w:spacing w:after="0"/>
              <w:rPr>
                <w:sz w:val="14"/>
                <w:szCs w:val="14"/>
                <w:color w:val="auto"/>
              </w:rPr>
            </w:pPr>
          </w:p>
        </w:tc>
        <w:tc>
          <w:tcPr>
            <w:tcW w:w="9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8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840" w:right="7180" w:hanging="521"/>
        <w:spacing w:after="0" w:line="395" w:lineRule="auto"/>
        <w:tabs>
          <w:tab w:leader="none" w:pos="18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5,402,964</w:t>
      </w:r>
    </w:p>
    <w:p>
      <w:pPr>
        <w:ind w:left="660" w:right="5460" w:hanging="507"/>
        <w:spacing w:after="0" w:line="406" w:lineRule="auto"/>
        <w:tabs>
          <w:tab w:leader="none" w:pos="65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5,402,964</w:t>
      </w:r>
    </w:p>
    <w:p>
      <w:pPr>
        <w:spacing w:after="0" w:line="1"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60" w:right="6380" w:hanging="507"/>
        <w:spacing w:after="0" w:line="395"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14.2%</w:t>
      </w:r>
    </w:p>
    <w:p>
      <w:pPr>
        <w:spacing w:after="0" w:line="1" w:lineRule="exact"/>
        <w:rPr>
          <w:rFonts w:ascii="Times New Roman" w:cs="Times New Roman" w:eastAsia="Times New Roman" w:hAnsi="Times New Roman"/>
          <w:sz w:val="18"/>
          <w:szCs w:val="18"/>
          <w:color w:val="auto"/>
        </w:rPr>
      </w:pPr>
    </w:p>
    <w:p>
      <w:pPr>
        <w:ind w:left="640" w:hanging="487"/>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w:t>
      </w:r>
    </w:p>
    <w:p>
      <w:pPr>
        <w:sectPr>
          <w:pgSz w:w="11900" w:h="16838" w:orient="portrait"/>
          <w:cols w:equalWidth="0" w:num="1">
            <w:col w:w="10900"/>
          </w:cols>
          <w:pgMar w:left="440" w:top="270"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04746L 104</w:t>
      </w:r>
    </w:p>
    <w:p>
      <w:pPr>
        <w:spacing w:after="0" w:line="266" w:lineRule="exact"/>
        <w:rPr>
          <w:sz w:val="20"/>
          <w:szCs w:val="20"/>
          <w:color w:val="auto"/>
        </w:rPr>
      </w:pPr>
    </w:p>
    <w:p>
      <w:pPr>
        <w:ind w:left="660" w:right="8140" w:hanging="417"/>
        <w:spacing w:after="0" w:line="40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Joseph Edelman</w:t>
      </w:r>
    </w:p>
    <w:p>
      <w:pPr>
        <w:spacing w:after="0" w:line="1"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926580" cy="6111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17"/>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w:t>
      </w:r>
    </w:p>
    <w:p>
      <w:pPr>
        <w:spacing w:after="0" w:line="36"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11"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36" w:lineRule="exact"/>
        <w:rPr>
          <w:sz w:val="20"/>
          <w:szCs w:val="20"/>
          <w:color w:val="auto"/>
        </w:rPr>
      </w:pPr>
    </w:p>
    <w:p>
      <w:pPr>
        <w:ind w:left="1840" w:hanging="431"/>
        <w:spacing w:after="0"/>
        <w:tabs>
          <w:tab w:leader="none" w:pos="1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12" w:lineRule="exact"/>
        <w:rPr>
          <w:sz w:val="20"/>
          <w:szCs w:val="20"/>
          <w:color w:val="auto"/>
        </w:rPr>
      </w:pPr>
    </w:p>
    <w:tbl>
      <w:tblPr>
        <w:tblLayout w:type="fixed"/>
        <w:tblInd w:w="240" w:type="dxa"/>
        <w:tblCellMar>
          <w:top w:w="0" w:type="dxa"/>
          <w:left w:w="0" w:type="dxa"/>
          <w:bottom w:w="0" w:type="dxa"/>
          <w:right w:w="0" w:type="dxa"/>
        </w:tblCellMar>
      </w:tblPr>
      <w:tr>
        <w:trPr>
          <w:trHeight w:val="221"/>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Pr>
          <w:p>
            <w:pPr>
              <w:spacing w:after="0"/>
              <w:rPr>
                <w:sz w:val="19"/>
                <w:szCs w:val="19"/>
                <w:color w:val="auto"/>
              </w:rPr>
            </w:pP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Borders>
              <w:bottom w:val="single" w:sz="8" w:color="auto"/>
            </w:tcBorders>
          </w:tcPr>
          <w:p>
            <w:pPr>
              <w:spacing w:after="0"/>
              <w:rPr>
                <w:sz w:val="5"/>
                <w:szCs w:val="5"/>
                <w:color w:val="auto"/>
              </w:rPr>
            </w:pPr>
          </w:p>
        </w:tc>
        <w:tc>
          <w:tcPr>
            <w:tcW w:w="9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980" w:type="dxa"/>
            <w:vAlign w:val="bottom"/>
            <w:vMerge w:val="continue"/>
          </w:tcPr>
          <w:p>
            <w:pPr>
              <w:spacing w:after="0"/>
              <w:rPr>
                <w:sz w:val="10"/>
                <w:szCs w:val="10"/>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2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9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vMerge w:val="continue"/>
          </w:tcPr>
          <w:p>
            <w:pPr>
              <w:spacing w:after="0"/>
              <w:rPr>
                <w:sz w:val="9"/>
                <w:szCs w:val="9"/>
                <w:color w:val="auto"/>
              </w:rPr>
            </w:pPr>
          </w:p>
        </w:tc>
        <w:tc>
          <w:tcPr>
            <w:tcW w:w="9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98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9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Owned by</w:t>
            </w:r>
          </w:p>
        </w:tc>
        <w:tc>
          <w:tcPr>
            <w:tcW w:w="480" w:type="dxa"/>
            <w:vAlign w:val="bottom"/>
          </w:tcPr>
          <w:p>
            <w:pPr>
              <w:spacing w:after="0"/>
              <w:rPr>
                <w:sz w:val="18"/>
                <w:szCs w:val="18"/>
                <w:color w:val="auto"/>
              </w:rPr>
            </w:pPr>
          </w:p>
        </w:tc>
        <w:tc>
          <w:tcPr>
            <w:tcW w:w="92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5,458,448</w:t>
            </w:r>
          </w:p>
        </w:tc>
        <w:tc>
          <w:tcPr>
            <w:tcW w:w="0" w:type="dxa"/>
            <w:vAlign w:val="bottom"/>
          </w:tcPr>
          <w:p>
            <w:pPr>
              <w:spacing w:after="0"/>
              <w:rPr>
                <w:sz w:val="1"/>
                <w:szCs w:val="1"/>
                <w:color w:val="auto"/>
              </w:rPr>
            </w:pPr>
          </w:p>
        </w:tc>
      </w:tr>
      <w:tr>
        <w:trPr>
          <w:trHeight w:val="120"/>
        </w:trPr>
        <w:tc>
          <w:tcPr>
            <w:tcW w:w="9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Borders>
              <w:bottom w:val="single" w:sz="8" w:color="auto"/>
            </w:tcBorders>
          </w:tcPr>
          <w:p>
            <w:pPr>
              <w:spacing w:after="0"/>
              <w:rPr>
                <w:sz w:val="10"/>
                <w:szCs w:val="10"/>
                <w:color w:val="auto"/>
              </w:rPr>
            </w:pPr>
          </w:p>
        </w:tc>
        <w:tc>
          <w:tcPr>
            <w:tcW w:w="92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98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92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9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vMerge w:val="continue"/>
          </w:tcPr>
          <w:p>
            <w:pPr>
              <w:spacing w:after="0"/>
              <w:rPr>
                <w:sz w:val="13"/>
                <w:szCs w:val="13"/>
                <w:color w:val="auto"/>
              </w:rPr>
            </w:pPr>
          </w:p>
        </w:tc>
        <w:tc>
          <w:tcPr>
            <w:tcW w:w="9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98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8"/>
                <w:szCs w:val="18"/>
                <w:color w:val="auto"/>
              </w:rPr>
            </w:pPr>
          </w:p>
        </w:tc>
        <w:tc>
          <w:tcPr>
            <w:tcW w:w="92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980" w:type="dxa"/>
            <w:vAlign w:val="bottom"/>
            <w:vMerge w:val="restart"/>
          </w:tcPr>
          <w:p>
            <w:pPr>
              <w:jc w:val="center"/>
              <w:ind w:right="10"/>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Pr>
          <w:p>
            <w:pPr>
              <w:spacing w:after="0"/>
              <w:rPr>
                <w:sz w:val="14"/>
                <w:szCs w:val="14"/>
                <w:color w:val="auto"/>
              </w:rPr>
            </w:pPr>
          </w:p>
        </w:tc>
        <w:tc>
          <w:tcPr>
            <w:tcW w:w="9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8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840" w:right="7180" w:hanging="521"/>
        <w:spacing w:after="0" w:line="395" w:lineRule="auto"/>
        <w:tabs>
          <w:tab w:leader="none" w:pos="18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5,458,448</w:t>
      </w:r>
    </w:p>
    <w:p>
      <w:pPr>
        <w:ind w:left="660" w:right="5460" w:hanging="507"/>
        <w:spacing w:after="0" w:line="406" w:lineRule="auto"/>
        <w:tabs>
          <w:tab w:leader="none" w:pos="65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5,458,448</w:t>
      </w:r>
    </w:p>
    <w:p>
      <w:pPr>
        <w:spacing w:after="0" w:line="1"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60" w:right="6380" w:hanging="507"/>
        <w:spacing w:after="0" w:line="395"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14.3%</w:t>
      </w:r>
    </w:p>
    <w:p>
      <w:pPr>
        <w:spacing w:after="0" w:line="1" w:lineRule="exact"/>
        <w:rPr>
          <w:rFonts w:ascii="Times New Roman" w:cs="Times New Roman" w:eastAsia="Times New Roman" w:hAnsi="Times New Roman"/>
          <w:sz w:val="18"/>
          <w:szCs w:val="18"/>
          <w:color w:val="auto"/>
        </w:rPr>
      </w:pPr>
    </w:p>
    <w:p>
      <w:pPr>
        <w:ind w:left="640" w:hanging="487"/>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ectPr>
          <w:pgSz w:w="11900" w:h="16838" w:orient="portrait"/>
          <w:cols w:equalWidth="0" w:num="1">
            <w:col w:w="10900"/>
          </w:cols>
          <w:pgMar w:left="440" w:top="270" w:right="5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04746L 104</w:t>
      </w:r>
    </w:p>
    <w:p>
      <w:pPr>
        <w:spacing w:after="0" w:line="266" w:lineRule="exact"/>
        <w:rPr>
          <w:sz w:val="20"/>
          <w:szCs w:val="20"/>
          <w:color w:val="auto"/>
        </w:rPr>
      </w:pPr>
    </w:p>
    <w:p>
      <w:pPr>
        <w:ind w:left="660" w:hanging="417"/>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Perceptive Life Sciences Master Fund, Ltd.</w:t>
      </w:r>
    </w:p>
    <w:p>
      <w:pPr>
        <w:spacing w:after="0" w:line="36"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-573405</wp:posOffset>
            </wp:positionV>
            <wp:extent cx="6926580" cy="6111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0"/>
        <w:spacing w:after="0" w:line="207" w:lineRule="exact"/>
        <w:tabs>
          <w:tab w:leader="none" w:pos="144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0" w:hanging="417"/>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WC</w:t>
      </w:r>
    </w:p>
    <w:p>
      <w:pPr>
        <w:spacing w:after="0" w:line="36"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11"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60" w:hanging="417"/>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Cayman Islands</w:t>
      </w:r>
    </w:p>
    <w:p>
      <w:pPr>
        <w:spacing w:after="0" w:line="36" w:lineRule="exact"/>
        <w:rPr>
          <w:sz w:val="20"/>
          <w:szCs w:val="20"/>
          <w:color w:val="auto"/>
        </w:rPr>
      </w:pPr>
    </w:p>
    <w:p>
      <w:pPr>
        <w:ind w:left="1840" w:hanging="431"/>
        <w:spacing w:after="0"/>
        <w:tabs>
          <w:tab w:leader="none" w:pos="1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12" w:lineRule="exact"/>
        <w:rPr>
          <w:sz w:val="20"/>
          <w:szCs w:val="20"/>
          <w:color w:val="auto"/>
        </w:rPr>
      </w:pPr>
    </w:p>
    <w:tbl>
      <w:tblPr>
        <w:tblLayout w:type="fixed"/>
        <w:tblInd w:w="240" w:type="dxa"/>
        <w:tblCellMar>
          <w:top w:w="0" w:type="dxa"/>
          <w:left w:w="0" w:type="dxa"/>
          <w:bottom w:w="0" w:type="dxa"/>
          <w:right w:w="0" w:type="dxa"/>
        </w:tblCellMar>
      </w:tblPr>
      <w:tr>
        <w:trPr>
          <w:trHeight w:val="221"/>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Pr>
          <w:p>
            <w:pPr>
              <w:spacing w:after="0"/>
              <w:rPr>
                <w:sz w:val="19"/>
                <w:szCs w:val="19"/>
                <w:color w:val="auto"/>
              </w:rPr>
            </w:pP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7"/>
        </w:trPr>
        <w:tc>
          <w:tcPr>
            <w:tcW w:w="9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Borders>
              <w:bottom w:val="single" w:sz="8" w:color="auto"/>
            </w:tcBorders>
          </w:tcPr>
          <w:p>
            <w:pPr>
              <w:spacing w:after="0"/>
              <w:rPr>
                <w:sz w:val="5"/>
                <w:szCs w:val="5"/>
                <w:color w:val="auto"/>
              </w:rPr>
            </w:pPr>
          </w:p>
        </w:tc>
        <w:tc>
          <w:tcPr>
            <w:tcW w:w="9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980" w:type="dxa"/>
            <w:vAlign w:val="bottom"/>
            <w:vMerge w:val="continue"/>
          </w:tcPr>
          <w:p>
            <w:pPr>
              <w:spacing w:after="0"/>
              <w:rPr>
                <w:sz w:val="10"/>
                <w:szCs w:val="10"/>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2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9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vMerge w:val="continue"/>
          </w:tcPr>
          <w:p>
            <w:pPr>
              <w:spacing w:after="0"/>
              <w:rPr>
                <w:sz w:val="9"/>
                <w:szCs w:val="9"/>
                <w:color w:val="auto"/>
              </w:rPr>
            </w:pPr>
          </w:p>
        </w:tc>
        <w:tc>
          <w:tcPr>
            <w:tcW w:w="9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98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9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Owned by</w:t>
            </w:r>
          </w:p>
        </w:tc>
        <w:tc>
          <w:tcPr>
            <w:tcW w:w="480" w:type="dxa"/>
            <w:vAlign w:val="bottom"/>
          </w:tcPr>
          <w:p>
            <w:pPr>
              <w:spacing w:after="0"/>
              <w:rPr>
                <w:sz w:val="18"/>
                <w:szCs w:val="18"/>
                <w:color w:val="auto"/>
              </w:rPr>
            </w:pPr>
          </w:p>
        </w:tc>
        <w:tc>
          <w:tcPr>
            <w:tcW w:w="92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5,402,964</w:t>
            </w:r>
          </w:p>
        </w:tc>
        <w:tc>
          <w:tcPr>
            <w:tcW w:w="0" w:type="dxa"/>
            <w:vAlign w:val="bottom"/>
          </w:tcPr>
          <w:p>
            <w:pPr>
              <w:spacing w:after="0"/>
              <w:rPr>
                <w:sz w:val="1"/>
                <w:szCs w:val="1"/>
                <w:color w:val="auto"/>
              </w:rPr>
            </w:pPr>
          </w:p>
        </w:tc>
      </w:tr>
      <w:tr>
        <w:trPr>
          <w:trHeight w:val="120"/>
        </w:trPr>
        <w:tc>
          <w:tcPr>
            <w:tcW w:w="9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Borders>
              <w:bottom w:val="single" w:sz="8" w:color="auto"/>
            </w:tcBorders>
          </w:tcPr>
          <w:p>
            <w:pPr>
              <w:spacing w:after="0"/>
              <w:rPr>
                <w:sz w:val="10"/>
                <w:szCs w:val="10"/>
                <w:color w:val="auto"/>
              </w:rPr>
            </w:pPr>
          </w:p>
        </w:tc>
        <w:tc>
          <w:tcPr>
            <w:tcW w:w="92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98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92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9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vMerge w:val="continue"/>
          </w:tcPr>
          <w:p>
            <w:pPr>
              <w:spacing w:after="0"/>
              <w:rPr>
                <w:sz w:val="13"/>
                <w:szCs w:val="13"/>
                <w:color w:val="auto"/>
              </w:rPr>
            </w:pPr>
          </w:p>
        </w:tc>
        <w:tc>
          <w:tcPr>
            <w:tcW w:w="9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98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8"/>
                <w:szCs w:val="18"/>
                <w:color w:val="auto"/>
              </w:rPr>
            </w:pPr>
          </w:p>
        </w:tc>
        <w:tc>
          <w:tcPr>
            <w:tcW w:w="92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980" w:type="dxa"/>
            <w:vAlign w:val="bottom"/>
            <w:vMerge w:val="restart"/>
          </w:tcPr>
          <w:p>
            <w:pPr>
              <w:jc w:val="center"/>
              <w:ind w:right="10"/>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Pr>
          <w:p>
            <w:pPr>
              <w:spacing w:after="0"/>
              <w:rPr>
                <w:sz w:val="14"/>
                <w:szCs w:val="14"/>
                <w:color w:val="auto"/>
              </w:rPr>
            </w:pPr>
          </w:p>
        </w:tc>
        <w:tc>
          <w:tcPr>
            <w:tcW w:w="9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8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840" w:right="7180" w:hanging="521"/>
        <w:spacing w:after="0" w:line="395" w:lineRule="auto"/>
        <w:tabs>
          <w:tab w:leader="none" w:pos="18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5,402,964</w:t>
      </w:r>
    </w:p>
    <w:p>
      <w:pPr>
        <w:ind w:left="660" w:right="5460" w:hanging="507"/>
        <w:spacing w:after="0" w:line="406" w:lineRule="auto"/>
        <w:tabs>
          <w:tab w:leader="none" w:pos="65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5,402,964</w:t>
      </w:r>
    </w:p>
    <w:p>
      <w:pPr>
        <w:spacing w:after="0" w:line="1" w:lineRule="exact"/>
        <w:rPr>
          <w:rFonts w:ascii="Times New Roman" w:cs="Times New Roman" w:eastAsia="Times New Roman" w:hAnsi="Times New Roman"/>
          <w:sz w:val="18"/>
          <w:szCs w:val="18"/>
          <w:color w:val="auto"/>
        </w:rPr>
      </w:pPr>
    </w:p>
    <w:p>
      <w:pPr>
        <w:ind w:left="660" w:hanging="507"/>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6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60" w:right="6380" w:hanging="507"/>
        <w:spacing w:after="0" w:line="395"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14.2%</w:t>
      </w:r>
    </w:p>
    <w:p>
      <w:pPr>
        <w:spacing w:after="0" w:line="1" w:lineRule="exact"/>
        <w:rPr>
          <w:rFonts w:ascii="Times New Roman" w:cs="Times New Roman" w:eastAsia="Times New Roman" w:hAnsi="Times New Roman"/>
          <w:sz w:val="18"/>
          <w:szCs w:val="18"/>
          <w:color w:val="auto"/>
        </w:rPr>
      </w:pPr>
    </w:p>
    <w:p>
      <w:pPr>
        <w:ind w:left="640" w:hanging="487"/>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ectPr>
          <w:pgSz w:w="11900" w:h="16838" w:orient="portrait"/>
          <w:cols w:equalWidth="0" w:num="1">
            <w:col w:w="10900"/>
          </w:cols>
          <w:pgMar w:left="440" w:top="270" w:right="5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3. Source and Amount of Funds or Other Consideration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3 of the Schedule 13D is amended and supplemented as follows:</w:t>
      </w:r>
    </w:p>
    <w:p>
      <w:pPr>
        <w:spacing w:after="0" w:line="117" w:lineRule="exact"/>
        <w:rPr>
          <w:sz w:val="20"/>
          <w:szCs w:val="20"/>
          <w:color w:val="auto"/>
        </w:rPr>
      </w:pPr>
    </w:p>
    <w:p>
      <w:pPr>
        <w:ind w:left="440" w:right="160"/>
        <w:spacing w:after="0" w:line="282" w:lineRule="auto"/>
        <w:rPr>
          <w:sz w:val="20"/>
          <w:szCs w:val="20"/>
          <w:color w:val="auto"/>
        </w:rPr>
      </w:pPr>
      <w:r>
        <w:rPr>
          <w:rFonts w:ascii="Times New Roman" w:cs="Times New Roman" w:eastAsia="Times New Roman" w:hAnsi="Times New Roman"/>
          <w:sz w:val="18"/>
          <w:szCs w:val="18"/>
          <w:color w:val="auto"/>
        </w:rPr>
        <w:t>The Reporting Persons acquired beneficial ownership of the shares of the Common Stock in the transactions and at the prices described in Item 5(c). The source of the funds for acquiring these shares was the working capital of the Master Fund.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Item 5 of the Schedule 13D is amended and supplemented as follows:</w:t>
      </w:r>
    </w:p>
    <w:p>
      <w:pPr>
        <w:spacing w:after="0" w:line="131" w:lineRule="exact"/>
        <w:rPr>
          <w:sz w:val="20"/>
          <w:szCs w:val="20"/>
          <w:color w:val="auto"/>
        </w:rPr>
      </w:pPr>
    </w:p>
    <w:p>
      <w:pPr>
        <w:jc w:val="both"/>
        <w:ind w:left="960" w:hanging="532"/>
        <w:spacing w:after="0" w:line="266"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rows 11 and 13 of the cover pages to this Schedule 13D is incorporated by reference. The percentage set forth in row 13 is based on 38,054,583 outstanding shares of Common Stock as of November 6, 2023, as reported by the Issuer in its Quarterly Report on Form 10-Q filed with the Securities and Exchange Commission on November 9, 2023.</w:t>
      </w:r>
    </w:p>
    <w:p>
      <w:pPr>
        <w:spacing w:after="0" w:line="81" w:lineRule="exact"/>
        <w:rPr>
          <w:rFonts w:ascii="Times New Roman" w:cs="Times New Roman" w:eastAsia="Times New Roman" w:hAnsi="Times New Roman"/>
          <w:sz w:val="18"/>
          <w:szCs w:val="18"/>
          <w:color w:val="auto"/>
        </w:rPr>
      </w:pPr>
    </w:p>
    <w:p>
      <w:pPr>
        <w:ind w:left="960" w:right="20" w:hanging="532"/>
        <w:spacing w:after="0" w:line="261"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rows 7 through 10 of the cover pages to this Schedule 13D is incorporated by reference. Mr. Edelman’s cover page includes 55,484 shares of Common Stock that may be acquired upon the exercise of vested options awarded to Mr. Edelman in connection with his role as a director of the Issuer. Mr. Edelman currently holds stock options to acquire, once vested, an aggregate of 76,384 shares of Common Stock.</w:t>
      </w:r>
    </w:p>
    <w:p>
      <w:pPr>
        <w:spacing w:after="0" w:line="85"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Master Fund made the following purchases within the past 60 days:</w:t>
      </w:r>
    </w:p>
    <w:p>
      <w:pPr>
        <w:spacing w:after="0" w:line="248" w:lineRule="exact"/>
        <w:rPr>
          <w:sz w:val="20"/>
          <w:szCs w:val="20"/>
          <w:color w:val="auto"/>
        </w:rPr>
      </w:pPr>
    </w:p>
    <w:tbl>
      <w:tblPr>
        <w:tblLayout w:type="fixed"/>
        <w:tblInd w:w="1320" w:type="dxa"/>
        <w:tblCellMar>
          <w:top w:w="0" w:type="dxa"/>
          <w:left w:w="0" w:type="dxa"/>
          <w:bottom w:w="0" w:type="dxa"/>
          <w:right w:w="0" w:type="dxa"/>
        </w:tblCellMar>
      </w:tblPr>
      <w:tr>
        <w:trPr>
          <w:trHeight w:val="191"/>
        </w:trPr>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8"/>
              </w:rPr>
              <w:t>Date</w:t>
            </w:r>
          </w:p>
        </w:tc>
        <w:tc>
          <w:tcPr>
            <w:tcW w:w="6160" w:type="dxa"/>
            <w:vAlign w:val="bottom"/>
          </w:tcPr>
          <w:p>
            <w:pPr>
              <w:spacing w:after="0"/>
              <w:rPr>
                <w:sz w:val="16"/>
                <w:szCs w:val="16"/>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Shares</w:t>
            </w:r>
          </w:p>
        </w:tc>
        <w:tc>
          <w:tcPr>
            <w:tcW w:w="140" w:type="dxa"/>
            <w:vAlign w:val="bottom"/>
          </w:tcPr>
          <w:p>
            <w:pPr>
              <w:spacing w:after="0"/>
              <w:rPr>
                <w:sz w:val="16"/>
                <w:szCs w:val="16"/>
                <w:color w:val="auto"/>
              </w:rPr>
            </w:pPr>
          </w:p>
        </w:tc>
        <w:tc>
          <w:tcPr>
            <w:tcW w:w="9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Price</w:t>
            </w:r>
          </w:p>
        </w:tc>
      </w:tr>
      <w:tr>
        <w:trPr>
          <w:trHeight w:val="203"/>
        </w:trPr>
        <w:tc>
          <w:tcPr>
            <w:tcW w:w="64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December 27, 2023</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32,134</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$2.28 (1) (2)</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28, 2023</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409,598</w:t>
            </w:r>
          </w:p>
        </w:tc>
        <w:tc>
          <w:tcPr>
            <w:tcW w:w="112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rPr>
              <w:t>$2.44 (1) (3)</w:t>
            </w: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29, 2023</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163,954</w:t>
            </w:r>
          </w:p>
        </w:tc>
        <w:tc>
          <w:tcPr>
            <w:tcW w:w="1120" w:type="dxa"/>
            <w:vAlign w:val="bottom"/>
            <w:gridSpan w:val="3"/>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$2.38 (1) (4)</w:t>
            </w:r>
          </w:p>
        </w:tc>
      </w:tr>
    </w:tbl>
    <w:p>
      <w:pPr>
        <w:spacing w:after="0" w:line="103" w:lineRule="exact"/>
        <w:rPr>
          <w:sz w:val="20"/>
          <w:szCs w:val="20"/>
          <w:color w:val="auto"/>
        </w:rPr>
      </w:pPr>
    </w:p>
    <w:p>
      <w:pPr>
        <w:ind w:left="960" w:right="580" w:hanging="532"/>
        <w:spacing w:after="0" w:line="261"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reported price is a weighted average price. The reporting persons undertake to provide the staff of the SEC, upon request, full information regarding the number of shares purchased at each separate price within such range.</w:t>
      </w:r>
    </w:p>
    <w:p>
      <w:pPr>
        <w:ind w:left="960" w:hanging="532"/>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were purchased in multiple transactions at prices ranging from $2.195 to $2.31, inclusive..</w:t>
      </w:r>
    </w:p>
    <w:p>
      <w:pPr>
        <w:spacing w:after="0" w:line="9"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were purchased in multiple transactions at prices ranging from $2.265 to $2.50, inclusive.</w:t>
      </w:r>
    </w:p>
    <w:p>
      <w:pPr>
        <w:spacing w:after="0" w:line="9"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were purchased in multiple transactions at prices ranging from $2.295 to $2.44, inclusive.</w:t>
      </w:r>
    </w:p>
    <w:p>
      <w:pPr>
        <w:sectPr>
          <w:pgSz w:w="11900" w:h="16838" w:orient="portrait"/>
          <w:cols w:equalWidth="0" w:num="1">
            <w:col w:w="10900"/>
          </w:cols>
          <w:pgMar w:left="440" w:top="266" w:right="559" w:bottom="1440" w:gutter="0" w:footer="0" w:header="0"/>
        </w:sectPr>
      </w:pPr>
    </w:p>
    <w:bookmarkStart w:id="5" w:name="page6"/>
    <w:bookmarkEnd w:id="5"/>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29,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PERCEPTIVE ADVISORS LLC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Joseph Edelman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EDELMAN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PERCEPTIVE LIFE SCIENCES MASTER FUND, LTD.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Perceptive Advisors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Joseph Edelman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Member</w:t>
      </w:r>
    </w:p>
    <w:sectPr>
      <w:pgSz w:w="11900" w:h="16838" w:orient="portrait"/>
      <w:cols w:equalWidth="0" w:num="1">
        <w:col w:w="10900"/>
      </w:cols>
      <w:pgMar w:left="440" w:top="266"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1."/>
      <w:numFmt w:val="decimal"/>
      <w:start w:val="3"/>
    </w:lvl>
  </w:abstractNum>
  <w:abstractNum w:abstractNumId="3">
    <w:nsid w:val="216231B"/>
    <w:multiLevelType w:val="hybridMultilevel"/>
    <w:lvl w:ilvl="0">
      <w:lvlJc w:val="left"/>
      <w:lvlText w:val="%1"/>
      <w:numFmt w:val="decimal"/>
      <w:start w:val="1"/>
    </w:lvl>
    <w:lvl w:ilvl="1">
      <w:lvlJc w:val="left"/>
      <w:lvlText w:val="%2."/>
      <w:numFmt w:val="decimal"/>
      <w:start w:val="10"/>
    </w:lvl>
  </w:abstractNum>
  <w:abstractNum w:abstractNumId="4">
    <w:nsid w:val="1F16E9E8"/>
    <w:multiLevelType w:val="hybridMultilevel"/>
    <w:lvl w:ilvl="0">
      <w:lvlJc w:val="left"/>
      <w:lvlText w:val="%1."/>
      <w:numFmt w:val="decimal"/>
      <w:start w:val="11"/>
    </w:lvl>
    <w:lvl w:ilvl="1">
      <w:lvlJc w:val="left"/>
      <w:lvlText w:val="%2"/>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3"/>
    </w:lvl>
  </w:abstractNum>
  <w:abstractNum w:abstractNumId="7">
    <w:nsid w:val="140E0F76"/>
    <w:multiLevelType w:val="hybridMultilevel"/>
    <w:lvl w:ilvl="0">
      <w:lvlJc w:val="left"/>
      <w:lvlText w:val="%1."/>
      <w:numFmt w:val="decimal"/>
      <w:start w:val="7"/>
    </w:lvl>
  </w:abstractNum>
  <w:abstractNum w:abstractNumId="8">
    <w:nsid w:val="3352255A"/>
    <w:multiLevelType w:val="hybridMultilevel"/>
    <w:lvl w:ilvl="0">
      <w:lvlJc w:val="left"/>
      <w:lvlText w:val="%1"/>
      <w:numFmt w:val="decimal"/>
      <w:start w:val="1"/>
    </w:lvl>
    <w:lvl w:ilvl="1">
      <w:lvlJc w:val="left"/>
      <w:lvlText w:val="%2."/>
      <w:numFmt w:val="decimal"/>
      <w:start w:val="10"/>
    </w:lvl>
  </w:abstractNum>
  <w:abstractNum w:abstractNumId="9">
    <w:nsid w:val="109CF92E"/>
    <w:multiLevelType w:val="hybridMultilevel"/>
    <w:lvl w:ilvl="0">
      <w:lvlJc w:val="left"/>
      <w:lvlText w:val="%1."/>
      <w:numFmt w:val="decimal"/>
      <w:start w:val="11"/>
    </w:lvl>
    <w:lvl w:ilvl="1">
      <w:lvlJc w:val="left"/>
      <w:lvlText w:val="%2"/>
      <w:numFmt w:val="decimal"/>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3"/>
    </w:lvl>
  </w:abstractNum>
  <w:abstractNum w:abstractNumId="12">
    <w:nsid w:val="1BEFD79F"/>
    <w:multiLevelType w:val="hybridMultilevel"/>
    <w:lvl w:ilvl="0">
      <w:lvlJc w:val="left"/>
      <w:lvlText w:val="%1."/>
      <w:numFmt w:val="decimal"/>
      <w:start w:val="7"/>
    </w:lvl>
  </w:abstractNum>
  <w:abstractNum w:abstractNumId="13">
    <w:nsid w:val="41A7C4C9"/>
    <w:multiLevelType w:val="hybridMultilevel"/>
    <w:lvl w:ilvl="0">
      <w:lvlJc w:val="left"/>
      <w:lvlText w:val="%1"/>
      <w:numFmt w:val="decimal"/>
      <w:start w:val="1"/>
    </w:lvl>
    <w:lvl w:ilvl="1">
      <w:lvlJc w:val="left"/>
      <w:lvlText w:val="%2."/>
      <w:numFmt w:val="decimal"/>
      <w:start w:val="10"/>
    </w:lvl>
  </w:abstractNum>
  <w:abstractNum w:abstractNumId="14">
    <w:nsid w:val="6B68079A"/>
    <w:multiLevelType w:val="hybridMultilevel"/>
    <w:lvl w:ilvl="0">
      <w:lvlJc w:val="left"/>
      <w:lvlText w:val="%1."/>
      <w:numFmt w:val="decimal"/>
      <w:start w:val="11"/>
    </w:lvl>
    <w:lvl w:ilvl="1">
      <w:lvlJc w:val="left"/>
      <w:lvlText w:val="%2"/>
      <w:numFmt w:val="decimal"/>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2023-12-29T16:25:02Z</dcterms:created>
  <dcterms:modified xsi:type="dcterms:W3CDTF">2023-12-29T16:25:02Z</dcterms:modified>
</cp:coreProperties>
</file>