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04746L 104</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Alexander Rakitin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Perceptive Advisors LLC</w:t>
      </w:r>
    </w:p>
    <w:p>
      <w:pPr>
        <w:spacing w:after="0" w:line="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 Astor Place, 10</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1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 York, NY 10003</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(646) 205-5340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January 25,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Section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2"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04746L 104</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Perceptive Advisors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89"/>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3,425,916</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3,425,916</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7"/>
              </w:rPr>
              <w:t>3,425,916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IA</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04746L 104</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Joseph Edelman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89"/>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3,425,916</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3,425,916</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7"/>
              </w:rPr>
              <w:t>3,425,916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04746L 104</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Perceptive Life Sciences Master Fund, Ltd.</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(b)</w:t>
            </w:r>
          </w:p>
        </w:tc>
        <w:tc>
          <w:tcPr>
            <w:tcW w:w="932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w w:val="89"/>
              </w:rPr>
              <w:t>SEC Use Only</w:t>
            </w:r>
          </w:p>
        </w:tc>
        <w:tc>
          <w:tcPr>
            <w:tcW w:w="9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WC</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3,425,916</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3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3,425,916</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7"/>
              </w:rPr>
              <w:t>3,425,916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 Security and Issuer</w:t>
      </w:r>
    </w:p>
    <w:p>
      <w:pPr>
        <w:spacing w:after="0" w:line="121" w:lineRule="exact"/>
        <w:rPr>
          <w:sz w:val="20"/>
          <w:szCs w:val="20"/>
          <w:color w:val="auto"/>
        </w:rPr>
      </w:pPr>
    </w:p>
    <w:p>
      <w:pPr>
        <w:ind w:left="440" w:right="300"/>
        <w:spacing w:after="0" w:line="342" w:lineRule="auto"/>
        <w:rPr>
          <w:sz w:val="20"/>
          <w:szCs w:val="20"/>
          <w:color w:val="auto"/>
        </w:rPr>
      </w:pPr>
      <w:r>
        <w:rPr>
          <w:rFonts w:ascii="Arial" w:cs="Arial" w:eastAsia="Arial" w:hAnsi="Arial"/>
          <w:sz w:val="16"/>
          <w:szCs w:val="16"/>
          <w:color w:val="auto"/>
        </w:rPr>
        <w:t>This Schedule 13D relates to the shares of common stock, $0.0001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Athira Pharma, Inc., a Delaware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which has its principal executive offices at 18706 North Creek Parkway, Suite 104, Bothell, WA 98011.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35" w:lineRule="exact"/>
        <w:rPr>
          <w:sz w:val="20"/>
          <w:szCs w:val="20"/>
          <w:color w:val="auto"/>
        </w:rPr>
      </w:pPr>
    </w:p>
    <w:p>
      <w:pPr>
        <w:ind w:left="960" w:right="100" w:hanging="532"/>
        <w:spacing w:after="0" w:line="296"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Schedule 13D is being filed by Perceptive Advisors LLC (“</w:t>
      </w:r>
      <w:r>
        <w:rPr>
          <w:rFonts w:ascii="Arial" w:cs="Arial" w:eastAsia="Arial" w:hAnsi="Arial"/>
          <w:sz w:val="16"/>
          <w:szCs w:val="16"/>
          <w:u w:val="single" w:color="auto"/>
          <w:color w:val="auto"/>
        </w:rPr>
        <w:t>Perceptive Advisors</w:t>
      </w:r>
      <w:r>
        <w:rPr>
          <w:rFonts w:ascii="Arial" w:cs="Arial" w:eastAsia="Arial" w:hAnsi="Arial"/>
          <w:sz w:val="16"/>
          <w:szCs w:val="16"/>
          <w:color w:val="auto"/>
        </w:rPr>
        <w:t>”), Joseph Edelman (“</w:t>
      </w:r>
      <w:r>
        <w:rPr>
          <w:rFonts w:ascii="Arial" w:cs="Arial" w:eastAsia="Arial" w:hAnsi="Arial"/>
          <w:sz w:val="16"/>
          <w:szCs w:val="16"/>
          <w:u w:val="single" w:color="auto"/>
          <w:color w:val="auto"/>
        </w:rPr>
        <w:t>Mr. Edelman</w:t>
      </w:r>
      <w:r>
        <w:rPr>
          <w:rFonts w:ascii="Arial" w:cs="Arial" w:eastAsia="Arial" w:hAnsi="Arial"/>
          <w:sz w:val="16"/>
          <w:szCs w:val="16"/>
          <w:color w:val="auto"/>
        </w:rPr>
        <w:t>”), and Perceptive Life Sciences Master Fund, Ltd. (the “</w:t>
      </w:r>
      <w:r>
        <w:rPr>
          <w:rFonts w:ascii="Arial" w:cs="Arial" w:eastAsia="Arial" w:hAnsi="Arial"/>
          <w:sz w:val="16"/>
          <w:szCs w:val="16"/>
          <w:u w:val="single" w:color="auto"/>
          <w:color w:val="auto"/>
        </w:rPr>
        <w:t>Master Fund</w:t>
      </w:r>
      <w:r>
        <w:rPr>
          <w:rFonts w:ascii="Arial" w:cs="Arial" w:eastAsia="Arial" w:hAnsi="Arial"/>
          <w:sz w:val="16"/>
          <w:szCs w:val="16"/>
          <w:color w:val="auto"/>
        </w:rPr>
        <w:t>”, and together with Perceptive Advisors and Mr. Edelman, each of the foregoing, a “</w:t>
      </w:r>
      <w:r>
        <w:rPr>
          <w:rFonts w:ascii="Arial" w:cs="Arial" w:eastAsia="Arial" w:hAnsi="Arial"/>
          <w:sz w:val="16"/>
          <w:szCs w:val="16"/>
          <w:u w:val="single" w:color="auto"/>
          <w:color w:val="auto"/>
        </w:rPr>
        <w:t>Reporting Person</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Reporting Persons</w:t>
      </w:r>
      <w:r>
        <w:rPr>
          <w:rFonts w:ascii="Arial" w:cs="Arial" w:eastAsia="Arial" w:hAnsi="Arial"/>
          <w:sz w:val="16"/>
          <w:szCs w:val="16"/>
          <w:color w:val="auto"/>
        </w:rPr>
        <w:t>”). Perceptive Advisors serves as the investment advisor to the Master Fund and Mr. Edelman is the managing member of Perceptive Advisors. The agreement among the Reporting Persons to file this Schedule 13D jointly in accordance with Rule 13d-1(k) of the Securities Exchange Act of 1934, as amended, is attached hereto as Exhibit 1.</w:t>
      </w:r>
    </w:p>
    <w:p>
      <w:pPr>
        <w:spacing w:after="0" w:line="66" w:lineRule="exact"/>
        <w:rPr>
          <w:rFonts w:ascii="Arial" w:cs="Arial" w:eastAsia="Arial" w:hAnsi="Arial"/>
          <w:sz w:val="16"/>
          <w:szCs w:val="16"/>
          <w:color w:val="auto"/>
        </w:rPr>
      </w:pPr>
    </w:p>
    <w:p>
      <w:pPr>
        <w:ind w:left="960" w:hanging="532"/>
        <w:spacing w:after="0"/>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address of the principal business office of each of the Reporting Persons is 51 Astor Place 10th Floor, New York, NY 10003.</w:t>
      </w:r>
    </w:p>
    <w:p>
      <w:pPr>
        <w:spacing w:after="0" w:line="142" w:lineRule="exact"/>
        <w:rPr>
          <w:rFonts w:ascii="Arial" w:cs="Arial" w:eastAsia="Arial" w:hAnsi="Arial"/>
          <w:sz w:val="17"/>
          <w:szCs w:val="17"/>
          <w:color w:val="auto"/>
        </w:rPr>
      </w:pPr>
    </w:p>
    <w:p>
      <w:pPr>
        <w:jc w:val="both"/>
        <w:ind w:left="960" w:right="4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principal business of Perceptive Advisors is purchasing, holding and selling securities for investment purposes. The principal business of the Master Fund is to invest in securities. The principal occupation of Mr. Edelman is as the managing member of Perceptive Advisors.</w:t>
      </w:r>
    </w:p>
    <w:p>
      <w:pPr>
        <w:spacing w:after="0" w:line="29" w:lineRule="exact"/>
        <w:rPr>
          <w:rFonts w:ascii="Arial" w:cs="Arial" w:eastAsia="Arial" w:hAnsi="Arial"/>
          <w:sz w:val="16"/>
          <w:szCs w:val="16"/>
          <w:color w:val="auto"/>
        </w:rPr>
      </w:pPr>
    </w:p>
    <w:p>
      <w:pPr>
        <w:ind w:left="960" w:right="18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to the Reporting Persons’ knowledge, any of the persons listed in Schedule A, has been convicted in a criminal proceeding (excluding traffic violations or similar misdemeanors).</w:t>
      </w:r>
    </w:p>
    <w:p>
      <w:pPr>
        <w:spacing w:after="0" w:line="75"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to the Reporting Persons’ knowledge, any of the persons listed in Schedule A,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92"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Perceptive Advisors is a Delaware limited liability company. Mr. Edelman is a United States citizen. The Master Fund is a Cayman Islands corporation.</w:t>
      </w:r>
    </w:p>
    <w:p>
      <w:pPr>
        <w:spacing w:after="0" w:line="6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Schedule A attached hereto sets forth the information regarding the directors of the Master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The Reporting Persons acquired beneficial ownership of the shares of the Common Stock in the transactions and at the prices described in Item 5(c). The source of the funds for acquiring these shares was the working capital of the Master Fund.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Reporting Persons acquired the shares of Common Stock set forth in Item 5 and hold their shares of Common Stock for investment purposes.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Mr. Edelman is a director of the Issuer.</w:t>
      </w:r>
    </w:p>
    <w:p>
      <w:pPr>
        <w:spacing w:after="0" w:line="103" w:lineRule="exact"/>
        <w:rPr>
          <w:sz w:val="20"/>
          <w:szCs w:val="20"/>
          <w:color w:val="auto"/>
        </w:rPr>
      </w:pPr>
    </w:p>
    <w:p>
      <w:pPr>
        <w:ind w:left="440" w:right="40"/>
        <w:spacing w:after="0" w:line="273" w:lineRule="auto"/>
        <w:rPr>
          <w:sz w:val="20"/>
          <w:szCs w:val="20"/>
          <w:color w:val="auto"/>
        </w:rPr>
      </w:pPr>
      <w:r>
        <w:rPr>
          <w:rFonts w:ascii="Arial" w:cs="Arial" w:eastAsia="Arial" w:hAnsi="Arial"/>
          <w:sz w:val="17"/>
          <w:szCs w:val="17"/>
          <w:color w:val="auto"/>
        </w:rPr>
        <w:t>Each Reporting Person expects to continuously review such person’s investment in the Issuer and, depending on various factors including but not limited to, the price of the shares of Common Stock, the terms and conditions of the transaction, prevailing market conditions and such other considerations as such Reporting Person deems relevant, may at any time or from time to time, and subject to any required regulatory approvals, acquire additional shares of Common Stock, preferred stock or other securities convertible into or exercisable or exchangeable for Common Stock from time to time on the open market, in privately- negotiated transactions, directly from the Issuer, or upon the exercise or conversion of securities convertible into or exercisable or exchangeable for Common Stock.</w:t>
      </w:r>
    </w:p>
    <w:p>
      <w:pPr>
        <w:sectPr>
          <w:pgSz w:w="11900" w:h="16838" w:orient="portrait"/>
          <w:cols w:equalWidth="0" w:num="1">
            <w:col w:w="11000"/>
          </w:cols>
          <w:pgMar w:left="440" w:top="270" w:right="459" w:bottom="1440" w:gutter="0" w:footer="0" w:header="0"/>
        </w:sectPr>
      </w:pPr>
    </w:p>
    <w:bookmarkStart w:id="5" w:name="page6"/>
    <w:bookmarkEnd w:id="5"/>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Reporting Person also may, at any time, subject to compliance with applicable securities laws and regulatory requirements dispose or distribute some or all of its of his Common Stock or such other securities as it or he owns or may subsequently acquire depending on various factors, including but not limited to, the price of the shares, the terms and conditions of the transaction and prevailing market conditions, as well as the liquidity and diversification objectives.</w:t>
      </w:r>
    </w:p>
    <w:p>
      <w:pPr>
        <w:spacing w:after="0" w:line="79" w:lineRule="exact"/>
        <w:rPr>
          <w:sz w:val="20"/>
          <w:szCs w:val="20"/>
          <w:color w:val="auto"/>
        </w:rPr>
      </w:pPr>
    </w:p>
    <w:p>
      <w:pPr>
        <w:ind w:left="440" w:right="340"/>
        <w:spacing w:after="0" w:line="311" w:lineRule="auto"/>
        <w:rPr>
          <w:sz w:val="20"/>
          <w:szCs w:val="20"/>
          <w:color w:val="auto"/>
        </w:rPr>
      </w:pPr>
      <w:r>
        <w:rPr>
          <w:rFonts w:ascii="Arial" w:cs="Arial" w:eastAsia="Arial" w:hAnsi="Arial"/>
          <w:sz w:val="16"/>
          <w:szCs w:val="16"/>
          <w:color w:val="auto"/>
        </w:rPr>
        <w:t>Consistent with their investment intent, each Reporting Person may from time to time discuss with the Issuer’s management, directors, other shareholders and others, the Issuer’s performance, business, strategic direction, capital structure, product development program, prospects and management, as well as various ways of maximizing stockholder value, which may or may not include extraordinary transactions.</w:t>
      </w:r>
    </w:p>
    <w:p>
      <w:pPr>
        <w:spacing w:after="0" w:line="41" w:lineRule="exact"/>
        <w:rPr>
          <w:sz w:val="20"/>
          <w:szCs w:val="20"/>
          <w:color w:val="auto"/>
        </w:rPr>
      </w:pPr>
    </w:p>
    <w:p>
      <w:pPr>
        <w:jc w:val="both"/>
        <w:ind w:left="440" w:right="40"/>
        <w:spacing w:after="0" w:line="311" w:lineRule="auto"/>
        <w:rPr>
          <w:sz w:val="20"/>
          <w:szCs w:val="20"/>
          <w:color w:val="auto"/>
        </w:rPr>
      </w:pPr>
      <w:r>
        <w:rPr>
          <w:rFonts w:ascii="Arial" w:cs="Arial" w:eastAsia="Arial" w:hAnsi="Arial"/>
          <w:sz w:val="16"/>
          <w:szCs w:val="16"/>
          <w:color w:val="auto"/>
        </w:rPr>
        <w:t>Except as indicated herein, no Reporting Person, as a stockholder of the Issuer, has any plans or proposals that relates or would result in any of the transactions or other matters specified in clauses (a) though (j) of Item 4 of Schedule 13D. Each Reporting Person may, at any time and from time to time, review or reconsider its or his position and/or change its or his purpose and/or formulate plans or proposals with respect thereto.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35" w:lineRule="exact"/>
        <w:rPr>
          <w:sz w:val="20"/>
          <w:szCs w:val="20"/>
          <w:color w:val="auto"/>
        </w:rPr>
      </w:pPr>
    </w:p>
    <w:p>
      <w:pPr>
        <w:ind w:left="960" w:right="120" w:hanging="532"/>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set forth in rows 11 and 13 of the cover pages to this Schedule 13D is incorporated by reference. The percentage set forth in row 13 is based on 35,087,395 outstanding shares of Common Stock, as reported by the Issuer in its prospectus supplement filed with the Securities and Exchange Commission on January 21, 2021.</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set forth in rows 7 through 10 of the cover pages to this Schedule 13D is incorporated by reference.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January 25, 2021, the Master Fund purchased 311,111 shares at a purchase price of $22.50 per share.</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 of Common Stock subject to this Schedule 13D.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Investor Rights Agreement</w:t>
      </w:r>
    </w:p>
    <w:p>
      <w:pPr>
        <w:spacing w:after="0" w:line="12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The Master Fund and certain of the Issuer’s other investors have entered into an Investors’ Rights Agreement. The stockholders party to the Rights Agreement are entitled to certain registration rights, including the right to demand that the Issuer file a registration statement or request that their shares be covered by a registration statement that the Issuer is otherwise filing.</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Lock-up Agreement</w:t>
      </w:r>
    </w:p>
    <w:p>
      <w:pPr>
        <w:spacing w:after="0" w:line="121" w:lineRule="exact"/>
        <w:rPr>
          <w:sz w:val="20"/>
          <w:szCs w:val="20"/>
          <w:color w:val="auto"/>
        </w:rPr>
      </w:pPr>
    </w:p>
    <w:p>
      <w:pPr>
        <w:ind w:left="440" w:right="420"/>
        <w:spacing w:after="0" w:line="296" w:lineRule="auto"/>
        <w:rPr>
          <w:sz w:val="20"/>
          <w:szCs w:val="20"/>
          <w:color w:val="auto"/>
        </w:rPr>
      </w:pPr>
      <w:r>
        <w:rPr>
          <w:rFonts w:ascii="Arial" w:cs="Arial" w:eastAsia="Arial" w:hAnsi="Arial"/>
          <w:sz w:val="16"/>
          <w:szCs w:val="16"/>
          <w:color w:val="auto"/>
        </w:rPr>
        <w:t>In connection with the Issuer’s initial public offering, the Master Fund entered into a lock-up agreement for a period of 180 days with the representatives of the several underwriters, and in connection with the Issuer’s underwritten offering completed January 25, 2021, the Master Fund entered into a lock-up agreement for a period of 90 days (the “</w:t>
      </w:r>
      <w:r>
        <w:rPr>
          <w:rFonts w:ascii="Arial" w:cs="Arial" w:eastAsia="Arial" w:hAnsi="Arial"/>
          <w:sz w:val="16"/>
          <w:szCs w:val="16"/>
          <w:u w:val="single" w:color="auto"/>
          <w:color w:val="auto"/>
        </w:rPr>
        <w:t>Lock-up Agreements</w:t>
      </w:r>
      <w:r>
        <w:rPr>
          <w:rFonts w:ascii="Arial" w:cs="Arial" w:eastAsia="Arial" w:hAnsi="Arial"/>
          <w:sz w:val="16"/>
          <w:szCs w:val="16"/>
          <w:color w:val="auto"/>
        </w:rPr>
        <w:t>”). Pursuant to the Lock-up Agreements, the Master Fund and Perceptive LS, subject to certain exceptions, agreed not to sell or otherwise transfer any shares of Common Stock or securities convertible into, exchangeable for or exercisable for Common Stock, without the prior consent of the representatives.</w:t>
      </w:r>
    </w:p>
    <w:p>
      <w:pPr>
        <w:spacing w:after="0" w:line="53" w:lineRule="exact"/>
        <w:rPr>
          <w:sz w:val="20"/>
          <w:szCs w:val="20"/>
          <w:color w:val="auto"/>
        </w:rPr>
      </w:pPr>
    </w:p>
    <w:p>
      <w:pPr>
        <w:ind w:left="440" w:right="140"/>
        <w:spacing w:after="0" w:line="342" w:lineRule="auto"/>
        <w:rPr>
          <w:sz w:val="20"/>
          <w:szCs w:val="20"/>
          <w:color w:val="auto"/>
        </w:rPr>
      </w:pPr>
      <w:r>
        <w:rPr>
          <w:rFonts w:ascii="Arial" w:cs="Arial" w:eastAsia="Arial" w:hAnsi="Arial"/>
          <w:sz w:val="16"/>
          <w:szCs w:val="16"/>
          <w:color w:val="auto"/>
        </w:rPr>
        <w:t>The foregoing summaries of the Rights Agreement and Lock-up Agreements do not purport to be complete and are qualified in their entirety by reference to the Rights Agreement and the Lock-up Agreements, each of which is filed as an exhibit hereto and incorporated by reference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 1 Joint Filing Agreement</w:t>
      </w:r>
    </w:p>
    <w:p>
      <w:pPr>
        <w:sectPr>
          <w:pgSz w:w="11900" w:h="16838" w:orient="portrait"/>
          <w:cols w:equalWidth="0" w:num="1">
            <w:col w:w="11020"/>
          </w:cols>
          <w:pgMar w:left="440" w:top="274" w:right="439" w:bottom="1440" w:gutter="0" w:footer="0" w:header="0"/>
        </w:sectPr>
      </w:pPr>
    </w:p>
    <w:bookmarkStart w:id="6" w:name="page7"/>
    <w:bookmarkEnd w:id="6"/>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2 Amended and Restated Investor Rights Agreement, dated May 29, 2020 (incorporated by reference to Exhibit 4.2 to the Issuer’s Registration Statement on Form S-1 (File No. 333-248428)</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3 Form of Lock-up Agreement (incorporated by reference to Annex V to Exhibit 1.1 to the Issuer’s Registration Statement on Form S-1 (File No. 333-248428)</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Exhibit 4 Form of Lock-up Agreement (incorporated by reference to Annex I to Exhibit 1.1 to the Issuer’s Registration Statement on Form S-1 (File No.</w:t>
      </w:r>
    </w:p>
    <w:p>
      <w:pPr>
        <w:sectPr>
          <w:pgSz w:w="11900" w:h="16838" w:orient="portrait"/>
          <w:cols w:equalWidth="0" w:num="1">
            <w:col w:w="10360"/>
          </w:cols>
          <w:pgMar w:left="880" w:top="274" w:right="6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900"/>
          </w:cols>
          <w:pgMar w:left="440" w:top="270" w:right="559" w:bottom="1440" w:gutter="0" w:footer="0" w:header="0"/>
        </w:sectPr>
      </w:pPr>
    </w:p>
    <w:bookmarkStart w:id="8" w:name="page9"/>
    <w:bookmarkEnd w:id="8"/>
    <w:p>
      <w:pPr>
        <w:jc w:val="center"/>
        <w:ind w:right="-3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following sets forth the name, address, principal occupation, citizenship and beneficial ownership of the shares of Common Stock (to the extent not pursuant to Item 5(a)) of each director of the Master Fund.</w:t>
      </w:r>
    </w:p>
    <w:p>
      <w:pPr>
        <w:sectPr>
          <w:pgSz w:w="11900" w:h="16838" w:orient="portrait"/>
          <w:cols w:equalWidth="0" w:num="1">
            <w:col w:w="10640"/>
          </w:cols>
          <w:pgMar w:left="440" w:top="270" w:right="81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Master Fund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Citizenship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Scott Dakers</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Ernest A. Morrison</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(United Kingdom)</w:t>
      </w:r>
    </w:p>
    <w:p>
      <w:pPr>
        <w:spacing w:after="0" w:line="34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James Nicholas</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22225</wp:posOffset>
            </wp:positionV>
            <wp:extent cx="1671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Principal 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15240</wp:posOffset>
            </wp:positionV>
            <wp:extent cx="1671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5" w:lineRule="exact"/>
        <w:rPr>
          <w:sz w:val="20"/>
          <w:szCs w:val="20"/>
          <w:color w:val="auto"/>
        </w:rPr>
      </w:pPr>
    </w:p>
    <w:p>
      <w:pPr>
        <w:jc w:val="center"/>
        <w:spacing w:after="0" w:line="256" w:lineRule="auto"/>
        <w:rPr>
          <w:sz w:val="20"/>
          <w:szCs w:val="20"/>
          <w:color w:val="auto"/>
        </w:rPr>
      </w:pPr>
      <w:r>
        <w:rPr>
          <w:rFonts w:ascii="Arial" w:cs="Arial" w:eastAsia="Arial" w:hAnsi="Arial"/>
          <w:sz w:val="18"/>
          <w:szCs w:val="18"/>
          <w:color w:val="auto"/>
        </w:rPr>
        <w:t>c/o Elian Fiduciary Services (Cayman) Limited 190 Elgin Avenue, George Town Grand Cayman KY1-9007 Cayman Islands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Cox Hallett Wilkinson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Milner House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Parliament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HM 1561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Hamilton HM FX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Bermuda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GenesisPoint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 Old Kings Highway 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Darien, CT 06820</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firstLine="37"/>
        <w:spacing w:after="0" w:line="342" w:lineRule="auto"/>
        <w:rPr>
          <w:sz w:val="20"/>
          <w:szCs w:val="20"/>
          <w:color w:val="auto"/>
        </w:rPr>
      </w:pPr>
      <w:r>
        <w:rPr>
          <w:rFonts w:ascii="Arial" w:cs="Arial" w:eastAsia="Arial" w:hAnsi="Arial"/>
          <w:sz w:val="12"/>
          <w:szCs w:val="12"/>
          <w:b w:val="1"/>
          <w:bCs w:val="1"/>
          <w:color w:val="auto"/>
        </w:rPr>
        <w:t>Beneficial Ownership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-37465</wp:posOffset>
            </wp:positionV>
            <wp:extent cx="1465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ectPr>
          <w:pgSz w:w="11900" w:h="16838" w:orient="portrait"/>
          <w:cols w:equalWidth="0" w:num="4">
            <w:col w:w="3480" w:space="720"/>
            <w:col w:w="1140" w:space="720"/>
            <w:col w:w="2360" w:space="660"/>
            <w:col w:w="1560"/>
          </w:cols>
          <w:pgMar w:left="440" w:top="270" w:right="81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persons below hereby agree that the Schedule 13D to which this agreement is attached as an exhibit, as well as all future amendments to such Schedule 13D, shall be filed jointly on behalf of each of them. This agreement is intended to satisfy the requirements of Rule 13d-1(k)(1)(iii) under the Securities Exchange Act of 1934.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2021-02-08T16:17:06Z</dcterms:created>
  <dcterms:modified xsi:type="dcterms:W3CDTF">2021-02-08T16:17:06Z</dcterms:modified>
</cp:coreProperties>
</file>