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782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8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Litton Mark James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0.3762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333,815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333,815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333,815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222,543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222,543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222,543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2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48 months on the monthly anniversaries of the grant date, subject to the optionee continuing to be a Service Provider (as defined in the Issuer's 2020 Equity Incentive Plan) through the applicable vesting dates.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(1) share of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RSUs shall vest on the one (1) year anniversary of the grant date, subject to the Reporting Person continuing to be a Service Provider (as defined in the Issuer's 2020 Equity Incentive Plan (the "Plan")) through the vesting date.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33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Litton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5391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04834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2025-03-04T15:49:28Z</dcterms:created>
  <dcterms:modified xsi:type="dcterms:W3CDTF">2025-03-04T15:49:28Z</dcterms:modified>
</cp:coreProperties>
</file>