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9" w:lineRule="exact"/>
        <w:rPr>
          <w:sz w:val="24"/>
          <w:szCs w:val="24"/>
          <w:color w:val="auto"/>
        </w:rPr>
      </w:pPr>
    </w:p>
    <w:p>
      <w:pPr>
        <w:ind w:left="320" w:right="1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-214630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4" w:lineRule="exact"/>
        <w:rPr>
          <w:sz w:val="24"/>
          <w:szCs w:val="24"/>
          <w:color w:val="auto"/>
        </w:rPr>
      </w:pPr>
    </w:p>
    <w:p>
      <w:pPr>
        <w:ind w:left="32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2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-594360</wp:posOffset>
            </wp:positionV>
            <wp:extent cx="56515" cy="607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629920</wp:posOffset>
            </wp:positionV>
            <wp:extent cx="7000240" cy="8851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8851900"/>
                    </a:xfrm>
                    <a:prstGeom prst="rect">
                      <a:avLst/>
                    </a:prstGeom>
                    <a:noFill/>
                  </pic:spPr>
                </pic:pic>
              </a:graphicData>
            </a:graphic>
          </wp:anchor>
        </w:drawing>
      </w:r>
    </w:p>
    <w:p>
      <w:pPr>
        <w:spacing w:after="0" w:line="1060" w:lineRule="exact"/>
        <w:rPr>
          <w:sz w:val="24"/>
          <w:szCs w:val="24"/>
          <w:color w:val="auto"/>
        </w:rPr>
      </w:pPr>
    </w:p>
    <w:p>
      <w:pPr>
        <w:sectPr>
          <w:pgSz w:w="11900" w:h="16838" w:orient="portrait"/>
          <w:cols w:equalWidth="0" w:num="2">
            <w:col w:w="2260" w:space="46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PERCEPTIVE ADVISORS LLC</w:t>
        </w:r>
      </w:hyperlink>
    </w:p>
    <w:p>
      <w:pPr>
        <w:spacing w:after="0" w:line="274"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38"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LeonaBio,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color w:val="auto"/>
        </w:rPr>
        <w:t>Foreign Trading Symbol</w:t>
      </w:r>
    </w:p>
    <w:p>
      <w:pPr>
        <w:spacing w:after="0" w:line="31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10/26/2026</w:t>
      </w:r>
    </w:p>
    <w:p>
      <w:pPr>
        <w:spacing w:after="0" w:line="20" w:lineRule="exact"/>
        <w:rPr>
          <w:sz w:val="24"/>
          <w:szCs w:val="24"/>
          <w:color w:val="auto"/>
        </w:rPr>
      </w:pPr>
      <w:r>
        <w:rPr>
          <w:sz w:val="24"/>
          <w:szCs w:val="24"/>
          <w:color w:val="auto"/>
        </w:rPr>
        <w:br w:type="column"/>
      </w:r>
    </w:p>
    <w:p>
      <w:pPr>
        <w:ind w:left="-8" w:right="780" w:firstLine="8"/>
        <w:spacing w:after="0" w:line="273" w:lineRule="auto"/>
        <w:tabs>
          <w:tab w:leader="none" w:pos="12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32"/>
        <w:spacing w:after="0"/>
        <w:tabs>
          <w:tab w:leader="none" w:pos="1729"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620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20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32"/>
        <w:spacing w:after="0"/>
        <w:tabs>
          <w:tab w:leader="none" w:pos="209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33" w:lineRule="exact"/>
        <w:rPr>
          <w:sz w:val="24"/>
          <w:szCs w:val="24"/>
          <w:color w:val="auto"/>
        </w:rPr>
      </w:pPr>
    </w:p>
    <w:p>
      <w:pPr>
        <w:sectPr>
          <w:pgSz w:w="11900" w:h="16838" w:orient="portrait"/>
          <w:cols w:equalWidth="0" w:num="3">
            <w:col w:w="3180" w:space="720"/>
            <w:col w:w="3108" w:space="720"/>
            <w:col w:w="3352"/>
          </w:cols>
          <w:pgMar w:left="460" w:top="212" w:right="35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9"/>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8"/>
          </w:tcPr>
          <w:p>
            <w:pPr>
              <w:ind w:left="5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10003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6"/>
          </w:tcPr>
          <w:p>
            <w:pPr>
              <w:ind w:left="34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6100" w:type="dxa"/>
            <w:vAlign w:val="bottom"/>
            <w:tcBorders>
              <w:top w:val="single" w:sz="8" w:color="2C2C2C"/>
            </w:tcBorders>
            <w:gridSpan w:val="16"/>
          </w:tcPr>
          <w:p>
            <w:pPr>
              <w:ind w:left="2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80" w:type="dxa"/>
            <w:vAlign w:val="bottom"/>
          </w:tcPr>
          <w:p>
            <w:pPr>
              <w:spacing w:after="0"/>
              <w:rPr>
                <w:sz w:val="13"/>
                <w:szCs w:val="13"/>
                <w:color w:val="auto"/>
              </w:rPr>
            </w:pPr>
          </w:p>
        </w:tc>
        <w:tc>
          <w:tcPr>
            <w:tcW w:w="1480" w:type="dxa"/>
            <w:vAlign w:val="bottom"/>
            <w:gridSpan w:val="4"/>
          </w:tcPr>
          <w:p>
            <w:pPr>
              <w:ind w:left="5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520"/>
              <w:spacing w:after="0" w:line="123"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68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ind w:left="520"/>
              <w:spacing w:after="0" w:line="123" w:lineRule="exact"/>
              <w:rPr>
                <w:sz w:val="20"/>
                <w:szCs w:val="20"/>
                <w:color w:val="auto"/>
              </w:rPr>
            </w:pPr>
            <w:r>
              <w:rPr>
                <w:rFonts w:ascii="Arial" w:cs="Arial" w:eastAsia="Arial" w:hAnsi="Arial"/>
                <w:sz w:val="11"/>
                <w:szCs w:val="11"/>
                <w:b w:val="1"/>
                <w:bCs w:val="1"/>
                <w:color w:val="auto"/>
              </w:rPr>
              <w:t>(Month/Day/Year)</w:t>
            </w:r>
          </w:p>
        </w:tc>
        <w:tc>
          <w:tcPr>
            <w:tcW w:w="9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4"/>
              </w:rPr>
              <w:t>Code (Instr.</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3"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Pr>
          <w:p>
            <w:pPr>
              <w:spacing w:after="0"/>
              <w:rPr>
                <w:sz w:val="20"/>
                <w:szCs w:val="20"/>
                <w:color w:val="auto"/>
              </w:rPr>
            </w:pPr>
          </w:p>
        </w:tc>
        <w:tc>
          <w:tcPr>
            <w:tcW w:w="1760" w:type="dxa"/>
            <w:vAlign w:val="bottom"/>
            <w:gridSpan w:val="5"/>
            <w:vMerge w:val="restart"/>
          </w:tcPr>
          <w:p>
            <w:pPr>
              <w:ind w:left="880"/>
              <w:spacing w:after="0"/>
              <w:rPr>
                <w:sz w:val="20"/>
                <w:szCs w:val="20"/>
                <w:color w:val="auto"/>
              </w:rPr>
            </w:pPr>
            <w:r>
              <w:rPr>
                <w:rFonts w:ascii="Times New Roman" w:cs="Times New Roman" w:eastAsia="Times New Roman" w:hAnsi="Times New Roman"/>
                <w:sz w:val="16"/>
                <w:szCs w:val="16"/>
                <w:color w:val="0000FF"/>
              </w:rPr>
              <w:t>10/26/2026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restart"/>
          </w:tcPr>
          <w:p>
            <w:pPr>
              <w:jc w:val="center"/>
              <w:ind w:right="183"/>
              <w:spacing w:after="0"/>
              <w:rPr>
                <w:sz w:val="20"/>
                <w:szCs w:val="20"/>
                <w:color w:val="auto"/>
              </w:rPr>
            </w:pPr>
            <w:r>
              <w:rPr>
                <w:rFonts w:ascii="Times New Roman" w:cs="Times New Roman" w:eastAsia="Times New Roman" w:hAnsi="Times New Roman"/>
                <w:sz w:val="12"/>
                <w:szCs w:val="12"/>
                <w:color w:val="0000FF"/>
                <w:w w:val="93"/>
              </w:rPr>
              <w:t>M</w:t>
            </w: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0000FF"/>
                <w:w w:val="96"/>
              </w:rPr>
              <w:t>776,648</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0.001</w:t>
            </w:r>
          </w:p>
        </w:tc>
        <w:tc>
          <w:tcPr>
            <w:tcW w:w="6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776,648</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0"/>
                <w:szCs w:val="20"/>
                <w:color w:val="008000"/>
                <w:w w:val="95"/>
                <w:vertAlign w:val="superscript"/>
              </w:rPr>
              <w:t>(1)(7)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1,529,566</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0"/>
                <w:szCs w:val="20"/>
                <w:color w:val="008000"/>
                <w:w w:val="95"/>
                <w:vertAlign w:val="superscript"/>
              </w:rPr>
              <w:t>(2)(7)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329,756</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0"/>
                <w:szCs w:val="20"/>
                <w:color w:val="008000"/>
                <w:w w:val="97"/>
                <w:vertAlign w:val="superscript"/>
              </w:rPr>
              <w:t>(3)(7)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6100" w:type="dxa"/>
            <w:vAlign w:val="bottom"/>
            <w:tcBorders>
              <w:top w:val="single" w:sz="8" w:color="2C2C2C"/>
            </w:tcBorders>
            <w:gridSpan w:val="16"/>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0" w:type="dxa"/>
            <w:vAlign w:val="bottom"/>
            <w:gridSpan w:val="14"/>
          </w:tcPr>
          <w:p>
            <w:pPr>
              <w:ind w:left="6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3"/>
                <w:szCs w:val="13"/>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w w:val="96"/>
              </w:rPr>
              <w:t>Expiration Date</w:t>
            </w:r>
          </w:p>
        </w:tc>
        <w:tc>
          <w:tcPr>
            <w:tcW w:w="620" w:type="dxa"/>
            <w:vAlign w:val="bottom"/>
          </w:tcPr>
          <w:p>
            <w:pPr>
              <w:spacing w:after="0"/>
              <w:rPr>
                <w:sz w:val="10"/>
                <w:szCs w:val="10"/>
                <w:color w:val="auto"/>
              </w:rPr>
            </w:pPr>
          </w:p>
        </w:tc>
        <w:tc>
          <w:tcPr>
            <w:tcW w:w="14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Ownership</w:t>
            </w:r>
          </w:p>
        </w:tc>
        <w:tc>
          <w:tcPr>
            <w:tcW w:w="9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2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9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5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3"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Funded</w:t>
            </w:r>
          </w:p>
        </w:tc>
        <w:tc>
          <w:tcPr>
            <w:tcW w:w="6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10/26/2026</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9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2"/>
                <w:szCs w:val="12"/>
                <w:color w:val="0000FF"/>
              </w:rPr>
              <w:t>776,648</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776,648</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jc w:val="center"/>
              <w:ind w:left="223"/>
              <w:spacing w:after="0"/>
              <w:rPr>
                <w:sz w:val="20"/>
                <w:szCs w:val="20"/>
                <w:color w:val="auto"/>
              </w:rPr>
            </w:pPr>
            <w:r>
              <w:rPr>
                <w:rFonts w:ascii="Times New Roman" w:cs="Times New Roman" w:eastAsia="Times New Roman" w:hAnsi="Times New Roman"/>
                <w:sz w:val="12"/>
                <w:szCs w:val="12"/>
                <w:color w:val="0000FF"/>
                <w:w w:val="99"/>
              </w:rPr>
              <w:t>0</w:t>
            </w:r>
          </w:p>
        </w:tc>
        <w:tc>
          <w:tcPr>
            <w:tcW w:w="28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008000"/>
                <w:w w:val="85"/>
              </w:rPr>
              <w:t>(1)</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800" w:type="dxa"/>
            <w:vAlign w:val="bottom"/>
            <w:gridSpan w:val="2"/>
          </w:tcPr>
          <w:p>
            <w:pPr>
              <w:jc w:val="center"/>
              <w:ind w:right="63"/>
              <w:spacing w:after="0" w:line="110" w:lineRule="exact"/>
              <w:rPr>
                <w:sz w:val="20"/>
                <w:szCs w:val="20"/>
                <w:color w:val="auto"/>
              </w:rPr>
            </w:pPr>
            <w:r>
              <w:rPr>
                <w:rFonts w:ascii="Times New Roman" w:cs="Times New Roman" w:eastAsia="Times New Roman" w:hAnsi="Times New Roman"/>
                <w:sz w:val="10"/>
                <w:szCs w:val="10"/>
                <w:color w:val="008000"/>
              </w:rPr>
              <w:t>(4)(5)</w:t>
            </w:r>
          </w:p>
        </w:tc>
        <w:tc>
          <w:tcPr>
            <w:tcW w:w="620" w:type="dxa"/>
            <w:vAlign w:val="bottom"/>
          </w:tcPr>
          <w:p>
            <w:pPr>
              <w:ind w:left="220"/>
              <w:spacing w:after="0" w:line="110" w:lineRule="exact"/>
              <w:rPr>
                <w:sz w:val="20"/>
                <w:szCs w:val="20"/>
                <w:color w:val="auto"/>
              </w:rPr>
            </w:pPr>
            <w:r>
              <w:rPr>
                <w:rFonts w:ascii="Times New Roman" w:cs="Times New Roman" w:eastAsia="Times New Roman" w:hAnsi="Times New Roman"/>
                <w:sz w:val="10"/>
                <w:szCs w:val="10"/>
                <w:color w:val="008000"/>
              </w:rPr>
              <w:t>(6)</w:t>
            </w:r>
          </w:p>
        </w:tc>
        <w:tc>
          <w:tcPr>
            <w:tcW w:w="6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220"/>
              <w:spacing w:after="0" w:line="110" w:lineRule="exact"/>
              <w:rPr>
                <w:sz w:val="20"/>
                <w:szCs w:val="20"/>
                <w:color w:val="auto"/>
              </w:rPr>
            </w:pPr>
            <w:r>
              <w:rPr>
                <w:rFonts w:ascii="Times New Roman" w:cs="Times New Roman" w:eastAsia="Times New Roman" w:hAnsi="Times New Roman"/>
                <w:sz w:val="10"/>
                <w:szCs w:val="10"/>
                <w:color w:val="008000"/>
              </w:rPr>
              <w:t>(4)</w:t>
            </w: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2"/>
          </w:tcPr>
          <w:p>
            <w:pPr>
              <w:ind w:left="120"/>
              <w:spacing w:after="0" w:line="110"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Funded</w:t>
            </w:r>
          </w:p>
        </w:tc>
        <w:tc>
          <w:tcPr>
            <w:tcW w:w="6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vMerge w:val="restart"/>
          </w:tcPr>
          <w:p>
            <w:pPr>
              <w:jc w:val="center"/>
              <w:ind w:right="63"/>
              <w:spacing w:after="0"/>
              <w:rPr>
                <w:sz w:val="20"/>
                <w:szCs w:val="20"/>
                <w:color w:val="auto"/>
              </w:rPr>
            </w:pPr>
            <w:r>
              <w:rPr>
                <w:rFonts w:ascii="Times New Roman" w:cs="Times New Roman" w:eastAsia="Times New Roman" w:hAnsi="Times New Roman"/>
                <w:sz w:val="12"/>
                <w:szCs w:val="12"/>
                <w:color w:val="0000FF"/>
                <w:w w:val="96"/>
              </w:rPr>
              <w:t>12/23/2025</w:t>
            </w:r>
            <w:r>
              <w:rPr>
                <w:rFonts w:ascii="Times New Roman" w:cs="Times New Roman" w:eastAsia="Times New Roman" w:hAnsi="Times New Roman"/>
                <w:sz w:val="20"/>
                <w:szCs w:val="20"/>
                <w:color w:val="008000"/>
                <w:w w:val="96"/>
                <w:vertAlign w:val="superscript"/>
              </w:rPr>
              <w:t>(9)</w:t>
            </w:r>
          </w:p>
        </w:tc>
        <w:tc>
          <w:tcPr>
            <w:tcW w:w="6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457,645</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457,645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008000"/>
                <w:w w:val="85"/>
              </w:rPr>
              <w:t>(3)</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Funded</w:t>
            </w:r>
          </w:p>
        </w:tc>
        <w:tc>
          <w:tcPr>
            <w:tcW w:w="6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vMerge w:val="restart"/>
          </w:tcPr>
          <w:p>
            <w:pPr>
              <w:jc w:val="center"/>
              <w:ind w:right="63"/>
              <w:spacing w:after="0"/>
              <w:rPr>
                <w:sz w:val="20"/>
                <w:szCs w:val="20"/>
                <w:color w:val="auto"/>
              </w:rPr>
            </w:pPr>
            <w:r>
              <w:rPr>
                <w:rFonts w:ascii="Times New Roman" w:cs="Times New Roman" w:eastAsia="Times New Roman" w:hAnsi="Times New Roman"/>
                <w:sz w:val="12"/>
                <w:szCs w:val="12"/>
                <w:color w:val="0000FF"/>
                <w:w w:val="96"/>
              </w:rPr>
              <w:t>12/23/2025</w:t>
            </w:r>
            <w:r>
              <w:rPr>
                <w:rFonts w:ascii="Times New Roman" w:cs="Times New Roman" w:eastAsia="Times New Roman" w:hAnsi="Times New Roman"/>
                <w:sz w:val="20"/>
                <w:szCs w:val="20"/>
                <w:color w:val="008000"/>
                <w:w w:val="96"/>
                <w:vertAlign w:val="superscript"/>
              </w:rPr>
              <w:t>(9)</w:t>
            </w:r>
          </w:p>
        </w:tc>
        <w:tc>
          <w:tcPr>
            <w:tcW w:w="6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1,372,935</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1,372,935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008000"/>
                <w:w w:val="85"/>
              </w:rPr>
              <w:t>(2)</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4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(7)</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Funded</w:t>
            </w:r>
          </w:p>
        </w:tc>
        <w:tc>
          <w:tcPr>
            <w:tcW w:w="6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2,352,932</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2,352,932</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940" w:type="dxa"/>
            <w:vAlign w:val="bottom"/>
            <w:gridSpan w:val="2"/>
          </w:tcPr>
          <w:p>
            <w:pPr>
              <w:ind w:left="820"/>
              <w:spacing w:after="0"/>
              <w:rPr>
                <w:sz w:val="20"/>
                <w:szCs w:val="20"/>
                <w:color w:val="auto"/>
              </w:rPr>
            </w:pPr>
            <w:r>
              <w:rPr>
                <w:rFonts w:ascii="Times New Roman" w:cs="Times New Roman" w:eastAsia="Times New Roman" w:hAnsi="Times New Roman"/>
                <w:sz w:val="10"/>
                <w:szCs w:val="10"/>
                <w:color w:val="008000"/>
                <w:w w:val="85"/>
              </w:rPr>
              <w:t>(3)</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gridSpan w:val="2"/>
          </w:tcPr>
          <w:p>
            <w:pPr>
              <w:ind w:left="60"/>
              <w:spacing w:after="0" w:line="110" w:lineRule="exact"/>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gridSpan w:val="2"/>
          </w:tcPr>
          <w:p>
            <w:pPr>
              <w:jc w:val="center"/>
              <w:ind w:right="63"/>
              <w:spacing w:after="0" w:line="110" w:lineRule="exact"/>
              <w:rPr>
                <w:sz w:val="20"/>
                <w:szCs w:val="20"/>
                <w:color w:val="auto"/>
              </w:rPr>
            </w:pPr>
            <w:r>
              <w:rPr>
                <w:rFonts w:ascii="Times New Roman" w:cs="Times New Roman" w:eastAsia="Times New Roman" w:hAnsi="Times New Roman"/>
                <w:sz w:val="10"/>
                <w:szCs w:val="10"/>
                <w:color w:val="008000"/>
              </w:rPr>
              <w:t>(4)(9)</w:t>
            </w:r>
          </w:p>
        </w:tc>
        <w:tc>
          <w:tcPr>
            <w:tcW w:w="620" w:type="dxa"/>
            <w:vAlign w:val="bottom"/>
          </w:tcPr>
          <w:p>
            <w:pPr>
              <w:ind w:left="220"/>
              <w:spacing w:after="0" w:line="110" w:lineRule="exact"/>
              <w:rPr>
                <w:sz w:val="20"/>
                <w:szCs w:val="20"/>
                <w:color w:val="auto"/>
              </w:rPr>
            </w:pPr>
            <w:r>
              <w:rPr>
                <w:rFonts w:ascii="Times New Roman" w:cs="Times New Roman" w:eastAsia="Times New Roman" w:hAnsi="Times New Roman"/>
                <w:sz w:val="10"/>
                <w:szCs w:val="10"/>
                <w:color w:val="008000"/>
              </w:rPr>
              <w:t>(6)</w:t>
            </w:r>
          </w:p>
        </w:tc>
        <w:tc>
          <w:tcPr>
            <w:tcW w:w="6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2"/>
          </w:tcPr>
          <w:p>
            <w:pPr>
              <w:ind w:left="120"/>
              <w:spacing w:after="0" w:line="110" w:lineRule="exact"/>
              <w:rPr>
                <w:sz w:val="20"/>
                <w:szCs w:val="20"/>
                <w:color w:val="auto"/>
              </w:rPr>
            </w:pPr>
            <w:r>
              <w:rPr>
                <w:rFonts w:ascii="Times New Roman" w:cs="Times New Roman" w:eastAsia="Times New Roman" w:hAnsi="Times New Roman"/>
                <w:sz w:val="12"/>
                <w:szCs w:val="12"/>
                <w:color w:val="0000FF"/>
              </w:rPr>
              <w:t>See Footnotes</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2420" w:type="dxa"/>
            <w:vAlign w:val="bottom"/>
            <w:tcBorders>
              <w:top w:val="single" w:sz="8" w:color="2C2C2C"/>
            </w:tcBorders>
            <w:gridSpan w:val="4"/>
          </w:tcPr>
          <w:p>
            <w:pPr>
              <w:ind w:left="60"/>
              <w:spacing w:after="0" w:line="21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6"/>
          </w:tcPr>
          <w:p>
            <w:pPr>
              <w:spacing w:after="0" w:line="20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PERCEPTIVE ADVISORS LLC</w:t>
              </w:r>
            </w:hyperlink>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(First)</w:t>
            </w:r>
          </w:p>
        </w:tc>
        <w:tc>
          <w:tcPr>
            <w:tcW w:w="28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51 ASTOR PLACE, 10TH FLOOR</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10003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gridSpan w:val="2"/>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(State)</w:t>
            </w:r>
          </w:p>
        </w:tc>
        <w:tc>
          <w:tcPr>
            <w:tcW w:w="28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-4751070</wp:posOffset>
            </wp:positionV>
            <wp:extent cx="27940" cy="328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3287395"/>
                    </a:xfrm>
                    <a:prstGeom prst="rect">
                      <a:avLst/>
                    </a:prstGeom>
                    <a:noFill/>
                  </pic:spPr>
                </pic:pic>
              </a:graphicData>
            </a:graphic>
          </wp:anchor>
        </w:drawing>
      </w:r>
    </w:p>
    <w:p>
      <w:pPr>
        <w:spacing w:after="0" w:line="100"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EDELMAN JOSEPH</w:t>
        </w:r>
      </w:hyperlink>
    </w:p>
    <w:p>
      <w:pPr>
        <w:sectPr>
          <w:pgSz w:w="11900" w:h="16838" w:orient="portrait"/>
          <w:cols w:equalWidth="0" w:num="1">
            <w:col w:w="11080"/>
          </w:cols>
          <w:pgMar w:left="460" w:top="212" w:right="359" w:bottom="0" w:gutter="0" w:footer="0" w:header="0"/>
          <w:type w:val="continuous"/>
        </w:sectPr>
      </w:pPr>
    </w:p>
    <w:p>
      <w:pPr>
        <w:spacing w:after="0" w:line="274" w:lineRule="exact"/>
        <w:rPr>
          <w:sz w:val="24"/>
          <w:szCs w:val="24"/>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2" w:right="359" w:bottom="0" w:gutter="0" w:footer="0" w:header="0"/>
          <w:type w:val="continuous"/>
        </w:sectPr>
      </w:pPr>
    </w:p>
    <w:bookmarkStart w:id="1" w:name="page2"/>
    <w:bookmarkEnd w:id="1"/>
    <w:p>
      <w:pPr>
        <w:ind w:left="65"/>
        <w:spacing w:after="0"/>
        <w:rPr>
          <w:sz w:val="20"/>
          <w:szCs w:val="20"/>
          <w:color w:val="auto"/>
        </w:rPr>
      </w:pPr>
      <w:r>
        <w:rPr>
          <w:rFonts w:ascii="Times New Roman" w:cs="Times New Roman" w:eastAsia="Times New Roman" w:hAnsi="Times New Roman"/>
          <w:sz w:val="16"/>
          <w:szCs w:val="16"/>
          <w:color w:val="0000FF"/>
        </w:rPr>
        <w:t>51 ASTOR PL, 10TH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-107950</wp:posOffset>
            </wp:positionV>
            <wp:extent cx="2813685" cy="256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3685" cy="2560320"/>
                    </a:xfrm>
                    <a:prstGeom prst="rect">
                      <a:avLst/>
                    </a:prstGeom>
                    <a:noFill/>
                  </pic:spPr>
                </pic:pic>
              </a:graphicData>
            </a:graphic>
          </wp:anchor>
        </w:drawing>
      </w:r>
    </w:p>
    <w:p>
      <w:pPr>
        <w:spacing w:after="0" w:line="298"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18"/>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10003</w:t>
            </w:r>
          </w:p>
        </w:tc>
      </w:tr>
      <w:tr>
        <w:trPr>
          <w:trHeight w:val="140"/>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5"/>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5"/>
        <w:spacing w:after="0" w:line="229" w:lineRule="auto"/>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PERCEPTIVE LIFE SCIENCES MASTER FUND</w:t>
        </w:r>
      </w:hyperlink>
    </w:p>
    <w:p>
      <w:pPr>
        <w:spacing w:after="0" w:line="1" w:lineRule="exact"/>
        <w:rPr>
          <w:sz w:val="20"/>
          <w:szCs w:val="20"/>
          <w:color w:val="auto"/>
        </w:rPr>
      </w:pPr>
    </w:p>
    <w:p>
      <w:pPr>
        <w:ind w:left="65"/>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LTD</w:t>
        </w:r>
      </w:hyperlink>
    </w:p>
    <w:p>
      <w:pPr>
        <w:spacing w:after="0" w:line="274"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tcPr>
          <w:p>
            <w:pPr>
              <w:ind w:left="280"/>
              <w:spacing w:after="0"/>
              <w:rPr>
                <w:sz w:val="20"/>
                <w:szCs w:val="20"/>
                <w:color w:val="auto"/>
              </w:rPr>
            </w:pPr>
            <w:r>
              <w:rPr>
                <w:rFonts w:ascii="Arial" w:cs="Arial" w:eastAsia="Arial" w:hAnsi="Arial"/>
                <w:sz w:val="12"/>
                <w:szCs w:val="12"/>
                <w:color w:val="auto"/>
              </w:rPr>
              <w:t>(First)</w:t>
            </w:r>
          </w:p>
        </w:tc>
        <w:tc>
          <w:tcPr>
            <w:tcW w:w="1640" w:type="dxa"/>
            <w:vAlign w:val="bottom"/>
          </w:tcPr>
          <w:p>
            <w:pPr>
              <w:ind w:left="26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51 ASTOR PLACE, 10TH FLOOR</w:t>
            </w:r>
          </w:p>
        </w:tc>
        <w:tc>
          <w:tcPr>
            <w:tcW w:w="16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r>
      <w:tr>
        <w:trPr>
          <w:trHeight w:val="246"/>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2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10003</w:t>
            </w:r>
          </w:p>
        </w:tc>
      </w:tr>
      <w:tr>
        <w:trPr>
          <w:trHeight w:val="140"/>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tcPr>
          <w:p>
            <w:pPr>
              <w:ind w:left="280"/>
              <w:spacing w:after="0"/>
              <w:rPr>
                <w:sz w:val="20"/>
                <w:szCs w:val="20"/>
                <w:color w:val="auto"/>
              </w:rPr>
            </w:pPr>
            <w:r>
              <w:rPr>
                <w:rFonts w:ascii="Arial" w:cs="Arial" w:eastAsia="Arial" w:hAnsi="Arial"/>
                <w:sz w:val="12"/>
                <w:szCs w:val="12"/>
                <w:color w:val="auto"/>
              </w:rPr>
              <w:t>(State)</w:t>
            </w:r>
          </w:p>
        </w:tc>
        <w:tc>
          <w:tcPr>
            <w:tcW w:w="1640" w:type="dxa"/>
            <w:vAlign w:val="bottom"/>
          </w:tcPr>
          <w:p>
            <w:pPr>
              <w:ind w:left="26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jc w:val="both"/>
        <w:ind w:left="5" w:right="40" w:hanging="5"/>
        <w:spacing w:after="0" w:line="25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Sermonix Pharmaceuticals, Inc. ("Sermonix"). An affiliate of Perceptive Advisors LLC (the "Advisor") currently holds approximately 29% of the outstanding capital stock of Sermonix (excluding securities convertible into shares of Sermonix capital stock). Pursuant to General Instruction 4.b.(iv) of Form 4, the Reporting Persons with this filing have reported the entire amount of Sermonix's interest in the securities, rather than the Reporting Person's proportionate interest in the securities held by Sermonix.</w:t>
      </w:r>
    </w:p>
    <w:p>
      <w:pPr>
        <w:spacing w:after="0" w:line="17"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Perceptive Life Sciences Master Fund Ltd. (the "Master Fund"). The Advisor serves as the investment manager of Master Fund. Joseph Edelman is the managing member of the Advisor.</w:t>
      </w:r>
    </w:p>
    <w:p>
      <w:pPr>
        <w:spacing w:after="0" w:line="45" w:lineRule="exact"/>
        <w:rPr>
          <w:rFonts w:ascii="Times New Roman" w:cs="Times New Roman" w:eastAsia="Times New Roman" w:hAnsi="Times New Roman"/>
          <w:sz w:val="12"/>
          <w:szCs w:val="12"/>
          <w:color w:val="008000"/>
        </w:rPr>
      </w:pPr>
    </w:p>
    <w:p>
      <w:pPr>
        <w:ind w:left="5" w:right="100" w:hanging="5"/>
        <w:spacing w:after="0" w:line="27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directly held by Perceptive Xontogeny Venture Fund II, LP ("PXV II"). Perceptive Venture Advisors, LLC serves as the investment manager of PXV II and is controlled by the Advisor, and Perceptive Xontogeny Venture II GP, LLC ("PXV GP") is the general partner of PXV II. Mr. Edelman is the managing member of PXV GP and the Advisor.</w:t>
      </w:r>
    </w:p>
    <w:p>
      <w:pPr>
        <w:spacing w:after="0" w:line="7" w:lineRule="exact"/>
        <w:rPr>
          <w:rFonts w:ascii="Times New Roman" w:cs="Times New Roman" w:eastAsia="Times New Roman" w:hAnsi="Times New Roman"/>
          <w:sz w:val="12"/>
          <w:szCs w:val="12"/>
          <w:color w:val="008000"/>
        </w:rPr>
      </w:pPr>
    </w:p>
    <w:p>
      <w:pPr>
        <w:ind w:left="5" w:right="200" w:hanging="5"/>
        <w:spacing w:after="0" w:line="27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were issued to Sermonix in exchange for the grant of certain licenses and rights by Sermonix to the Issuer. The Pre-Funded Warrants became exercisable on March 18, 2026 upon receipt by the Issuer of stockholder approval such that the Pre-Funded Warrants can be exercised at any time without restriction or additional stockholder approval.</w:t>
      </w:r>
    </w:p>
    <w:p>
      <w:pPr>
        <w:spacing w:after="0" w:line="7" w:lineRule="exact"/>
        <w:rPr>
          <w:rFonts w:ascii="Times New Roman" w:cs="Times New Roman" w:eastAsia="Times New Roman" w:hAnsi="Times New Roman"/>
          <w:sz w:val="12"/>
          <w:szCs w:val="12"/>
          <w:color w:val="008000"/>
        </w:rPr>
      </w:pPr>
    </w:p>
    <w:p>
      <w:pPr>
        <w:ind w:left="5" w:right="100" w:hanging="5"/>
        <w:spacing w:after="0" w:line="27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Pre-Funded Warrants may not be exercised if, after such exercise, Sermonix, together with its Attribution Parties (as defined in the warrants) would beneficially own, as determined in accordance with Section 13(d) of the Securities Exchange Act of 1934, as amended, more than 49.99% of the shares of Common Stock then issued and outstanding after giving effect to such exercise.</w:t>
      </w:r>
    </w:p>
    <w:p>
      <w:pPr>
        <w:spacing w:after="0" w:line="7"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Pre-Funded Warrants do not expire.</w:t>
      </w:r>
    </w:p>
    <w:p>
      <w:pPr>
        <w:spacing w:after="0" w:line="45" w:lineRule="exact"/>
        <w:rPr>
          <w:rFonts w:ascii="Times New Roman" w:cs="Times New Roman" w:eastAsia="Times New Roman" w:hAnsi="Times New Roman"/>
          <w:sz w:val="12"/>
          <w:szCs w:val="12"/>
          <w:color w:val="008000"/>
        </w:rPr>
      </w:pPr>
    </w:p>
    <w:p>
      <w:pPr>
        <w:ind w:left="5" w:right="20" w:hanging="5"/>
        <w:spacing w:after="0" w:line="27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Mr. Edelman, the Advisor, the Master Fund and PXV II disclaims, for purposes of Section 16 of the Securities Exchange Act of 1934, beneficial ownership of such securities, except to the extent of his/its indirect pecuniary interest therein, if any, and this report shall not be deemed an admission that any of the Reporting Persons is the beneficial owner of such securities for purposes of Section 16 or for any other purposes.</w:t>
      </w:r>
    </w:p>
    <w:p>
      <w:pPr>
        <w:spacing w:after="0" w:line="7" w:lineRule="exact"/>
        <w:rPr>
          <w:rFonts w:ascii="Times New Roman" w:cs="Times New Roman" w:eastAsia="Times New Roman" w:hAnsi="Times New Roman"/>
          <w:sz w:val="12"/>
          <w:szCs w:val="12"/>
          <w:color w:val="008000"/>
        </w:rPr>
      </w:pPr>
    </w:p>
    <w:p>
      <w:pPr>
        <w:ind w:left="5" w:right="100" w:hanging="5"/>
        <w:spacing w:after="0" w:line="27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26, 2026, PXV II received from Sermonix Pre-Funded Warrants exercisable for 2,352,932 shares of Common Stock pursuant to a distribution of securities held by Sermonix to holders of Sermonix common stock.</w:t>
      </w:r>
    </w:p>
    <w:p>
      <w:pPr>
        <w:spacing w:after="0" w:line="7" w:lineRule="exact"/>
        <w:rPr>
          <w:rFonts w:ascii="Times New Roman" w:cs="Times New Roman" w:eastAsia="Times New Roman" w:hAnsi="Times New Roman"/>
          <w:sz w:val="12"/>
          <w:szCs w:val="12"/>
          <w:color w:val="008000"/>
        </w:rPr>
      </w:pPr>
    </w:p>
    <w:p>
      <w:pPr>
        <w:ind w:left="5" w:right="200" w:hanging="5"/>
        <w:spacing w:after="0" w:line="25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Pre-Funded Warrants may not be exercised if, after such exercise, the Master Fund or PVX II, together with its Attribution Parties (as defined in the warrants) would beneficially own, as determined in accordance with Section 13(d) of the Securities Exchange Act of 1934, as amended, more than 19.99% of the shares of Common Stock then issued and outstanding after giving effect to such exercise (the "Beneficial Ownership Limitation"). As of the date hereof, the Beneficial Ownership Limitation does not permit the Master Fund or PXV II to exercise any of its Warrants.</w:t>
      </w:r>
    </w:p>
    <w:p>
      <w:pPr>
        <w:sectPr>
          <w:pgSz w:w="11900" w:h="16838" w:orient="portrait"/>
          <w:cols w:equalWidth="0" w:num="1">
            <w:col w:w="10905"/>
          </w:cols>
          <w:pgMar w:left="495" w:top="127" w:right="499" w:bottom="1440" w:gutter="0" w:footer="0" w:header="0"/>
        </w:sectPr>
      </w:pPr>
    </w:p>
    <w:p>
      <w:pPr>
        <w:spacing w:after="0" w:line="42"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-6985</wp:posOffset>
            </wp:positionV>
            <wp:extent cx="9817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8171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12280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12280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2809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3308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30835" cy="7620"/>
                    </a:xfrm>
                    <a:prstGeom prst="rect">
                      <a:avLst/>
                    </a:prstGeom>
                    <a:noFill/>
                  </pic:spPr>
                </pic:pic>
              </a:graphicData>
            </a:graphic>
          </wp:anchor>
        </w:drawing>
      </w:r>
    </w:p>
    <w:p>
      <w:pPr>
        <w:spacing w:after="0" w:line="29"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-6985</wp:posOffset>
            </wp:positionV>
            <wp:extent cx="9817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8171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Perceptive Life Sciences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3036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Fund Ltd., By: Perceptive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10458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458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Advisors LLC,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11950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manager, By: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12490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-14605</wp:posOffset>
            </wp:positionV>
            <wp:extent cx="8750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75030" cy="7620"/>
                    </a:xfrm>
                    <a:prstGeom prst="rect">
                      <a:avLst/>
                    </a:prstGeom>
                    <a:noFill/>
                  </pic:spPr>
                </pic:pic>
              </a:graphicData>
            </a:graphic>
          </wp:anchor>
        </w:drawing>
      </w:r>
    </w:p>
    <w:p>
      <w:pPr>
        <w:spacing w:after="0" w:line="29"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-6985</wp:posOffset>
            </wp:positionV>
            <wp:extent cx="7797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79780" cy="7620"/>
                    </a:xfrm>
                    <a:prstGeom prst="rect">
                      <a:avLst/>
                    </a:prstGeom>
                    <a:noFill/>
                  </pic:spPr>
                </pic:pic>
              </a:graphicData>
            </a:graphic>
          </wp:anchor>
        </w:drawing>
      </w:r>
    </w:p>
    <w:p>
      <w:pPr>
        <w:spacing w:after="0" w:line="41" w:lineRule="exact"/>
        <w:rPr>
          <w:sz w:val="20"/>
          <w:szCs w:val="20"/>
          <w:color w:val="auto"/>
        </w:rPr>
      </w:pPr>
    </w:p>
    <w:p>
      <w:pPr>
        <w:ind w:left="6565"/>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597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597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597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5" w:lineRule="exact"/>
        <w:rPr>
          <w:sz w:val="20"/>
          <w:szCs w:val="20"/>
          <w:color w:val="auto"/>
        </w:rPr>
      </w:pPr>
    </w:p>
    <w:p>
      <w:pPr>
        <w:sectPr>
          <w:pgSz w:w="11900" w:h="16838" w:orient="portrait"/>
          <w:cols w:equalWidth="0" w:num="2">
            <w:col w:w="8605" w:space="160"/>
            <w:col w:w="2140"/>
          </w:cols>
          <w:pgMar w:left="495" w:top="127" w:right="499" w:bottom="1440" w:gutter="0" w:footer="0" w:header="0"/>
          <w:type w:val="continuous"/>
        </w:sect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5" w:right="3840" w:hanging="5"/>
        <w:spacing w:after="0" w:line="31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5"/>
      </w:cols>
      <w:pgMar w:left="495"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224962" TargetMode="External"/><Relationship Id="rId14" Type="http://schemas.openxmlformats.org/officeDocument/2006/relationships/hyperlink" Target="http://www.sec.gov/cgi-bin/browse-edgar?action=getcompany&amp;CIK=0001620463" TargetMode="External"/><Relationship Id="rId17" Type="http://schemas.openxmlformats.org/officeDocument/2006/relationships/hyperlink" Target="http://www.sec.gov/cgi-bin/browse-edgar?action=getcompany&amp;CIK=0001164426" TargetMode="External"/><Relationship Id="rId19"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2026-10-26T15:01:08Z</dcterms:created>
  <dcterms:modified xsi:type="dcterms:W3CDTF">2026-10-26T15:01:08Z</dcterms:modified>
</cp:coreProperties>
</file>