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35"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2"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6"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80"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5"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Athira Pharma,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700" w:type="dxa"/>
            <w:vAlign w:val="bottom"/>
          </w:tcPr>
          <w:p>
            <w:pPr>
              <w:jc w:val="center"/>
              <w:ind w:left="939"/>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60" w:type="dxa"/>
            <w:vAlign w:val="bottom"/>
          </w:tcPr>
          <w:p>
            <w:pPr>
              <w:jc w:val="center"/>
              <w:ind w:right="1019"/>
              <w:spacing w:after="0"/>
              <w:rPr>
                <w:sz w:val="20"/>
                <w:szCs w:val="20"/>
                <w:color w:val="auto"/>
              </w:rPr>
            </w:pPr>
            <w:r>
              <w:rPr>
                <w:rFonts w:ascii="Arial" w:cs="Arial" w:eastAsia="Arial" w:hAnsi="Arial"/>
                <w:sz w:val="18"/>
                <w:szCs w:val="18"/>
                <w:b w:val="1"/>
                <w:bCs w:val="1"/>
                <w:color w:val="auto"/>
                <w:w w:val="99"/>
              </w:rPr>
              <w:t>45-3368487</w:t>
            </w:r>
          </w:p>
        </w:tc>
      </w:tr>
      <w:tr>
        <w:trPr>
          <w:trHeight w:val="162"/>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(State or other jurisdiction of</w:t>
            </w: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incorporation or organization)</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Identification No.)</w:t>
            </w:r>
          </w:p>
        </w:tc>
      </w:tr>
      <w:tr>
        <w:trPr>
          <w:trHeight w:val="340"/>
        </w:trPr>
        <w:tc>
          <w:tcPr>
            <w:tcW w:w="7000" w:type="dxa"/>
            <w:vAlign w:val="bottom"/>
            <w:gridSpan w:val="4"/>
          </w:tcPr>
          <w:p>
            <w:pPr>
              <w:jc w:val="center"/>
              <w:ind w:left="3239"/>
              <w:spacing w:after="0"/>
              <w:rPr>
                <w:sz w:val="20"/>
                <w:szCs w:val="20"/>
                <w:color w:val="auto"/>
              </w:rPr>
            </w:pPr>
            <w:r>
              <w:rPr>
                <w:rFonts w:ascii="Arial" w:cs="Arial" w:eastAsia="Arial" w:hAnsi="Arial"/>
                <w:sz w:val="18"/>
                <w:szCs w:val="18"/>
                <w:b w:val="1"/>
                <w:bCs w:val="1"/>
                <w:color w:val="auto"/>
                <w:w w:val="99"/>
              </w:rPr>
              <w:t>18706 North Creek Parkway, Suite 104</w:t>
            </w:r>
          </w:p>
        </w:tc>
        <w:tc>
          <w:tcPr>
            <w:tcW w:w="3060" w:type="dxa"/>
            <w:vAlign w:val="bottom"/>
          </w:tcPr>
          <w:p>
            <w:pPr>
              <w:spacing w:after="0"/>
              <w:rPr>
                <w:sz w:val="24"/>
                <w:szCs w:val="24"/>
                <w:color w:val="auto"/>
              </w:rPr>
            </w:pPr>
          </w:p>
        </w:tc>
      </w:tr>
      <w:tr>
        <w:trPr>
          <w:trHeight w:val="199"/>
        </w:trPr>
        <w:tc>
          <w:tcPr>
            <w:tcW w:w="3700" w:type="dxa"/>
            <w:vAlign w:val="bottom"/>
          </w:tcPr>
          <w:p>
            <w:pPr>
              <w:spacing w:after="0"/>
              <w:rPr>
                <w:sz w:val="17"/>
                <w:szCs w:val="17"/>
                <w:color w:val="auto"/>
              </w:rPr>
            </w:pPr>
          </w:p>
        </w:tc>
        <w:tc>
          <w:tcPr>
            <w:tcW w:w="3300" w:type="dxa"/>
            <w:vAlign w:val="bottom"/>
            <w:gridSpan w:val="3"/>
          </w:tcPr>
          <w:p>
            <w:pPr>
              <w:jc w:val="center"/>
              <w:ind w:right="380"/>
              <w:spacing w:after="0" w:line="199" w:lineRule="exact"/>
              <w:rPr>
                <w:sz w:val="20"/>
                <w:szCs w:val="20"/>
                <w:color w:val="auto"/>
              </w:rPr>
            </w:pPr>
            <w:r>
              <w:rPr>
                <w:rFonts w:ascii="Arial" w:cs="Arial" w:eastAsia="Arial" w:hAnsi="Arial"/>
                <w:sz w:val="18"/>
                <w:szCs w:val="18"/>
                <w:b w:val="1"/>
                <w:bCs w:val="1"/>
                <w:color w:val="auto"/>
                <w:w w:val="99"/>
              </w:rPr>
              <w:t>Bothell, Washington 98011</w:t>
            </w:r>
          </w:p>
        </w:tc>
        <w:tc>
          <w:tcPr>
            <w:tcW w:w="3060" w:type="dxa"/>
            <w:vAlign w:val="bottom"/>
          </w:tcPr>
          <w:p>
            <w:pPr>
              <w:spacing w:after="0"/>
              <w:rPr>
                <w:sz w:val="17"/>
                <w:szCs w:val="17"/>
                <w:color w:val="auto"/>
              </w:rPr>
            </w:pPr>
          </w:p>
        </w:tc>
      </w:tr>
      <w:tr>
        <w:trPr>
          <w:trHeight w:val="148"/>
        </w:trPr>
        <w:tc>
          <w:tcPr>
            <w:tcW w:w="3700" w:type="dxa"/>
            <w:vAlign w:val="bottom"/>
          </w:tcPr>
          <w:p>
            <w:pPr>
              <w:spacing w:after="0"/>
              <w:rPr>
                <w:sz w:val="12"/>
                <w:szCs w:val="12"/>
                <w:color w:val="auto"/>
              </w:rPr>
            </w:pPr>
          </w:p>
        </w:tc>
        <w:tc>
          <w:tcPr>
            <w:tcW w:w="330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rPr>
              <w:t>(Address of principal executive offices)</w:t>
            </w:r>
          </w:p>
        </w:tc>
        <w:tc>
          <w:tcPr>
            <w:tcW w:w="3060" w:type="dxa"/>
            <w:vAlign w:val="bottom"/>
          </w:tcPr>
          <w:p>
            <w:pPr>
              <w:spacing w:after="0"/>
              <w:rPr>
                <w:sz w:val="12"/>
                <w:szCs w:val="12"/>
                <w:color w:val="auto"/>
              </w:rPr>
            </w:pPr>
          </w:p>
        </w:tc>
      </w:tr>
      <w:tr>
        <w:trPr>
          <w:trHeight w:val="189"/>
        </w:trPr>
        <w:tc>
          <w:tcPr>
            <w:tcW w:w="3700" w:type="dxa"/>
            <w:vAlign w:val="bottom"/>
          </w:tcPr>
          <w:p>
            <w:pPr>
              <w:spacing w:after="0"/>
              <w:rPr>
                <w:sz w:val="16"/>
                <w:szCs w:val="16"/>
                <w:color w:val="auto"/>
              </w:rPr>
            </w:pPr>
          </w:p>
        </w:tc>
        <w:tc>
          <w:tcPr>
            <w:tcW w:w="2580" w:type="dxa"/>
            <w:vAlign w:val="bottom"/>
            <w:gridSpan w:val="2"/>
          </w:tcPr>
          <w:p>
            <w:pPr>
              <w:jc w:val="center"/>
              <w:ind w:left="216"/>
              <w:spacing w:after="0" w:line="189" w:lineRule="exact"/>
              <w:rPr>
                <w:sz w:val="20"/>
                <w:szCs w:val="20"/>
                <w:color w:val="auto"/>
              </w:rPr>
            </w:pPr>
            <w:r>
              <w:rPr>
                <w:rFonts w:ascii="Arial" w:cs="Arial" w:eastAsia="Arial" w:hAnsi="Arial"/>
                <w:sz w:val="18"/>
                <w:szCs w:val="18"/>
                <w:b w:val="1"/>
                <w:bCs w:val="1"/>
                <w:color w:val="auto"/>
              </w:rPr>
              <w:t>(425) 620-8501</w:t>
            </w:r>
          </w:p>
        </w:tc>
        <w:tc>
          <w:tcPr>
            <w:tcW w:w="72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90"/>
        </w:trPr>
        <w:tc>
          <w:tcPr>
            <w:tcW w:w="7000" w:type="dxa"/>
            <w:vAlign w:val="bottom"/>
            <w:gridSpan w:val="4"/>
          </w:tcPr>
          <w:p>
            <w:pPr>
              <w:jc w:val="center"/>
              <w:ind w:left="323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201"/>
        </w:trPr>
        <w:tc>
          <w:tcPr>
            <w:tcW w:w="4040" w:type="dxa"/>
            <w:vAlign w:val="bottom"/>
            <w:gridSpan w:val="2"/>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780" w:type="dxa"/>
            <w:vAlign w:val="bottom"/>
            <w:gridSpan w:val="2"/>
          </w:tcPr>
          <w:p>
            <w:pPr>
              <w:spacing w:after="0"/>
              <w:rPr>
                <w:sz w:val="17"/>
                <w:szCs w:val="17"/>
                <w:color w:val="auto"/>
              </w:rPr>
            </w:pPr>
          </w:p>
        </w:tc>
      </w:tr>
      <w:tr>
        <w:trPr>
          <w:trHeight w:val="304"/>
        </w:trPr>
        <w:tc>
          <w:tcPr>
            <w:tcW w:w="10060" w:type="dxa"/>
            <w:vAlign w:val="bottom"/>
            <w:gridSpan w:val="5"/>
          </w:tcPr>
          <w:p>
            <w:pPr>
              <w:jc w:val="center"/>
              <w:ind w:left="1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64"/>
        </w:trPr>
        <w:tc>
          <w:tcPr>
            <w:tcW w:w="3700" w:type="dxa"/>
            <w:vAlign w:val="bottom"/>
          </w:tcPr>
          <w:p>
            <w:pPr>
              <w:jc w:val="center"/>
              <w:ind w:right="19"/>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4"/>
                <w:szCs w:val="24"/>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7"/>
        </w:trPr>
        <w:tc>
          <w:tcPr>
            <w:tcW w:w="3700" w:type="dxa"/>
            <w:vAlign w:val="bottom"/>
          </w:tcPr>
          <w:p>
            <w:pPr>
              <w:jc w:val="center"/>
              <w:ind w:right="39"/>
              <w:spacing w:after="0"/>
              <w:rPr>
                <w:sz w:val="20"/>
                <w:szCs w:val="20"/>
                <w:color w:val="auto"/>
              </w:rPr>
            </w:pPr>
            <w:r>
              <w:rPr>
                <w:rFonts w:ascii="Arial" w:cs="Arial" w:eastAsia="Arial" w:hAnsi="Arial"/>
                <w:sz w:val="18"/>
                <w:szCs w:val="18"/>
                <w:color w:val="auto"/>
                <w:w w:val="99"/>
              </w:rPr>
              <w:t>Common Stock, $0.0001 par value per share</w:t>
            </w:r>
          </w:p>
        </w:tc>
        <w:tc>
          <w:tcPr>
            <w:tcW w:w="340" w:type="dxa"/>
            <w:vAlign w:val="bottom"/>
          </w:tcPr>
          <w:p>
            <w:pPr>
              <w:spacing w:after="0"/>
              <w:rPr>
                <w:sz w:val="18"/>
                <w:szCs w:val="18"/>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ATHA</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left="52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w:t>
      </w:r>
    </w:p>
    <w:p>
      <w:pPr>
        <w:spacing w:after="0" w:line="219" w:lineRule="auto"/>
        <w:rPr>
          <w:sz w:val="20"/>
          <w:szCs w:val="20"/>
          <w:color w:val="auto"/>
        </w:rPr>
      </w:pPr>
      <w:r>
        <w:rPr>
          <w:rFonts w:ascii="Arial" w:cs="Arial" w:eastAsia="Arial" w:hAnsi="Arial"/>
          <w:sz w:val="18"/>
          <w:szCs w:val="18"/>
          <w:color w:val="auto"/>
        </w:rPr>
        <w:t>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80" w:firstLine="515"/>
        <w:spacing w:after="0" w:line="20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60" w:firstLine="515"/>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3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176" w:lineRule="exact"/>
        <w:rPr>
          <w:sz w:val="24"/>
          <w:szCs w:val="24"/>
          <w:color w:val="auto"/>
        </w:rPr>
      </w:pPr>
    </w:p>
    <w:p>
      <w:pPr>
        <w:ind w:right="520" w:firstLine="515"/>
        <w:spacing w:after="0" w:line="20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18"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August 8, 2022, there were 37,817,724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7"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17"/>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3"/>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fosgonimeton may never lead to a marketable product.</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10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112"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9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could significantly harm our business, results of operations and competitive position.</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effects of the novel coronavirus disease, or COVID-19, pandemic could adversely impact our business, including our nonclinical studies and clinical trials.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102"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fosgonimeton, and evaluate other and future product candidates. If we are unable to raise this funding when needed, we may be forced to delay, reduce, or eliminate our product development programs or other operations.</w:t>
      </w:r>
    </w:p>
    <w:p>
      <w:pPr>
        <w:spacing w:after="0" w:line="108"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1020"/>
        <w:spacing w:after="0" w:line="261" w:lineRule="auto"/>
        <w:rPr>
          <w:sz w:val="20"/>
          <w:szCs w:val="20"/>
          <w:color w:val="auto"/>
        </w:rPr>
      </w:pPr>
      <w:r>
        <w:rPr>
          <w:rFonts w:ascii="Arial" w:cs="Arial" w:eastAsia="Arial" w:hAnsi="Arial"/>
          <w:sz w:val="18"/>
          <w:szCs w:val="18"/>
          <w:color w:val="auto"/>
        </w:rPr>
        <w:t>commercialize, or will be delayed in commercializing, our product candidates, and our ability to generate revenue will be materially impaired.</w:t>
      </w:r>
    </w:p>
    <w:p>
      <w:pPr>
        <w:spacing w:after="0" w:line="76" w:lineRule="exact"/>
        <w:rPr>
          <w:sz w:val="20"/>
          <w:szCs w:val="20"/>
          <w:color w:val="auto"/>
        </w:rPr>
      </w:pPr>
    </w:p>
    <w:p>
      <w:pPr>
        <w:jc w:val="both"/>
        <w:ind w:left="10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which could result in substantial losses for investors.</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certain of our directors and executive officers have been named as defendants in lawsuits that could result in substantial costs and divert management’s attention.</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by activist stockholders have in the past been, and may in the future be, disruptive and could cause uncertainty about the strategic direction of our business.</w:t>
      </w:r>
    </w:p>
    <w:p>
      <w:pPr>
        <w:spacing w:after="0" w:line="225"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157,347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grant receivable</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8"/>
                <w:szCs w:val="18"/>
                <w:color w:val="auto"/>
              </w:rPr>
            </w:pPr>
          </w:p>
        </w:tc>
      </w:tr>
      <w:tr>
        <w:trPr>
          <w:trHeight w:val="209"/>
        </w:trPr>
        <w:tc>
          <w:tcPr>
            <w:tcW w:w="73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255,860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260,799</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50"/>
        </w:trPr>
        <w:tc>
          <w:tcPr>
            <w:tcW w:w="7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292,011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3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80"/>
              <w:spacing w:after="0"/>
              <w:rPr>
                <w:sz w:val="20"/>
                <w:szCs w:val="20"/>
                <w:color w:val="auto"/>
              </w:rPr>
            </w:pPr>
            <w:r>
              <w:rPr>
                <w:rFonts w:ascii="Arial" w:cs="Arial" w:eastAsia="Arial" w:hAnsi="Arial"/>
                <w:sz w:val="18"/>
                <w:szCs w:val="18"/>
                <w:color w:val="auto"/>
              </w:rPr>
              <w:t>Current operating lease liability</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10"/>
        </w:trPr>
        <w:tc>
          <w:tcPr>
            <w:tcW w:w="73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Operating lease liability, less current portion</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r>
      <w:tr>
        <w:trPr>
          <w:trHeight w:val="209"/>
        </w:trPr>
        <w:tc>
          <w:tcPr>
            <w:tcW w:w="7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340" w:type="dxa"/>
            <w:vAlign w:val="bottom"/>
            <w:shd w:val="clear" w:color="auto" w:fill="CFF0FC"/>
          </w:tcPr>
          <w:p>
            <w:pPr>
              <w:ind w:left="280"/>
              <w:spacing w:after="0" w:line="189" w:lineRule="exact"/>
              <w:rPr>
                <w:sz w:val="20"/>
                <w:szCs w:val="20"/>
                <w:color w:val="auto"/>
              </w:rPr>
            </w:pPr>
            <w:r>
              <w:rPr>
                <w:rFonts w:ascii="Arial" w:cs="Arial" w:eastAsia="Arial" w:hAnsi="Arial"/>
                <w:sz w:val="18"/>
                <w:szCs w:val="18"/>
                <w:color w:val="auto"/>
              </w:rPr>
              <w:t>Common stock, $0.0001 par value; 900,000,000 shares</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34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authorized at June 30, 2022 and December 31, 2021,</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34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respectively; 37,817,724 and 37,379,077 shares issued</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34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and outstanding at June 30, 2022 and December 31,</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3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2021, respectively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423,696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417,363</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(1,925 )</w:t>
            </w: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(388 )</w:t>
            </w:r>
          </w:p>
        </w:tc>
      </w:tr>
      <w:tr>
        <w:trPr>
          <w:trHeight w:val="216"/>
        </w:trPr>
        <w:tc>
          <w:tcPr>
            <w:tcW w:w="73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(141,210 )</w:t>
            </w:r>
          </w:p>
        </w:tc>
        <w:tc>
          <w:tcPr>
            <w:tcW w:w="20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(95,895 )</w:t>
            </w:r>
          </w:p>
        </w:tc>
      </w:tr>
      <w:tr>
        <w:trPr>
          <w:trHeight w:val="210"/>
        </w:trPr>
        <w:tc>
          <w:tcPr>
            <w:tcW w:w="7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280,565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292,011</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-2630805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-2613660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-1490980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48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14,803</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12,024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29,263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1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(1,259 )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(24,335 )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(13,974 )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(45,315 )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(22,840 )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Unrealized (loss) gain on available-for-sale securities</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(24,804 )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(13,965 )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(46,852 )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(22,836 )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8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Net loss per share attributable to common</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(0.65 )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(0.38 )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(1.20 )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80"/>
              <w:spacing w:after="0" w:line="176" w:lineRule="exact"/>
              <w:rPr>
                <w:sz w:val="20"/>
                <w:szCs w:val="20"/>
                <w:color w:val="auto"/>
              </w:rPr>
            </w:pPr>
            <w:r>
              <w:rPr>
                <w:rFonts w:ascii="Arial" w:cs="Arial" w:eastAsia="Arial" w:hAnsi="Arial"/>
                <w:sz w:val="18"/>
                <w:szCs w:val="18"/>
                <w:color w:val="auto"/>
              </w:rPr>
              <w:t>stockholders, basic and diluted</w:t>
            </w:r>
          </w:p>
        </w:tc>
        <w:tc>
          <w:tcPr>
            <w:tcW w:w="18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780" w:type="dxa"/>
            <w:vAlign w:val="bottom"/>
            <w:tcBorders>
              <w:top w:val="single" w:sz="8" w:color="CFF0FC"/>
            </w:tcBorders>
          </w:tcPr>
          <w:p>
            <w:pPr>
              <w:ind w:left="20"/>
              <w:spacing w:after="0" w:line="169" w:lineRule="exact"/>
              <w:rPr>
                <w:sz w:val="20"/>
                <w:szCs w:val="20"/>
                <w:color w:val="auto"/>
              </w:rPr>
            </w:pPr>
            <w:r>
              <w:rPr>
                <w:rFonts w:ascii="Arial" w:cs="Arial" w:eastAsia="Arial" w:hAnsi="Arial"/>
                <w:sz w:val="18"/>
                <w:szCs w:val="18"/>
                <w:color w:val="auto"/>
              </w:rPr>
              <w:t>Weighted-average shares used in computing</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tcPr>
          <w:p>
            <w:pPr>
              <w:ind w:left="180"/>
              <w:spacing w:after="0" w:line="189" w:lineRule="exact"/>
              <w:rPr>
                <w:sz w:val="20"/>
                <w:szCs w:val="20"/>
                <w:color w:val="auto"/>
              </w:rPr>
            </w:pPr>
            <w:r>
              <w:rPr>
                <w:rFonts w:ascii="Arial" w:cs="Arial" w:eastAsia="Arial" w:hAnsi="Arial"/>
                <w:sz w:val="18"/>
                <w:szCs w:val="18"/>
                <w:color w:val="auto"/>
              </w:rPr>
              <w:t>net loss per share attributable to common</w:t>
            </w: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37,667,971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37,214,602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37,630,856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36,499,004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180"/>
              <w:spacing w:after="0" w:line="176" w:lineRule="exact"/>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-1679575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-1679575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-1679575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-1113790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-1113790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-1113790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-805180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-805180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-805180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-402590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-385445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-402590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-385445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-402590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-385445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18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Comprehensive</w:t>
            </w:r>
          </w:p>
        </w:tc>
        <w:tc>
          <w:tcPr>
            <w:tcW w:w="1280" w:type="dxa"/>
            <w:vAlign w:val="bottom"/>
            <w:gridSpan w:val="3"/>
            <w:vMerge w:val="continue"/>
          </w:tcPr>
          <w:p>
            <w:pPr>
              <w:spacing w:after="0"/>
              <w:rPr>
                <w:sz w:val="15"/>
                <w:szCs w:val="15"/>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January 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32,485,784</w:t>
            </w:r>
          </w:p>
        </w:tc>
        <w:tc>
          <w:tcPr>
            <w:tcW w:w="1160" w:type="dxa"/>
            <w:vAlign w:val="bottom"/>
            <w:gridSpan w:val="2"/>
            <w:shd w:val="clear" w:color="auto" w:fill="CFF0FC"/>
          </w:tcPr>
          <w:p>
            <w:pPr>
              <w:jc w:val="right"/>
              <w:ind w:right="742"/>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315,288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(41,042 )</w:t>
            </w: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360" w:type="dxa"/>
            <w:vAlign w:val="bottom"/>
          </w:tcPr>
          <w:p>
            <w:pPr>
              <w:ind w:left="200"/>
              <w:spacing w:after="0" w:line="178" w:lineRule="exact"/>
              <w:rPr>
                <w:sz w:val="20"/>
                <w:szCs w:val="20"/>
                <w:color w:val="auto"/>
              </w:rPr>
            </w:pPr>
            <w:r>
              <w:rPr>
                <w:rFonts w:ascii="Arial" w:cs="Arial" w:eastAsia="Arial" w:hAnsi="Arial"/>
                <w:sz w:val="16"/>
                <w:szCs w:val="16"/>
                <w:color w:val="auto"/>
              </w:rPr>
              <w:t>Issuance of common stock upon exercise</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0"/>
              <w:spacing w:after="0" w:line="162" w:lineRule="exact"/>
              <w:rPr>
                <w:sz w:val="20"/>
                <w:szCs w:val="20"/>
                <w:color w:val="auto"/>
              </w:rPr>
            </w:pPr>
            <w:r>
              <w:rPr>
                <w:rFonts w:ascii="Arial" w:cs="Arial" w:eastAsia="Arial" w:hAnsi="Arial"/>
                <w:sz w:val="16"/>
                <w:szCs w:val="16"/>
                <w:color w:val="auto"/>
              </w:rPr>
              <w:t>of</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340"/>
              <w:spacing w:after="0" w:line="175" w:lineRule="exact"/>
              <w:rPr>
                <w:sz w:val="20"/>
                <w:szCs w:val="20"/>
                <w:color w:val="auto"/>
              </w:rPr>
            </w:pPr>
            <w:r>
              <w:rPr>
                <w:rFonts w:ascii="Arial" w:cs="Arial" w:eastAsia="Arial" w:hAnsi="Arial"/>
                <w:sz w:val="16"/>
                <w:szCs w:val="16"/>
                <w:color w:val="auto"/>
              </w:rPr>
              <w:t>common stock options and vesting of</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64,527</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340"/>
              <w:spacing w:after="0"/>
              <w:rPr>
                <w:sz w:val="20"/>
                <w:szCs w:val="20"/>
                <w:color w:val="auto"/>
              </w:rPr>
            </w:pPr>
            <w:r>
              <w:rPr>
                <w:rFonts w:ascii="Arial" w:cs="Arial" w:eastAsia="Arial" w:hAnsi="Arial"/>
                <w:sz w:val="16"/>
                <w:szCs w:val="16"/>
                <w:color w:val="auto"/>
              </w:rPr>
              <w:t>restricted stock units</w:t>
            </w: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shd w:val="clear" w:color="auto" w:fill="CFF0FC"/>
          </w:tcPr>
          <w:p>
            <w:pPr>
              <w:ind w:left="200"/>
              <w:spacing w:after="0" w:line="178" w:lineRule="exact"/>
              <w:rPr>
                <w:sz w:val="20"/>
                <w:szCs w:val="20"/>
                <w:color w:val="auto"/>
              </w:rPr>
            </w:pPr>
            <w:r>
              <w:rPr>
                <w:rFonts w:ascii="Arial" w:cs="Arial" w:eastAsia="Arial" w:hAnsi="Arial"/>
                <w:sz w:val="16"/>
                <w:szCs w:val="16"/>
                <w:color w:val="auto"/>
              </w:rPr>
              <w:t>Proceeds from follow-on public offering,</w:t>
            </w: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00"/>
              <w:spacing w:after="0" w:line="162" w:lineRule="exact"/>
              <w:rPr>
                <w:sz w:val="20"/>
                <w:szCs w:val="20"/>
                <w:color w:val="auto"/>
              </w:rPr>
            </w:pPr>
            <w:r>
              <w:rPr>
                <w:rFonts w:ascii="Arial" w:cs="Arial" w:eastAsia="Arial" w:hAnsi="Arial"/>
                <w:sz w:val="16"/>
                <w:szCs w:val="16"/>
                <w:color w:val="auto"/>
              </w:rPr>
              <w:t>net</w:t>
            </w: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340"/>
              <w:spacing w:after="0" w:line="175" w:lineRule="exact"/>
              <w:rPr>
                <w:sz w:val="20"/>
                <w:szCs w:val="20"/>
                <w:color w:val="auto"/>
              </w:rPr>
            </w:pPr>
            <w:r>
              <w:rPr>
                <w:rFonts w:ascii="Arial" w:cs="Arial" w:eastAsia="Arial" w:hAnsi="Arial"/>
                <w:sz w:val="16"/>
                <w:szCs w:val="16"/>
                <w:color w:val="auto"/>
              </w:rPr>
              <w:t>of underwriters' discounts and</w:t>
            </w: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commissions</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4,600,000</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96,761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96,762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and issuance costs</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0"/>
              <w:spacing w:after="0" w:line="181" w:lineRule="exact"/>
              <w:rPr>
                <w:sz w:val="20"/>
                <w:szCs w:val="20"/>
                <w:color w:val="auto"/>
              </w:rPr>
            </w:pPr>
            <w:r>
              <w:rPr>
                <w:rFonts w:ascii="Arial" w:cs="Arial" w:eastAsia="Arial" w:hAnsi="Arial"/>
                <w:sz w:val="16"/>
                <w:szCs w:val="16"/>
                <w:color w:val="auto"/>
              </w:rPr>
              <w:t>Unrealized loss on available-for-sale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(5 )</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(8,866 )</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(8,866 )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37,150,311</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413,093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(49,908 )</w:t>
            </w: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363,217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360" w:type="dxa"/>
            <w:vAlign w:val="bottom"/>
            <w:tcBorders>
              <w:top w:val="single" w:sz="8" w:color="CFF0FC"/>
            </w:tcBorders>
          </w:tcPr>
          <w:p>
            <w:pPr>
              <w:ind w:left="200"/>
              <w:spacing w:after="0" w:line="158" w:lineRule="exact"/>
              <w:rPr>
                <w:sz w:val="20"/>
                <w:szCs w:val="20"/>
                <w:color w:val="auto"/>
              </w:rPr>
            </w:pPr>
            <w:r>
              <w:rPr>
                <w:rFonts w:ascii="Arial" w:cs="Arial" w:eastAsia="Arial" w:hAnsi="Arial"/>
                <w:sz w:val="16"/>
                <w:szCs w:val="16"/>
                <w:color w:val="auto"/>
              </w:rPr>
              <w:t>Issuance of common stock upon exercise</w:t>
            </w: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0"/>
              <w:spacing w:after="0" w:line="162" w:lineRule="exact"/>
              <w:rPr>
                <w:sz w:val="20"/>
                <w:szCs w:val="20"/>
                <w:color w:val="auto"/>
              </w:rPr>
            </w:pPr>
            <w:r>
              <w:rPr>
                <w:rFonts w:ascii="Arial" w:cs="Arial" w:eastAsia="Arial" w:hAnsi="Arial"/>
                <w:sz w:val="16"/>
                <w:szCs w:val="16"/>
                <w:color w:val="auto"/>
              </w:rPr>
              <w:t>of</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340"/>
              <w:spacing w:after="0"/>
              <w:rPr>
                <w:sz w:val="20"/>
                <w:szCs w:val="20"/>
                <w:color w:val="auto"/>
              </w:rPr>
            </w:pPr>
            <w:r>
              <w:rPr>
                <w:rFonts w:ascii="Arial" w:cs="Arial" w:eastAsia="Arial" w:hAnsi="Arial"/>
                <w:sz w:val="16"/>
                <w:szCs w:val="16"/>
                <w:color w:val="auto"/>
              </w:rPr>
              <w:t>common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85,593</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0"/>
              <w:spacing w:after="0" w:line="181" w:lineRule="exact"/>
              <w:rPr>
                <w:sz w:val="20"/>
                <w:szCs w:val="20"/>
                <w:color w:val="auto"/>
              </w:rPr>
            </w:pPr>
            <w:r>
              <w:rPr>
                <w:rFonts w:ascii="Arial" w:cs="Arial" w:eastAsia="Arial" w:hAnsi="Arial"/>
                <w:sz w:val="16"/>
                <w:szCs w:val="16"/>
                <w:color w:val="auto"/>
              </w:rPr>
              <w:t>Issuance of common stock under</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15,867</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0"/>
              <w:spacing w:after="0" w:line="181" w:lineRule="exact"/>
              <w:rPr>
                <w:sz w:val="20"/>
                <w:szCs w:val="20"/>
                <w:color w:val="auto"/>
              </w:rPr>
            </w:pPr>
            <w:r>
              <w:rPr>
                <w:rFonts w:ascii="Arial" w:cs="Arial" w:eastAsia="Arial" w:hAnsi="Arial"/>
                <w:sz w:val="16"/>
                <w:szCs w:val="16"/>
                <w:color w:val="auto"/>
              </w:rPr>
              <w:t>Unrealized gain on available-for-sale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(13,974 )</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(13,974 )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37,251,771</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414,550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(63,882 )</w:t>
            </w: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350,709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3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18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Comprehensive</w:t>
            </w:r>
          </w:p>
        </w:tc>
        <w:tc>
          <w:tcPr>
            <w:tcW w:w="1280" w:type="dxa"/>
            <w:vAlign w:val="bottom"/>
            <w:gridSpan w:val="3"/>
            <w:vMerge w:val="continue"/>
          </w:tcPr>
          <w:p>
            <w:pPr>
              <w:spacing w:after="0"/>
              <w:rPr>
                <w:sz w:val="15"/>
                <w:szCs w:val="15"/>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as of January 1, 2022</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37,379,077</w:t>
            </w:r>
          </w:p>
        </w:tc>
        <w:tc>
          <w:tcPr>
            <w:tcW w:w="1160" w:type="dxa"/>
            <w:vAlign w:val="bottom"/>
            <w:gridSpan w:val="2"/>
          </w:tcPr>
          <w:p>
            <w:pPr>
              <w:jc w:val="right"/>
              <w:ind w:right="7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417,363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(388 )</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(95,895 )</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321,084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0"/>
              <w:spacing w:after="0" w:line="181" w:lineRule="exact"/>
              <w:rPr>
                <w:sz w:val="20"/>
                <w:szCs w:val="20"/>
                <w:color w:val="auto"/>
              </w:rPr>
            </w:pPr>
            <w:r>
              <w:rPr>
                <w:rFonts w:ascii="Arial" w:cs="Arial" w:eastAsia="Arial" w:hAnsi="Arial"/>
                <w:sz w:val="16"/>
                <w:szCs w:val="16"/>
                <w:color w:val="auto"/>
              </w:rPr>
              <w:t>Issuance of common stock upon exercise</w:t>
            </w: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00"/>
              <w:spacing w:after="0" w:line="162" w:lineRule="exact"/>
              <w:rPr>
                <w:sz w:val="20"/>
                <w:szCs w:val="20"/>
                <w:color w:val="auto"/>
              </w:rPr>
            </w:pPr>
            <w:r>
              <w:rPr>
                <w:rFonts w:ascii="Arial" w:cs="Arial" w:eastAsia="Arial" w:hAnsi="Arial"/>
                <w:sz w:val="16"/>
                <w:szCs w:val="16"/>
                <w:color w:val="auto"/>
              </w:rPr>
              <w:t>of</w:t>
            </w: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common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244,981</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0"/>
              <w:spacing w:after="0" w:line="181" w:lineRule="exact"/>
              <w:rPr>
                <w:sz w:val="20"/>
                <w:szCs w:val="20"/>
                <w:color w:val="auto"/>
              </w:rPr>
            </w:pPr>
            <w:r>
              <w:rPr>
                <w:rFonts w:ascii="Arial" w:cs="Arial" w:eastAsia="Arial" w:hAnsi="Arial"/>
                <w:sz w:val="16"/>
                <w:szCs w:val="16"/>
                <w:color w:val="auto"/>
              </w:rPr>
              <w:t>Unrealized loss on available-for-sale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(1,068 )</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(1,068 )</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(20,980 )</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(20,980 )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37,624,058</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420,304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(1,456 )</w:t>
            </w: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(116,875 )</w:t>
            </w: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301,977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360" w:type="dxa"/>
            <w:vAlign w:val="bottom"/>
            <w:tcBorders>
              <w:top w:val="single" w:sz="8" w:color="CFF0FC"/>
            </w:tcBorders>
          </w:tcPr>
          <w:p>
            <w:pPr>
              <w:ind w:left="200"/>
              <w:spacing w:after="0" w:line="158" w:lineRule="exact"/>
              <w:rPr>
                <w:sz w:val="20"/>
                <w:szCs w:val="20"/>
                <w:color w:val="auto"/>
              </w:rPr>
            </w:pPr>
            <w:r>
              <w:rPr>
                <w:rFonts w:ascii="Arial" w:cs="Arial" w:eastAsia="Arial" w:hAnsi="Arial"/>
                <w:sz w:val="16"/>
                <w:szCs w:val="16"/>
                <w:color w:val="auto"/>
              </w:rPr>
              <w:t>Issuance of common stock upon exercise</w:t>
            </w: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0"/>
              <w:spacing w:after="0" w:line="162" w:lineRule="exact"/>
              <w:rPr>
                <w:sz w:val="20"/>
                <w:szCs w:val="20"/>
                <w:color w:val="auto"/>
              </w:rPr>
            </w:pPr>
            <w:r>
              <w:rPr>
                <w:rFonts w:ascii="Arial" w:cs="Arial" w:eastAsia="Arial" w:hAnsi="Arial"/>
                <w:sz w:val="16"/>
                <w:szCs w:val="16"/>
                <w:color w:val="auto"/>
              </w:rPr>
              <w:t>of</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340"/>
              <w:spacing w:after="0" w:line="175" w:lineRule="exact"/>
              <w:rPr>
                <w:sz w:val="20"/>
                <w:szCs w:val="20"/>
                <w:color w:val="auto"/>
              </w:rPr>
            </w:pPr>
            <w:r>
              <w:rPr>
                <w:rFonts w:ascii="Arial" w:cs="Arial" w:eastAsia="Arial" w:hAnsi="Arial"/>
                <w:sz w:val="16"/>
                <w:szCs w:val="16"/>
                <w:color w:val="auto"/>
              </w:rPr>
              <w:t>common stock options and vesting of</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163,387</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340"/>
              <w:spacing w:after="0"/>
              <w:rPr>
                <w:sz w:val="20"/>
                <w:szCs w:val="20"/>
                <w:color w:val="auto"/>
              </w:rPr>
            </w:pPr>
            <w:r>
              <w:rPr>
                <w:rFonts w:ascii="Arial" w:cs="Arial" w:eastAsia="Arial" w:hAnsi="Arial"/>
                <w:sz w:val="16"/>
                <w:szCs w:val="16"/>
                <w:color w:val="auto"/>
              </w:rPr>
              <w:t>restricted stock units</w:t>
            </w: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shd w:val="clear" w:color="auto" w:fill="CFF0FC"/>
          </w:tcPr>
          <w:p>
            <w:pPr>
              <w:ind w:left="200"/>
              <w:spacing w:after="0" w:line="178" w:lineRule="exact"/>
              <w:rPr>
                <w:sz w:val="20"/>
                <w:szCs w:val="20"/>
                <w:color w:val="auto"/>
              </w:rPr>
            </w:pPr>
            <w:r>
              <w:rPr>
                <w:rFonts w:ascii="Arial" w:cs="Arial" w:eastAsia="Arial" w:hAnsi="Arial"/>
                <w:sz w:val="16"/>
                <w:szCs w:val="16"/>
                <w:color w:val="auto"/>
              </w:rPr>
              <w:t>Issuance of common stock under</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30,279</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ind w:left="200"/>
              <w:spacing w:after="0" w:line="181" w:lineRule="exact"/>
              <w:rPr>
                <w:sz w:val="20"/>
                <w:szCs w:val="20"/>
                <w:color w:val="auto"/>
              </w:rPr>
            </w:pPr>
            <w:r>
              <w:rPr>
                <w:rFonts w:ascii="Arial" w:cs="Arial" w:eastAsia="Arial" w:hAnsi="Arial"/>
                <w:sz w:val="16"/>
                <w:szCs w:val="16"/>
                <w:color w:val="auto"/>
              </w:rPr>
              <w:t>Unrealized loss on available-for-sale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(469 )</w:t>
            </w:r>
          </w:p>
        </w:tc>
        <w:tc>
          <w:tcPr>
            <w:tcW w:w="2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(469 )</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(24,335 )</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(24,335 )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37,817,724</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423,696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(1,925 )</w:t>
            </w: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(141,210 )</w:t>
            </w: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-4293870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-4276725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-4293870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-4276725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-4293870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-4276725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-4293870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-4276725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-4293870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-4276725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-3068320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-3051175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-3068320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-3051175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-3068320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-3051175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-3068320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-3051175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-3068320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-3051175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-1353820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-1336675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-1353820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-1336675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-1353820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-1336675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-1353820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-1336675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-1353820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-1336675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(45,315 )</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(22,840 )</w:t>
            </w:r>
          </w:p>
        </w:tc>
      </w:tr>
      <w:tr>
        <w:trPr>
          <w:trHeight w:val="216"/>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5,826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2,083</w:t>
            </w:r>
          </w:p>
        </w:tc>
      </w:tr>
      <w:tr>
        <w:trPr>
          <w:trHeight w:val="216"/>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w:t>
            </w: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188"/>
        </w:trPr>
        <w:tc>
          <w:tcPr>
            <w:tcW w:w="7720" w:type="dxa"/>
            <w:vAlign w:val="bottom"/>
            <w:shd w:val="clear" w:color="auto" w:fill="CFF0FC"/>
          </w:tcPr>
          <w:p>
            <w:pPr>
              <w:ind w:left="520"/>
              <w:spacing w:after="0" w:line="189" w:lineRule="exact"/>
              <w:rPr>
                <w:sz w:val="20"/>
                <w:szCs w:val="20"/>
                <w:color w:val="auto"/>
              </w:rPr>
            </w:pPr>
            <w:r>
              <w:rPr>
                <w:rFonts w:ascii="Arial" w:cs="Arial" w:eastAsia="Arial" w:hAnsi="Arial"/>
                <w:sz w:val="18"/>
                <w:szCs w:val="18"/>
                <w:color w:val="auto"/>
              </w:rPr>
              <w:t>Amortization of premiums and accretion of discounts on</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217"/>
        </w:trPr>
        <w:tc>
          <w:tcPr>
            <w:tcW w:w="77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available-for-sale securities,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w:t>
            </w: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Unbilled grant receivable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(1,289 )</w:t>
            </w:r>
          </w:p>
        </w:tc>
      </w:tr>
      <w:tr>
        <w:trPr>
          <w:trHeight w:val="216"/>
        </w:trPr>
        <w:tc>
          <w:tcPr>
            <w:tcW w:w="7720" w:type="dxa"/>
            <w:vAlign w:val="bottom"/>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3,217</w:t>
            </w:r>
          </w:p>
        </w:tc>
      </w:tr>
      <w:tr>
        <w:trPr>
          <w:trHeight w:val="216"/>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3,318</w:t>
            </w:r>
          </w:p>
        </w:tc>
      </w:tr>
      <w:tr>
        <w:trPr>
          <w:trHeight w:val="216"/>
        </w:trPr>
        <w:tc>
          <w:tcPr>
            <w:tcW w:w="7720" w:type="dxa"/>
            <w:vAlign w:val="bottom"/>
          </w:tcPr>
          <w:p>
            <w:pPr>
              <w:ind w:left="78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w:t>
            </w:r>
          </w:p>
        </w:tc>
      </w:tr>
      <w:tr>
        <w:trPr>
          <w:trHeight w:val="209"/>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(35,162 )</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(14,622 )</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available-for-sale securities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(51,670 )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(173,563 )</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Maturities of available-for-sale securities</w:t>
            </w:r>
          </w:p>
        </w:tc>
        <w:tc>
          <w:tcPr>
            <w:tcW w:w="36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71,951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152,740</w:t>
            </w: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sales of available-for-sale securities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9,988</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(418 )</w:t>
            </w:r>
          </w:p>
        </w:tc>
      </w:tr>
      <w:tr>
        <w:trPr>
          <w:trHeight w:val="209"/>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19,385</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(11,253 )</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Proceeds from public offering, net of issuance costs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96,762</w:t>
            </w:r>
          </w:p>
        </w:tc>
      </w:tr>
      <w:tr>
        <w:trPr>
          <w:trHeight w:val="210"/>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507</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96,951</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(15,270 )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71,076</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110,537</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60,625</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95,267</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131,701</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Right-of-use asset obtained in exchange for new operating lease liability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680</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-2159635</wp:posOffset>
            </wp:positionV>
            <wp:extent cx="1117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-1319530</wp:posOffset>
            </wp:positionV>
            <wp:extent cx="111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-753745</wp:posOffset>
            </wp:positionV>
            <wp:extent cx="1117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1117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0" w:lineRule="exact"/>
        <w:rPr>
          <w:sz w:val="20"/>
          <w:szCs w:val="20"/>
          <w:color w:val="auto"/>
        </w:rPr>
      </w:pPr>
    </w:p>
    <w:p>
      <w:pPr>
        <w:ind w:left="520" w:right="8980" w:hanging="512"/>
        <w:spacing w:after="0" w:line="577" w:lineRule="auto"/>
        <w:tabs>
          <w:tab w:leader="none" w:pos="211"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b w:val="1"/>
          <w:bCs w:val="1"/>
          <w:i w:val="1"/>
          <w:iCs w:val="1"/>
          <w:color w:val="auto"/>
        </w:rPr>
        <w:t>Organization</w:t>
      </w:r>
    </w:p>
    <w:p>
      <w:pPr>
        <w:jc w:val="both"/>
        <w:ind w:firstLine="509"/>
        <w:spacing w:after="0" w:line="243"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and Seattle, Washington. The Company is a late clinical-stage biopharmaceutical company focused on developing small molecules to restore neuronal health and stop neurodegeneration.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June 30, 2022, it has raised aggregate net cash proceeds of $407.4 million primarily from the issuance of its common stock, convertible preferred stock, common stock warrants, and convertible notes. As of June 30, 2022, the Company had $282.2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248"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Based upon the Company’s current operating plan, it estimates that its $282.2 million of cash, cash equivalents and investments at June 30, 2022 will be sufficient to fund its operating expenses and capital expenditure requirements through at least the 12 months following the date of this report.</w:t>
      </w:r>
    </w:p>
    <w:p>
      <w:pPr>
        <w:spacing w:after="0" w:line="227" w:lineRule="exact"/>
        <w:rPr>
          <w:sz w:val="20"/>
          <w:szCs w:val="20"/>
          <w:color w:val="auto"/>
        </w:rPr>
      </w:pPr>
    </w:p>
    <w:p>
      <w:pPr>
        <w:ind w:left="520" w:right="8340" w:hanging="512"/>
        <w:spacing w:after="0" w:line="577" w:lineRule="auto"/>
        <w:tabs>
          <w:tab w:leader="none" w:pos="211"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b w:val="1"/>
          <w:bCs w:val="1"/>
          <w:i w:val="1"/>
          <w:iCs w:val="1"/>
          <w:color w:val="auto"/>
        </w:rPr>
        <w:t>Basis of Presentation</w:t>
      </w:r>
    </w:p>
    <w:p>
      <w:pPr>
        <w:jc w:val="both"/>
        <w:ind w:firstLine="509"/>
        <w:spacing w:after="0" w:line="245" w:lineRule="auto"/>
        <w:rPr>
          <w:sz w:val="20"/>
          <w:szCs w:val="20"/>
          <w:color w:val="auto"/>
        </w:rPr>
      </w:pPr>
      <w:r>
        <w:rPr>
          <w:rFonts w:ascii="Arial" w:cs="Arial" w:eastAsia="Arial" w:hAnsi="Arial"/>
          <w:sz w:val="18"/>
          <w:szCs w:val="18"/>
          <w:color w:val="auto"/>
        </w:rPr>
        <w:t>The unaudited condensed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unaudited condensed consolidated financial statements. Certain prior period amounts have been reclassified to conform to current period presentation.</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accompanying unaudited condensed consolidated balance sheet as of June 30, 2022, and condensed consolidated statements of operations and comprehensive loss, cash flows, and stockholders’ equity for the three and six months ended June 30, 2022 and 2021, are unaudited. The balance sheet as of December 31, 2021 was derived from the audited consolidated financial statements as of and for the year ended December 31, 2021. The unaudited interim condensed consolidated financial statements have been prepared on a basis consistent with the audited annual financial statements as of and for the year ended December 31, 2021, and, in the opinion of management, reflect all adjustments, consisting solely of normal recurring adjustments, necessary for the fair presentation of the Company’s financial position as of June 30, 2022, and the condensed consolidated results of its operations and its cash flows for the three and six months ended June 30, 2022 and 2021. The financial data and other information disclosed in these notes related to the three and six months ended June 30, 2022 and 2021 are also unaudited. The condensed consolidated results of operations for the three and six months ended June 30, 2022 are not necessarily indicative of the results to be expected for the full year ending December 31, 2022 or any other period. These interim condensed consolidated financial statements should be read in conjunction with the Company’s audited consolidated financial statements as of and for the year ended December 31, 2021 included in its Annual Report on Form 10-K filed with the SEC on March 28,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4"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Restricted cash consists of collateral pledged in connection with the Company's corporate credit cards. The table below reconciles the balances of cash and cash equivalents and restricted cash reported on the condensed consolidated balance sheets to the balances of cash, cash equivalents and restricted cash reported on the condensed consolidated statements of cash flows.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8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95,267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261"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fosgonimeton (then-named ATH-1017), the Company’s lead therapeutic candidate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being developed for the treatment of individuals with mild-to-moderate Alzheimer’s disease. Under the terms of the agreement, the Company may potentially receive $7.8 million with the potential for an additional $7.4 million, up to an aggregate of $15.2 million. The Company</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recognizes income related to the NIH grant in the accompanying condensed consolidated statements of operations and comprehensive loss as qualifying expenses under the grant agreement are incurred.</w:t>
      </w:r>
    </w:p>
    <w:p>
      <w:pPr>
        <w:spacing w:after="0" w:line="224"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During the three months ended June 30, 2022, the Company reversed $1.3 million of grant income previously recorded in the three months ended March 31, 2022 as the Company must obtain additional approvals from the NIH to carryover unused budgets to the second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and final years of the grants. There can be no guarantees such approvals will be made and income will be recognized when and if approvals are granted. During the three months ended June 30, 2021, the Company recognized grant income of $2.6 million. During the six months</w:t>
      </w:r>
    </w:p>
    <w:p>
      <w:pPr>
        <w:spacing w:after="0" w:line="236" w:lineRule="auto"/>
        <w:rPr>
          <w:sz w:val="20"/>
          <w:szCs w:val="20"/>
          <w:color w:val="auto"/>
        </w:rPr>
      </w:pPr>
      <w:r>
        <w:rPr>
          <w:rFonts w:ascii="Arial" w:cs="Arial" w:eastAsia="Arial" w:hAnsi="Arial"/>
          <w:sz w:val="18"/>
          <w:szCs w:val="18"/>
          <w:color w:val="auto"/>
        </w:rPr>
        <w:t>ended June 30, 2022 and 2021, the Company recognized grant income of $1.0 million and $4.4 million, respectively, in connection with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NIH grant. As of June 30, 2022, the Company received cash in excess of amounts reimbursable of $1.3 million, which is included in accrued liabilities on the condensed consolidated balance sheets. Such amounts require additional approval from the NIH to be recognized as grant</w:t>
      </w:r>
    </w:p>
    <w:p>
      <w:pPr>
        <w:spacing w:after="0" w:line="236" w:lineRule="auto"/>
        <w:rPr>
          <w:sz w:val="20"/>
          <w:szCs w:val="20"/>
          <w:color w:val="auto"/>
        </w:rPr>
      </w:pPr>
      <w:r>
        <w:rPr>
          <w:rFonts w:ascii="Arial" w:cs="Arial" w:eastAsia="Arial" w:hAnsi="Arial"/>
          <w:sz w:val="18"/>
          <w:szCs w:val="18"/>
          <w:color w:val="auto"/>
        </w:rPr>
        <w:t>income in the future. If approval is not granted, such amounts must be returned to the NIH. If approval is granted, such amounts will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recognized in future periods. As of December 31, 2021, the Company incurred qualifying expenses in excess of cash received of $2.3 million, which is included in unbilled grant receivable on the condensed consolidated balance sheets. The Company received cash of $2.3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$4.6 million related to the NIH grant during the three and six months ended June 30, 2022, respectively.</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w:t>
      </w:r>
    </w:p>
    <w:p>
      <w:pPr>
        <w:spacing w:after="0" w:line="226" w:lineRule="auto"/>
        <w:rPr>
          <w:sz w:val="20"/>
          <w:szCs w:val="20"/>
          <w:color w:val="auto"/>
        </w:rPr>
      </w:pPr>
      <w:r>
        <w:rPr>
          <w:rFonts w:ascii="Arial" w:cs="Arial" w:eastAsia="Arial" w:hAnsi="Arial"/>
          <w:sz w:val="18"/>
          <w:szCs w:val="18"/>
          <w:color w:val="auto"/>
        </w:rPr>
        <w:t>investments are included in cash and cash equivalents, short-term investments, and long-term investments on the consolidated balance sheets, classified as available-for-sale, and reported at fair value with unrealized gains and losses included in accumulated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or loss. Realized gains and losses on the sale of these securities are recognized in net loss.</w:t>
      </w:r>
    </w:p>
    <w:p>
      <w:pPr>
        <w:spacing w:after="0" w:line="252"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w:t>
      </w:r>
    </w:p>
    <w:p>
      <w:pPr>
        <w:spacing w:after="0" w:line="235" w:lineRule="auto"/>
        <w:rPr>
          <w:sz w:val="20"/>
          <w:szCs w:val="20"/>
          <w:color w:val="auto"/>
        </w:rPr>
      </w:pPr>
      <w:r>
        <w:rPr>
          <w:rFonts w:ascii="Arial" w:cs="Arial" w:eastAsia="Arial" w:hAnsi="Arial"/>
          <w:sz w:val="18"/>
          <w:szCs w:val="18"/>
          <w:color w:val="auto"/>
        </w:rPr>
        <w:t>well as the Company’s ability and intent to hold the investment until a forecasted recovery occurs. Additionally, the Company assesses</w:t>
      </w:r>
    </w:p>
    <w:p>
      <w:pPr>
        <w:spacing w:after="0" w:line="226" w:lineRule="auto"/>
        <w:rPr>
          <w:sz w:val="20"/>
          <w:szCs w:val="20"/>
          <w:color w:val="auto"/>
        </w:rPr>
      </w:pPr>
      <w:r>
        <w:rPr>
          <w:rFonts w:ascii="Arial" w:cs="Arial" w:eastAsia="Arial" w:hAnsi="Arial"/>
          <w:sz w:val="18"/>
          <w:szCs w:val="18"/>
          <w:color w:val="auto"/>
        </w:rPr>
        <w:t>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61"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statements and the reported amounts of expenses during the reporting period. Estimates include those used for fair value of assets and liabilities, accrued liabilities, valuation allowance for deferred tax assets, and stock-based compensation. Management evaluates related</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assumptions on an ongoing basis using historical experience and other factors and adjusts those estimates and assumptions when facts and circumstances dictate. Actual results could differ from those estimates.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61"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manufacturing, clinical trial costs, consulting fees, and other expenses incurred to sustain the Company’s research and development program. Indirect costs include personnel-related expenses, consisting of employee salaries, related benefits, and stock-based</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compensation expense for employees engaged in research and development activities, and facilities and other expenses consisting of direct and allocated expenses for rent and depreciation and lab consumables.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w:t>
      </w:r>
    </w:p>
    <w:p>
      <w:pPr>
        <w:jc w:val="both"/>
        <w:spacing w:after="0" w:line="226" w:lineRule="auto"/>
        <w:rPr>
          <w:sz w:val="20"/>
          <w:szCs w:val="20"/>
          <w:color w:val="auto"/>
        </w:rPr>
      </w:pPr>
      <w:r>
        <w:rPr>
          <w:rFonts w:ascii="Arial" w:cs="Arial" w:eastAsia="Arial" w:hAnsi="Arial"/>
          <w:sz w:val="18"/>
          <w:szCs w:val="18"/>
          <w:color w:val="auto"/>
        </w:rPr>
        <w:t>and development that have not yet received regulatory approval and that are not expected to have an alternative future use are expensed when incurred. Non-refundable advance payments for goods and services that will be used over time for research and development are</w:t>
      </w:r>
    </w:p>
    <w:p>
      <w:pPr>
        <w:spacing w:after="0" w:line="236" w:lineRule="auto"/>
        <w:rPr>
          <w:sz w:val="20"/>
          <w:szCs w:val="20"/>
          <w:color w:val="auto"/>
        </w:rPr>
      </w:pPr>
      <w:r>
        <w:rPr>
          <w:rFonts w:ascii="Arial" w:cs="Arial" w:eastAsia="Arial" w:hAnsi="Arial"/>
          <w:sz w:val="18"/>
          <w:szCs w:val="18"/>
          <w:color w:val="auto"/>
        </w:rPr>
        <w:t>capitalized and recognized as goods are delivered or as the related services are performed. The Company estimates the period over which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services will be performed and the level of effort to be expended in each period. If actual timing of performance or the level of effort varies from the estimate, the Company adjusts the amounts recorded accordingly. The Company has not experienced any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accrued or prepaid costs and actual costs since inception.</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5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jc w:val="both"/>
        <w:ind w:firstLine="509"/>
        <w:spacing w:after="0" w:line="248"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20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4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Fair Value</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84" w:lineRule="exact"/>
        <w:rPr>
          <w:sz w:val="20"/>
          <w:szCs w:val="20"/>
          <w:color w:val="auto"/>
        </w:rPr>
      </w:pPr>
    </w:p>
    <w:p>
      <w:pPr>
        <w:jc w:val="both"/>
        <w:ind w:right="20" w:firstLine="509"/>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4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23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on a recurring basis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4"/>
              <w:spacing w:after="0" w:line="12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61"/>
              <w:spacing w:after="0" w:line="12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78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jc w:val="right"/>
              <w:ind w:right="4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79,200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(13 )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(186 )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20" w:type="dxa"/>
            <w:vAlign w:val="bottom"/>
            <w:gridSpan w:val="2"/>
            <w:shd w:val="clear" w:color="auto" w:fill="CFF0FC"/>
          </w:tcPr>
          <w:p>
            <w:pPr>
              <w:ind w:left="280"/>
              <w:spacing w:after="0" w:line="189" w:lineRule="exact"/>
              <w:rPr>
                <w:sz w:val="20"/>
                <w:szCs w:val="20"/>
                <w:color w:val="auto"/>
              </w:rPr>
            </w:pPr>
            <w:r>
              <w:rPr>
                <w:rFonts w:ascii="Arial" w:cs="Arial" w:eastAsia="Arial" w:hAnsi="Arial"/>
                <w:sz w:val="18"/>
                <w:szCs w:val="18"/>
                <w:color w:val="auto"/>
              </w:rPr>
              <w:t>U.S. government debt, municipal</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bonds, and agency securities</w:t>
            </w:r>
          </w:p>
        </w:tc>
        <w:tc>
          <w:tcPr>
            <w:tcW w:w="1100" w:type="dxa"/>
            <w:vAlign w:val="bottom"/>
            <w:shd w:val="clear" w:color="auto" w:fill="CFF0FC"/>
          </w:tcPr>
          <w:p>
            <w:pPr>
              <w:jc w:val="right"/>
              <w:ind w:right="4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(1,405 )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(64 )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159,002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4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(47 )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U.S. government debt and agency</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28,598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(222 )</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420"/>
              <w:spacing w:after="0" w:line="203" w:lineRule="exact"/>
              <w:rPr>
                <w:sz w:val="20"/>
                <w:szCs w:val="20"/>
                <w:color w:val="auto"/>
              </w:rPr>
            </w:pPr>
            <w:r>
              <w:rPr>
                <w:rFonts w:ascii="Arial" w:cs="Arial" w:eastAsia="Arial" w:hAnsi="Arial"/>
                <w:sz w:val="18"/>
                <w:szCs w:val="18"/>
                <w:color w:val="auto"/>
              </w:rPr>
              <w:t>securities</w:t>
            </w:r>
          </w:p>
        </w:tc>
        <w:tc>
          <w:tcPr>
            <w:tcW w:w="110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long-term investments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-2476500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-2193925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-2193925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-2193925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-1885315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-1199515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-1182370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-1199515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-1182370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-1199515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-1182370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-496570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-479425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-496570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-479425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-496570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-479425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93"/>
              <w:spacing w:after="0" w:line="12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96,120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96,115</w:t>
            </w:r>
          </w:p>
        </w:tc>
        <w:tc>
          <w:tcPr>
            <w:tcW w:w="0" w:type="dxa"/>
            <w:vAlign w:val="bottom"/>
          </w:tcPr>
          <w:p>
            <w:pPr>
              <w:spacing w:after="0"/>
              <w:rPr>
                <w:sz w:val="1"/>
                <w:szCs w:val="1"/>
                <w:color w:val="auto"/>
              </w:rPr>
            </w:pPr>
          </w:p>
        </w:tc>
      </w:tr>
      <w:tr>
        <w:trPr>
          <w:trHeight w:val="209"/>
        </w:trPr>
        <w:tc>
          <w:tcPr>
            <w:tcW w:w="506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96,177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96,172</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74,170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74,135</w:t>
            </w:r>
          </w:p>
        </w:tc>
        <w:tc>
          <w:tcPr>
            <w:tcW w:w="0" w:type="dxa"/>
            <w:vAlign w:val="bottom"/>
          </w:tcPr>
          <w:p>
            <w:pPr>
              <w:spacing w:after="0"/>
              <w:rPr>
                <w:sz w:val="1"/>
                <w:szCs w:val="1"/>
                <w:color w:val="auto"/>
              </w:rPr>
            </w:pPr>
          </w:p>
        </w:tc>
      </w:tr>
      <w:tr>
        <w:trPr>
          <w:trHeight w:val="188"/>
        </w:trPr>
        <w:tc>
          <w:tcPr>
            <w:tcW w:w="5060" w:type="dxa"/>
            <w:vAlign w:val="bottom"/>
            <w:gridSpan w:val="2"/>
            <w:shd w:val="clear" w:color="auto" w:fill="CFF0FC"/>
          </w:tcPr>
          <w:p>
            <w:pPr>
              <w:ind w:left="280"/>
              <w:spacing w:after="0" w:line="189" w:lineRule="exact"/>
              <w:rPr>
                <w:sz w:val="20"/>
                <w:szCs w:val="20"/>
                <w:color w:val="auto"/>
              </w:rPr>
            </w:pPr>
            <w:r>
              <w:rPr>
                <w:rFonts w:ascii="Arial" w:cs="Arial" w:eastAsia="Arial" w:hAnsi="Arial"/>
                <w:sz w:val="18"/>
                <w:szCs w:val="18"/>
                <w:color w:val="auto"/>
              </w:rPr>
              <w:t>U.S. government debt, municipal</w:t>
            </w: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bonds, and agency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62,149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62,092</w:t>
            </w:r>
          </w:p>
        </w:tc>
        <w:tc>
          <w:tcPr>
            <w:tcW w:w="0" w:type="dxa"/>
            <w:vAlign w:val="bottom"/>
          </w:tcPr>
          <w:p>
            <w:pPr>
              <w:spacing w:after="0"/>
              <w:rPr>
                <w:sz w:val="1"/>
                <w:szCs w:val="1"/>
                <w:color w:val="auto"/>
              </w:rPr>
            </w:pPr>
          </w:p>
        </w:tc>
      </w:tr>
      <w:tr>
        <w:trPr>
          <w:trHeight w:val="216"/>
        </w:trPr>
        <w:tc>
          <w:tcPr>
            <w:tcW w:w="506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143,323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143,222</w:t>
            </w:r>
          </w:p>
        </w:tc>
        <w:tc>
          <w:tcPr>
            <w:tcW w:w="0" w:type="dxa"/>
            <w:vAlign w:val="bottom"/>
          </w:tcPr>
          <w:p>
            <w:pPr>
              <w:spacing w:after="0"/>
              <w:rPr>
                <w:sz w:val="1"/>
                <w:szCs w:val="1"/>
                <w:color w:val="auto"/>
              </w:rPr>
            </w:pPr>
          </w:p>
        </w:tc>
      </w:tr>
      <w:tr>
        <w:trPr>
          <w:trHeight w:val="197"/>
        </w:trPr>
        <w:tc>
          <w:tcPr>
            <w:tcW w:w="50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U.S. government debt and agency</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53"/>
              <w:spacing w:after="0"/>
              <w:rPr>
                <w:sz w:val="20"/>
                <w:szCs w:val="20"/>
                <w:color w:val="auto"/>
              </w:rPr>
            </w:pPr>
            <w:r>
              <w:rPr>
                <w:rFonts w:ascii="Arial" w:cs="Arial" w:eastAsia="Arial" w:hAnsi="Arial"/>
                <w:sz w:val="18"/>
                <w:szCs w:val="18"/>
                <w:color w:val="auto"/>
              </w:rPr>
              <w:t>62,911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62,649</w:t>
            </w:r>
          </w:p>
        </w:tc>
        <w:tc>
          <w:tcPr>
            <w:tcW w:w="0" w:type="dxa"/>
            <w:vAlign w:val="bottom"/>
          </w:tcPr>
          <w:p>
            <w:pPr>
              <w:spacing w:after="0"/>
              <w:rPr>
                <w:sz w:val="1"/>
                <w:szCs w:val="1"/>
                <w:color w:val="auto"/>
              </w:rPr>
            </w:pPr>
          </w:p>
        </w:tc>
      </w:tr>
      <w:tr>
        <w:trPr>
          <w:trHeight w:val="203"/>
        </w:trPr>
        <w:tc>
          <w:tcPr>
            <w:tcW w:w="5060" w:type="dxa"/>
            <w:vAlign w:val="bottom"/>
            <w:gridSpan w:val="2"/>
          </w:tcPr>
          <w:p>
            <w:pPr>
              <w:ind w:left="420"/>
              <w:spacing w:after="0" w:line="203" w:lineRule="exact"/>
              <w:rPr>
                <w:sz w:val="20"/>
                <w:szCs w:val="20"/>
                <w:color w:val="auto"/>
              </w:rPr>
            </w:pPr>
            <w:r>
              <w:rPr>
                <w:rFonts w:ascii="Arial" w:cs="Arial" w:eastAsia="Arial" w:hAnsi="Arial"/>
                <w:sz w:val="18"/>
                <w:szCs w:val="18"/>
                <w:color w:val="auto"/>
              </w:rPr>
              <w:t>securities</w:t>
            </w:r>
          </w:p>
        </w:tc>
        <w:tc>
          <w:tcPr>
            <w:tcW w:w="1100" w:type="dxa"/>
            <w:vAlign w:val="bottom"/>
          </w:tcPr>
          <w:p>
            <w:pPr>
              <w:jc w:val="center"/>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long-term investments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66,218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-2005330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-1722120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-1722120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-1722120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-1414145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-728345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-710565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-728345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-710565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-728345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-710565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5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8"/>
                <w:szCs w:val="18"/>
                <w:color w:val="auto"/>
              </w:rPr>
            </w:pPr>
          </w:p>
        </w:tc>
      </w:tr>
      <w:tr>
        <w:trPr>
          <w:trHeight w:val="188"/>
        </w:trPr>
        <w:tc>
          <w:tcPr>
            <w:tcW w:w="5260" w:type="dxa"/>
            <w:vAlign w:val="bottom"/>
          </w:tcPr>
          <w:p>
            <w:pPr>
              <w:spacing w:after="0" w:line="189" w:lineRule="exact"/>
              <w:rPr>
                <w:sz w:val="20"/>
                <w:szCs w:val="20"/>
                <w:color w:val="auto"/>
              </w:rPr>
            </w:pPr>
            <w:r>
              <w:rPr>
                <w:rFonts w:ascii="Arial" w:cs="Arial" w:eastAsia="Arial" w:hAnsi="Arial"/>
                <w:sz w:val="18"/>
                <w:szCs w:val="18"/>
                <w:color w:val="auto"/>
              </w:rPr>
              <w:t>Office furniture, fixtures, and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526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5,192</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(898 )</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(523 )</w:t>
            </w:r>
          </w:p>
        </w:tc>
      </w:tr>
      <w:tr>
        <w:trPr>
          <w:trHeight w:val="250"/>
        </w:trPr>
        <w:tc>
          <w:tcPr>
            <w:tcW w:w="5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20" w:firstLine="583"/>
        <w:spacing w:after="0" w:line="246" w:lineRule="auto"/>
        <w:rPr>
          <w:sz w:val="20"/>
          <w:szCs w:val="20"/>
          <w:color w:val="auto"/>
        </w:rPr>
      </w:pPr>
      <w:r>
        <w:rPr>
          <w:rFonts w:ascii="Arial" w:cs="Arial" w:eastAsia="Arial" w:hAnsi="Arial"/>
          <w:sz w:val="18"/>
          <w:szCs w:val="18"/>
          <w:color w:val="auto"/>
        </w:rPr>
        <w:t>Depreciation expense was $221,000 and $375,000 for the three and six months ended June 30, 2022, respectively. Depreciation expense was $118,000 and $230,000 for the three and six months ended June 30, 2021,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Accrued Liabilities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5,723</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1,759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1,907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1,923</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20" w:type="dxa"/>
            <w:vAlign w:val="bottom"/>
          </w:tcPr>
          <w:p>
            <w:pPr>
              <w:jc w:val="center"/>
              <w:ind w:right="1610"/>
              <w:spacing w:after="0"/>
              <w:rPr>
                <w:sz w:val="20"/>
                <w:szCs w:val="20"/>
                <w:color w:val="auto"/>
              </w:rPr>
            </w:pPr>
            <w:r>
              <w:rPr>
                <w:rFonts w:ascii="Arial" w:cs="Arial" w:eastAsia="Arial" w:hAnsi="Arial"/>
                <w:sz w:val="18"/>
                <w:szCs w:val="18"/>
                <w:color w:val="auto"/>
                <w:w w:val="98"/>
              </w:rPr>
              <w:t>Total accrued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8,780</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8,437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Other Income, Net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9"/>
              </w:rPr>
              <w:t>Other income, net consisted of the following (in thousands):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8"/>
          </w:tcPr>
          <w:p>
            <w:pPr>
              <w:jc w:val="right"/>
              <w:ind w:right="1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5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-1533525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-1533525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is party to an amended and restated exclusive license agreement with sublicensing terms between the Company and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24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annual maintenance fees. All contractual requirements have been met as of June 30, 2022.</w:t>
      </w:r>
    </w:p>
    <w:p>
      <w:pPr>
        <w:spacing w:after="0" w:line="22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90" w:lineRule="exact"/>
        <w:rPr>
          <w:sz w:val="20"/>
          <w:szCs w:val="20"/>
          <w:color w:val="auto"/>
        </w:rPr>
      </w:pPr>
    </w:p>
    <w:p>
      <w:pPr>
        <w:ind w:left="1020" w:hanging="503"/>
        <w:spacing w:after="0" w:line="23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 and</w:t>
      </w:r>
    </w:p>
    <w:p>
      <w:pPr>
        <w:spacing w:after="0" w:line="8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$600,000 – Upon receipt of marketing approval in the United States, European Union or Japan for the first licensed product.</w:t>
      </w:r>
    </w:p>
    <w:p>
      <w:pPr>
        <w:spacing w:after="0" w:line="23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June 30, 2022, no sales of any licensed products had occurred and the Company had not incurred a royalty obligation under this agreement.</w:t>
      </w:r>
    </w:p>
    <w:p>
      <w:pPr>
        <w:spacing w:after="0" w:line="24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June 30, 2022, the Company has not entered into or incurred any liability from a sublicense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and as of June 30, 2022, the Company has not recorded any such liabilities. The following is a brief description of the more significant legal proceedings.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8"/>
          <w:szCs w:val="18"/>
          <w:i w:val="1"/>
          <w:iCs w:val="1"/>
          <w:color w:val="auto"/>
        </w:rPr>
        <w:t>Wang v.</w:t>
      </w:r>
      <w:r>
        <w:rPr>
          <w:rFonts w:ascii="Arial" w:cs="Arial" w:eastAsia="Arial" w:hAnsi="Arial"/>
          <w:sz w:val="18"/>
          <w:szCs w:val="18"/>
          <w:color w:val="auto"/>
        </w:rPr>
        <w:t xml:space="preserve"> </w:t>
      </w:r>
      <w:r>
        <w:rPr>
          <w:rFonts w:ascii="Arial" w:cs="Arial" w:eastAsia="Arial" w:hAnsi="Arial"/>
          <w:sz w:val="18"/>
          <w:szCs w:val="18"/>
          <w:i w:val="1"/>
          <w:iCs w:val="1"/>
          <w:color w:val="auto"/>
        </w:rPr>
        <w:t>Athira Pharma, Inc., et al.</w:t>
      </w:r>
      <w:r>
        <w:rPr>
          <w:rFonts w:ascii="Arial" w:cs="Arial" w:eastAsia="Arial" w:hAnsi="Arial"/>
          <w:sz w:val="18"/>
          <w:szCs w:val="18"/>
          <w:color w:val="auto"/>
        </w:rPr>
        <w:t>, No. 2:21-cv-00861. Plaintiffs Wang and Gao assert claims under Sections 10(b) and 20(a)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of 1934 ("Exchange Act")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w:t>
      </w:r>
    </w:p>
    <w:p>
      <w:pPr>
        <w:sectPr>
          <w:pgSz w:w="11900" w:h="16838" w:orient="portrait"/>
          <w:cols w:equalWidth="0" w:num="1">
            <w:col w:w="11240"/>
          </w:cols>
          <w:pgMar w:left="320" w:top="454" w:right="339" w:bottom="1440" w:gutter="0" w:footer="0" w:header="0"/>
        </w:sectPr>
      </w:pPr>
    </w:p>
    <w:p>
      <w:pPr>
        <w:jc w:val="both"/>
        <w:spacing w:after="0"/>
        <w:rPr>
          <w:sz w:val="20"/>
          <w:szCs w:val="20"/>
          <w:color w:val="auto"/>
        </w:rPr>
      </w:pPr>
      <w:r>
        <w:rPr>
          <w:rFonts w:ascii="Arial" w:cs="Arial" w:eastAsia="Arial" w:hAnsi="Arial"/>
          <w:sz w:val="18"/>
          <w:szCs w:val="18"/>
          <w:color w:val="auto"/>
        </w:rPr>
        <w:t>WSU, including the manipulation of data, and that as a operations, and prospects were materially misleading. The reasonable costs and expenses, including attorneys’ fees.</w:t>
      </w:r>
    </w:p>
    <w:p>
      <w:pPr>
        <w:spacing w:after="0" w:line="20" w:lineRule="exact"/>
        <w:rPr>
          <w:sz w:val="20"/>
          <w:szCs w:val="20"/>
          <w:color w:val="auto"/>
        </w:rPr>
      </w:pPr>
      <w:r>
        <w:rPr>
          <w:sz w:val="20"/>
          <w:szCs w:val="20"/>
          <w:color w:val="auto"/>
        </w:rPr>
        <w:br w:type="column"/>
      </w:r>
    </w:p>
    <w:p>
      <w:pPr>
        <w:ind w:hanging="55"/>
        <w:spacing w:after="0" w:line="246" w:lineRule="auto"/>
        <w:rPr>
          <w:sz w:val="20"/>
          <w:szCs w:val="20"/>
          <w:color w:val="auto"/>
        </w:rPr>
      </w:pPr>
      <w:r>
        <w:rPr>
          <w:rFonts w:ascii="Arial" w:cs="Arial" w:eastAsia="Arial" w:hAnsi="Arial"/>
          <w:sz w:val="18"/>
          <w:szCs w:val="18"/>
          <w:color w:val="auto"/>
        </w:rPr>
        <w:t xml:space="preserve">result, the defendants’ positive statements about the Company’s business, </w:t>
      </w:r>
      <w:r>
        <w:rPr>
          <w:rFonts w:ascii="Arial" w:cs="Arial" w:eastAsia="Arial" w:hAnsi="Arial"/>
          <w:sz w:val="18"/>
          <w:szCs w:val="18"/>
          <w:i w:val="1"/>
          <w:iCs w:val="1"/>
          <w:color w:val="auto"/>
        </w:rPr>
        <w:t xml:space="preserve">Wang </w:t>
      </w:r>
      <w:r>
        <w:rPr>
          <w:rFonts w:ascii="Arial" w:cs="Arial" w:eastAsia="Arial" w:hAnsi="Arial"/>
          <w:sz w:val="18"/>
          <w:szCs w:val="18"/>
          <w:color w:val="auto"/>
        </w:rPr>
        <w:t>plaintiffs seek unspecified compensatory and punitive damages, and</w:t>
      </w:r>
    </w:p>
    <w:p>
      <w:pPr>
        <w:spacing w:after="0" w:line="396" w:lineRule="exact"/>
        <w:rPr>
          <w:sz w:val="20"/>
          <w:szCs w:val="20"/>
          <w:color w:val="auto"/>
        </w:rPr>
      </w:pPr>
    </w:p>
    <w:p>
      <w:pPr>
        <w:sectPr>
          <w:pgSz w:w="11900" w:h="16838" w:orient="portrait"/>
          <w:cols w:equalWidth="0" w:num="2">
            <w:col w:w="4880" w:space="80"/>
            <w:col w:w="6280"/>
          </w:cols>
          <w:pgMar w:left="320" w:top="454" w:right="339" w:bottom="1440" w:gutter="0" w:footer="0" w:header="0"/>
          <w:type w:val="continuous"/>
        </w:sectPr>
      </w:pPr>
    </w:p>
    <w:p>
      <w:pPr>
        <w:spacing w:after="0" w:line="7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IPO, as well as the IPO underwriters, captioned </w:t>
      </w:r>
      <w:r>
        <w:rPr>
          <w:rFonts w:ascii="Arial" w:cs="Arial" w:eastAsia="Arial" w:hAnsi="Arial"/>
          <w:sz w:val="18"/>
          <w:szCs w:val="18"/>
          <w:i w:val="1"/>
          <w:iCs w:val="1"/>
          <w:color w:val="auto"/>
        </w:rPr>
        <w:t>Jawandha v. Athira Pharma,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 Securities Act of 1933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plaintiff seeks unspecified compensatory damages, and reasonable costs and expenses, including attorneys’ fees.</w:t>
      </w:r>
    </w:p>
    <w:p>
      <w:pPr>
        <w:spacing w:after="0" w:line="26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4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22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chief financial officer, certain members of the Company's board of directors at the time of the Company's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6" w:name="page17"/>
    <w:bookmarkEnd w:id="16"/>
    <w:p>
      <w:pPr>
        <w:jc w:val="both"/>
        <w:spacing w:after="0" w:line="248" w:lineRule="auto"/>
        <w:rPr>
          <w:sz w:val="20"/>
          <w:szCs w:val="20"/>
          <w:color w:val="auto"/>
        </w:rPr>
      </w:pPr>
      <w:r>
        <w:rPr>
          <w:rFonts w:ascii="Arial" w:cs="Arial" w:eastAsia="Arial" w:hAnsi="Arial"/>
          <w:sz w:val="18"/>
          <w:szCs w:val="18"/>
          <w:color w:val="auto"/>
        </w:rPr>
        <w:t>claim arising under the Securities Act against all defendants other than Dr. Kawas. Lead plaintiffs have until August 19, 2022 to file a second consolidated amended complaint. If lead plaintiffs do not file a second consolidated amended complaint, the parties are required to file a joint status report by September 15, 2022.</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Shareholder Derivative Actions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the Company’s board of directors, titled </w:t>
      </w:r>
      <w:r>
        <w:rPr>
          <w:rFonts w:ascii="Arial" w:cs="Arial" w:eastAsia="Arial" w:hAnsi="Arial"/>
          <w:sz w:val="18"/>
          <w:szCs w:val="18"/>
          <w:i w:val="1"/>
          <w:iCs w:val="1"/>
          <w:color w:val="auto"/>
        </w:rPr>
        <w:t>Bushansky v. Kawas et al.</w:t>
      </w:r>
      <w:r>
        <w:rPr>
          <w:rFonts w:ascii="Arial" w:cs="Arial" w:eastAsia="Arial" w:hAnsi="Arial"/>
          <w:sz w:val="18"/>
          <w:szCs w:val="18"/>
          <w:color w:val="auto"/>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24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current and former directors and officers of the Company, titled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cannot predict the outcome of these suits, and failure by the Company to obtain a favorable resolution of these suits could have a material adverse effect on its business, results of operations and financial condition. The Company’s chances of success on the merits are still uncertain and any possible loss or range of loss cannot be reasonably estimated and as such the Company has not recorded a liability as of June 30, 2022.</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3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June 30, 2022, the Company was not party to any finance leases.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Remaining 2022</w:t>
            </w:r>
          </w:p>
        </w:tc>
        <w:tc>
          <w:tcPr>
            <w:tcW w:w="3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2023</w:t>
            </w: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2025</w:t>
            </w: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3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9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Present value adjustment for minimum lease</w:t>
            </w:r>
          </w:p>
        </w:tc>
        <w:tc>
          <w:tcPr>
            <w:tcW w:w="3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(463 )</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commitments</w:t>
            </w:r>
          </w:p>
        </w:tc>
        <w:tc>
          <w:tcPr>
            <w:tcW w:w="3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980" w:type="dxa"/>
            <w:vAlign w:val="bottom"/>
          </w:tcPr>
          <w:p>
            <w:pPr>
              <w:ind w:left="260"/>
              <w:spacing w:after="0"/>
              <w:rPr>
                <w:sz w:val="20"/>
                <w:szCs w:val="20"/>
                <w:color w:val="auto"/>
              </w:rPr>
            </w:pPr>
            <w:r>
              <w:rPr>
                <w:rFonts w:ascii="Arial" w:cs="Arial" w:eastAsia="Arial" w:hAnsi="Arial"/>
                <w:sz w:val="18"/>
                <w:szCs w:val="18"/>
                <w:color w:val="auto"/>
              </w:rPr>
              <w:t>Net lease liability</w:t>
            </w:r>
          </w:p>
        </w:tc>
        <w:tc>
          <w:tcPr>
            <w:tcW w:w="368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0" w:type="dxa"/>
            <w:vAlign w:val="bottom"/>
            <w:vMerge w:val="restart"/>
          </w:tcPr>
          <w:p>
            <w:pPr>
              <w:jc w:val="right"/>
              <w:ind w:right="271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-1045210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-650875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 w:name="page18"/>
    <w:bookmarkEnd w:id="17"/>
    <w:p>
      <w:pPr>
        <w:jc w:val="both"/>
        <w:ind w:right="20" w:firstLine="509"/>
        <w:spacing w:after="0" w:line="246"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7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2022</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8.1 %</w:t>
            </w:r>
          </w:p>
        </w:tc>
      </w:tr>
      <w:tr>
        <w:trPr>
          <w:trHeight w:val="472"/>
        </w:trPr>
        <w:tc>
          <w:tcPr>
            <w:tcW w:w="7540" w:type="dxa"/>
            <w:vAlign w:val="bottom"/>
            <w:gridSpan w:val="8"/>
          </w:tcPr>
          <w:p>
            <w:pPr>
              <w:spacing w:after="0"/>
              <w:rPr>
                <w:sz w:val="20"/>
                <w:szCs w:val="20"/>
                <w:color w:val="auto"/>
              </w:rPr>
            </w:pPr>
            <w:r>
              <w:rPr>
                <w:rFonts w:ascii="Arial" w:cs="Arial" w:eastAsia="Arial" w:hAnsi="Arial"/>
                <w:sz w:val="18"/>
                <w:szCs w:val="18"/>
                <w:color w:val="auto"/>
                <w:w w:val="99"/>
              </w:rPr>
              <w:t>Operating lease expense and variable lease expense consisted of the following (in thousands):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6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Variable lease expense</w:t>
            </w: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Shares issuable upon the exercise of outstanding</w:t>
            </w:r>
          </w:p>
        </w:tc>
        <w:tc>
          <w:tcPr>
            <w:tcW w:w="1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common stock options and the vesting of</w:t>
            </w: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outstanding common restricted stock</w:t>
            </w:r>
          </w:p>
        </w:tc>
        <w:tc>
          <w:tcPr>
            <w:tcW w:w="1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units 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4,078,842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2,632,396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line="189" w:lineRule="exact"/>
              <w:rPr>
                <w:sz w:val="20"/>
                <w:szCs w:val="20"/>
                <w:color w:val="auto"/>
              </w:rPr>
            </w:pPr>
            <w:r>
              <w:rPr>
                <w:rFonts w:ascii="Arial" w:cs="Arial" w:eastAsia="Arial" w:hAnsi="Arial"/>
                <w:sz w:val="18"/>
                <w:szCs w:val="18"/>
                <w:color w:val="auto"/>
              </w:rPr>
              <w:t>Shares available for future grant under the 2020</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60"/>
              <w:spacing w:after="0"/>
              <w:rPr>
                <w:sz w:val="20"/>
                <w:szCs w:val="20"/>
                <w:color w:val="auto"/>
              </w:rPr>
            </w:pPr>
            <w:r>
              <w:rPr>
                <w:rFonts w:ascii="Arial" w:cs="Arial" w:eastAsia="Arial" w:hAnsi="Arial"/>
                <w:sz w:val="18"/>
                <w:szCs w:val="18"/>
                <w:color w:val="auto"/>
              </w:rPr>
              <w:t>Equity Incentive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4,456,454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4,442,315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Shares available for future grant under the</w:t>
            </w: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964,722</w:t>
            </w:r>
          </w:p>
        </w:tc>
        <w:tc>
          <w:tcPr>
            <w:tcW w:w="240" w:type="dxa"/>
            <w:vAlign w:val="bottom"/>
            <w:vMerge w:val="restart"/>
            <w:shd w:val="clear" w:color="auto" w:fill="CFF0FC"/>
          </w:tcPr>
          <w:p>
            <w:pPr>
              <w:spacing w:after="0"/>
              <w:rPr>
                <w:sz w:val="16"/>
                <w:szCs w:val="16"/>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621,211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14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9,500,018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7,695,922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-170815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(a) 3,230,000 shares, (b) 5% of the number of shares of common stock issued and outstanding on the immediately preceding December 31, or</w:t>
      </w:r>
    </w:p>
    <w:p>
      <w:pPr>
        <w:spacing w:after="0"/>
        <w:rPr>
          <w:sz w:val="20"/>
          <w:szCs w:val="20"/>
          <w:color w:val="auto"/>
        </w:rPr>
      </w:pPr>
      <w:r>
        <w:rPr>
          <w:rFonts w:ascii="Arial" w:cs="Arial" w:eastAsia="Arial" w:hAnsi="Arial"/>
          <w:sz w:val="18"/>
          <w:szCs w:val="18"/>
          <w:color w:val="auto"/>
        </w:rPr>
        <w:t>(c) an amount determined by the Company’s board of directors.</w:t>
      </w:r>
    </w:p>
    <w:p>
      <w:pPr>
        <w:spacing w:after="0" w:line="2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7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Effective January 1, 2021, the Company’s 2020 Plan and ESPP reserves increased by 1,624,259 shares and 324,851 shares, respectively.</w:t>
      </w:r>
    </w:p>
    <w:p>
      <w:pPr>
        <w:spacing w:after="0" w:line="25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Effective January 1, 2022, the Company’s 2020 Plan and ESPP reserves increased by 1,868,953 shares and 373,790 shares,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Stock-based Compensation</w:t>
      </w:r>
    </w:p>
    <w:p>
      <w:pPr>
        <w:spacing w:after="0" w:line="274"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rPr>
              <w:t>Six Months Ended June</w:t>
            </w:r>
          </w:p>
        </w:tc>
        <w:tc>
          <w:tcPr>
            <w:tcW w:w="80" w:type="dxa"/>
            <w:vAlign w:val="bottom"/>
          </w:tcPr>
          <w:p>
            <w:pPr>
              <w:spacing w:after="0"/>
              <w:rPr>
                <w:sz w:val="14"/>
                <w:szCs w:val="14"/>
                <w:color w:val="auto"/>
              </w:rPr>
            </w:pPr>
          </w:p>
        </w:tc>
      </w:t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2"/>
              </w:rPr>
              <w:t>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18"/>
                <w:szCs w:val="18"/>
                <w:color w:val="auto"/>
              </w:rPr>
            </w:pPr>
          </w:p>
        </w:tc>
      </w:tr>
      <w:tr>
        <w:trPr>
          <w:trHeight w:val="249"/>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7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1020" w:hanging="503"/>
        <w:spacing w:after="0" w:line="28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40" w:lineRule="exact"/>
        <w:rPr>
          <w:rFonts w:ascii="Arial" w:cs="Arial" w:eastAsia="Arial" w:hAnsi="Arial"/>
          <w:sz w:val="18"/>
          <w:szCs w:val="18"/>
          <w:color w:val="auto"/>
        </w:rPr>
      </w:pPr>
    </w:p>
    <w:p>
      <w:pPr>
        <w:ind w:left="1020" w:hanging="503"/>
        <w:spacing w:after="0" w:line="26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65" w:lineRule="exact"/>
        <w:rPr>
          <w:rFonts w:ascii="Arial" w:cs="Arial" w:eastAsia="Arial" w:hAnsi="Arial"/>
          <w:sz w:val="18"/>
          <w:szCs w:val="18"/>
          <w:color w:val="auto"/>
        </w:rPr>
      </w:pPr>
    </w:p>
    <w:p>
      <w:pPr>
        <w:jc w:val="both"/>
        <w:ind w:left="10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3" w:lineRule="exact"/>
        <w:rPr>
          <w:rFonts w:ascii="Arial" w:cs="Arial" w:eastAsia="Arial" w:hAnsi="Arial"/>
          <w:sz w:val="18"/>
          <w:szCs w:val="18"/>
          <w:color w:val="auto"/>
        </w:rPr>
      </w:pPr>
    </w:p>
    <w:p>
      <w:pPr>
        <w:jc w:val="both"/>
        <w:ind w:left="1020" w:right="20" w:hanging="503"/>
        <w:spacing w:after="0" w:line="25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1" w:lineRule="exact"/>
        <w:rPr>
          <w:rFonts w:ascii="Arial" w:cs="Arial" w:eastAsia="Arial" w:hAnsi="Arial"/>
          <w:sz w:val="18"/>
          <w:szCs w:val="18"/>
          <w:color w:val="auto"/>
        </w:rPr>
      </w:pPr>
    </w:p>
    <w:p>
      <w:pPr>
        <w:ind w:left="1020" w:hanging="503"/>
        <w:spacing w:after="0" w:line="28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207" w:lineRule="exact"/>
        <w:rPr>
          <w:sz w:val="20"/>
          <w:szCs w:val="20"/>
          <w:color w:val="auto"/>
        </w:rPr>
      </w:pPr>
    </w:p>
    <w:p>
      <w:pPr>
        <w:jc w:val="both"/>
        <w:ind w:right="20" w:firstLine="509"/>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8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92.78 %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89.34 %</w:t>
            </w: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-548640</wp:posOffset>
            </wp:positionV>
            <wp:extent cx="498919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9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grant date fair value of restricted stock units is based upon the fair market value of the Company’s common stock based on its closing price as reported on the date of grant on the Nasdaq Global Select Market.</w:t>
      </w:r>
    </w:p>
    <w:p>
      <w:pPr>
        <w:spacing w:after="0" w:line="19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fair value of options granted during the six months ended June 30, 2022 and 2021 was $15.7 million and $10.2 million, respectively. The fair value of restricted stock units granted during the six months ended June 30, 2022 and 2021 was $129,000 and $67,000,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under the 2020 Plan during the six months ended June 30, 2022 were as follows:</w:t>
      </w:r>
    </w:p>
    <w:p>
      <w:pPr>
        <w:spacing w:after="0" w:line="18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 Grant</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2021</w:t>
            </w: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2020 Plan reserve increase on January 1, 2022</w:t>
            </w:r>
          </w:p>
        </w:tc>
        <w:tc>
          <w:tcPr>
            <w:tcW w:w="1200" w:type="dxa"/>
            <w:vAlign w:val="bottom"/>
          </w:tcPr>
          <w:p>
            <w:pPr>
              <w:jc w:val="right"/>
              <w:spacing w:after="0"/>
              <w:rPr>
                <w:sz w:val="20"/>
                <w:szCs w:val="20"/>
                <w:color w:val="auto"/>
              </w:rPr>
            </w:pPr>
            <w:r>
              <w:rPr>
                <w:rFonts w:ascii="Arial" w:cs="Arial" w:eastAsia="Arial" w:hAnsi="Arial"/>
                <w:sz w:val="18"/>
                <w:szCs w:val="18"/>
                <w:color w:val="auto"/>
              </w:rPr>
              <w:t>1,868,953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Options and restricted stock units granted</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(1,998,047 )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line="189" w:lineRule="exact"/>
              <w:rPr>
                <w:sz w:val="20"/>
                <w:szCs w:val="20"/>
                <w:color w:val="auto"/>
              </w:rPr>
            </w:pPr>
            <w:r>
              <w:rPr>
                <w:rFonts w:ascii="Arial" w:cs="Arial" w:eastAsia="Arial" w:hAnsi="Arial"/>
                <w:sz w:val="18"/>
                <w:szCs w:val="18"/>
                <w:color w:val="auto"/>
              </w:rPr>
              <w:t>Options and restricted stock units forfeited,</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143,233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40" w:type="dxa"/>
            <w:vAlign w:val="bottom"/>
          </w:tcPr>
          <w:p>
            <w:pPr>
              <w:ind w:left="160"/>
              <w:spacing w:after="0" w:line="203" w:lineRule="exact"/>
              <w:rPr>
                <w:sz w:val="20"/>
                <w:szCs w:val="20"/>
                <w:color w:val="auto"/>
              </w:rPr>
            </w:pPr>
            <w:r>
              <w:rPr>
                <w:rFonts w:ascii="Arial" w:cs="Arial" w:eastAsia="Arial" w:hAnsi="Arial"/>
                <w:sz w:val="18"/>
                <w:szCs w:val="18"/>
                <w:color w:val="auto"/>
              </w:rPr>
              <w:t>cancelled, or expired</w:t>
            </w:r>
          </w:p>
        </w:tc>
        <w:tc>
          <w:tcPr>
            <w:tcW w:w="12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available for grant at June 30, 2022</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4,456,454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under the 2020 Plan for the six months ended June 30, 2022 was as follows: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40"/>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4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2,270,896</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1,985,797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(288,457 )</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Forfeited/expired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(129,233 )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3,839,003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4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line="196" w:lineRule="exact"/>
              <w:rPr>
                <w:sz w:val="20"/>
                <w:szCs w:val="20"/>
                <w:color w:val="auto"/>
              </w:rPr>
            </w:pPr>
            <w:r>
              <w:rPr>
                <w:rFonts w:ascii="Arial" w:cs="Arial" w:eastAsia="Arial" w:hAnsi="Arial"/>
                <w:sz w:val="18"/>
                <w:szCs w:val="18"/>
                <w:color w:val="auto"/>
              </w:rPr>
              <w:t>Expected to vest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2,957,147</w:t>
            </w:r>
          </w:p>
        </w:tc>
        <w:tc>
          <w:tcPr>
            <w:tcW w:w="260" w:type="dxa"/>
            <w:vAlign w:val="bottom"/>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12.54</w:t>
            </w: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9.20</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Options exercisable</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881,856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11.42</w:t>
            </w:r>
          </w:p>
        </w:tc>
        <w:tc>
          <w:tcPr>
            <w:tcW w:w="16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7.57</w:t>
            </w:r>
          </w:p>
        </w:tc>
        <w:tc>
          <w:tcPr>
            <w:tcW w:w="440" w:type="dxa"/>
            <w:vAlign w:val="bottom"/>
            <w:tcBorders>
              <w:bottom w:val="single" w:sz="8" w:color="CFF0FC"/>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-350520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-334010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total fair value of options granted that vested during the six months ended June 30, 2022 and 2021 was $4.3 million and $297,000, respectively.</w:t>
      </w:r>
    </w:p>
    <w:p>
      <w:pPr>
        <w:spacing w:after="0" w:line="23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June 30, 2022. The aggregate intrinsic value of options exercised was $3.0 million and $1.3 million during the six months ended June 30, 2022 and 2021, respectively, determined as of the date of option exercise. As of June 30, 2022, there was $22.1 million of total unrecognized compensation cost related to unvested stock options. The Company expects to recognize this cost over a remaining weighted-average period of 3.1 years. The Company utilizes newly issued shares to satisfy option exercises.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Stock options outstanding and exercisable under the 2020 Plan consisted of the following at June 30, 2022:</w:t>
      </w:r>
    </w:p>
    <w:p>
      <w:pPr>
        <w:spacing w:after="0" w:line="36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2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Outstanding</w:t>
            </w:r>
          </w:p>
        </w:tc>
        <w:tc>
          <w:tcPr>
            <w:tcW w:w="12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 to 1.35</w:t>
            </w:r>
          </w:p>
        </w:tc>
        <w:tc>
          <w:tcPr>
            <w:tcW w:w="3140" w:type="dxa"/>
            <w:vAlign w:val="bottom"/>
            <w:shd w:val="clear" w:color="auto" w:fill="CFF0FC"/>
          </w:tcPr>
          <w:p>
            <w:pPr>
              <w:spacing w:after="0"/>
              <w:rPr>
                <w:sz w:val="18"/>
                <w:szCs w:val="18"/>
                <w:color w:val="auto"/>
              </w:rPr>
            </w:pPr>
          </w:p>
        </w:tc>
        <w:tc>
          <w:tcPr>
            <w:tcW w:w="1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399,762</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8.93 to 19.94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3,061,320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20.55 to 29.41</w:t>
            </w:r>
          </w:p>
        </w:tc>
        <w:tc>
          <w:tcPr>
            <w:tcW w:w="1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377,921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3,839,003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Restricted Stock Unit Activity</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52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20" w:type="dxa"/>
            <w:vAlign w:val="bottom"/>
            <w:gridSpan w:val="8"/>
          </w:tcPr>
          <w:p>
            <w:pPr>
              <w:spacing w:after="0"/>
              <w:rPr>
                <w:sz w:val="20"/>
                <w:szCs w:val="20"/>
                <w:color w:val="auto"/>
              </w:rPr>
            </w:pPr>
            <w:r>
              <w:rPr>
                <w:rFonts w:ascii="Arial" w:cs="Arial" w:eastAsia="Arial" w:hAnsi="Arial"/>
                <w:sz w:val="18"/>
                <w:szCs w:val="18"/>
                <w:color w:val="auto"/>
              </w:rPr>
              <w:t>A summary of RSU activity for the six months ended June 30, 2022 is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16"/>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6"/>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Equivalent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980" w:type="dxa"/>
            <w:vAlign w:val="bottom"/>
            <w:shd w:val="clear" w:color="auto" w:fill="CFF0FC"/>
          </w:tcPr>
          <w:p>
            <w:pPr>
              <w:spacing w:after="0"/>
              <w:rPr>
                <w:sz w:val="18"/>
                <w:szCs w:val="18"/>
                <w:color w:val="auto"/>
              </w:rPr>
            </w:pPr>
          </w:p>
        </w:tc>
        <w:tc>
          <w:tcPr>
            <w:tcW w:w="11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361,500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12,250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Cancelled</w:t>
            </w:r>
          </w:p>
        </w:tc>
        <w:tc>
          <w:tcPr>
            <w:tcW w:w="220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(14,000 )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2200" w:type="dxa"/>
            <w:vAlign w:val="bottom"/>
            <w:gridSpan w:val="5"/>
          </w:tcPr>
          <w:p>
            <w:pPr>
              <w:jc w:val="right"/>
              <w:ind w:right="40"/>
              <w:spacing w:after="0"/>
              <w:rPr>
                <w:sz w:val="20"/>
                <w:szCs w:val="20"/>
                <w:color w:val="auto"/>
              </w:rPr>
            </w:pPr>
            <w:r>
              <w:rPr>
                <w:rFonts w:ascii="Arial" w:cs="Arial" w:eastAsia="Arial" w:hAnsi="Arial"/>
                <w:sz w:val="18"/>
                <w:szCs w:val="18"/>
                <w:color w:val="auto"/>
              </w:rPr>
              <w:t>(119,911 )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3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June 30, 2022</w:t>
            </w:r>
          </w:p>
        </w:tc>
        <w:tc>
          <w:tcPr>
            <w:tcW w:w="9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239,839</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-2022475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-2022475</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RSUs will vest upon achievement of certain clinical development milestones, subject to continued service to the Company during the vesting period. In June 2022, 119,911 RSUs vested in connection with the public readout of topline data from the Company's Phase 2 ACT-AD clinical trial. As of June 30, 2022, there was $2.4 million of total unrecognized compensation cost related to unvested stock options. The Company expects to recognize this cost over a remaining weighted-average period of 1.3 years.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11. Net Loss Per Share Attributable to Common Stockholders</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w:t>
            </w:r>
          </w:p>
        </w:tc>
        <w:tc>
          <w:tcPr>
            <w:tcW w:w="120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239,839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3,839,003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2,482,702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4,836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4,083,678</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2,489,446</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18"/>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color w:val="auto"/>
              </w:rPr>
              <w:t>21</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-633730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-616585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-633730</wp:posOffset>
            </wp:positionV>
            <wp:extent cx="43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-616585</wp:posOffset>
            </wp:positionV>
            <wp:extent cx="43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212121"/>
        </w:rPr>
        <w:t>12. Immaterial Error Correction (Unaudited)</w:t>
      </w:r>
    </w:p>
    <w:p>
      <w:pPr>
        <w:spacing w:after="0" w:line="27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connection with the preparation of the consolidated statements of operations and comprehensive loss for the year ended December 31, 2021, the Company identified immaterial errors in the calculation of the weighted-average number of common shares outstanding, basic and diluted, for certain of its year-to-date periods presented in its interim financial statements, resulting in an understatement in the weighted average common shares outstanding and an overstatement in the net loss per share, basic and diluted. This error was revised as shown in the table below. The error did not impact the weighted average common shares outstanding, basic and diluted, for any three-month period and had no impact on net loss, comprehensive loss, total assets, or stockholders' equity. The impact of the error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rPr>
              <w:t>Six Months Ended June 30, 2021</w:t>
            </w:r>
          </w:p>
        </w:tc>
        <w:tc>
          <w:tcPr>
            <w:tcW w:w="1120" w:type="dxa"/>
            <w:vAlign w:val="bottom"/>
          </w:tcPr>
          <w:p>
            <w:pPr>
              <w:spacing w:after="0"/>
              <w:rPr>
                <w:sz w:val="14"/>
                <w:szCs w:val="14"/>
                <w:color w:val="auto"/>
              </w:rPr>
            </w:pPr>
          </w:p>
        </w:tc>
      </w:tr>
      <w:tr>
        <w:trPr>
          <w:trHeight w:val="175"/>
        </w:trPr>
        <w:tc>
          <w:tcPr>
            <w:tcW w:w="1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1140" w:type="dxa"/>
            <w:vAlign w:val="bottom"/>
          </w:tcPr>
          <w:p>
            <w:pPr>
              <w:spacing w:after="0"/>
              <w:rPr>
                <w:sz w:val="15"/>
                <w:szCs w:val="15"/>
                <w:color w:val="auto"/>
              </w:rPr>
            </w:pPr>
          </w:p>
        </w:tc>
        <w:tc>
          <w:tcPr>
            <w:tcW w:w="37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Weighted average shares outstanding,</w:t>
            </w:r>
          </w:p>
        </w:tc>
        <w:tc>
          <w:tcPr>
            <w:tcW w:w="13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1140" w:type="dxa"/>
            <w:vAlign w:val="bottom"/>
          </w:tcPr>
          <w:p>
            <w:pPr>
              <w:spacing w:after="0"/>
              <w:rPr>
                <w:sz w:val="18"/>
                <w:szCs w:val="18"/>
                <w:color w:val="auto"/>
              </w:rPr>
            </w:pPr>
          </w:p>
        </w:tc>
        <w:tc>
          <w:tcPr>
            <w:tcW w:w="3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basic and diluted</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33,813,104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2,685,900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36,499,004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88"/>
        </w:trPr>
        <w:tc>
          <w:tcPr>
            <w:tcW w:w="1140" w:type="dxa"/>
            <w:vAlign w:val="bottom"/>
          </w:tcPr>
          <w:p>
            <w:pPr>
              <w:spacing w:after="0"/>
              <w:rPr>
                <w:sz w:val="16"/>
                <w:szCs w:val="16"/>
                <w:color w:val="auto"/>
              </w:rPr>
            </w:pPr>
          </w:p>
        </w:tc>
        <w:tc>
          <w:tcPr>
            <w:tcW w:w="3740" w:type="dxa"/>
            <w:vAlign w:val="bottom"/>
          </w:tcPr>
          <w:p>
            <w:pPr>
              <w:spacing w:after="0" w:line="189" w:lineRule="exact"/>
              <w:rPr>
                <w:sz w:val="20"/>
                <w:szCs w:val="20"/>
                <w:color w:val="auto"/>
              </w:rPr>
            </w:pPr>
            <w:r>
              <w:rPr>
                <w:rFonts w:ascii="Arial" w:cs="Arial" w:eastAsia="Arial" w:hAnsi="Arial"/>
                <w:sz w:val="18"/>
                <w:szCs w:val="18"/>
                <w:color w:val="auto"/>
              </w:rPr>
              <w:t>Net loss per share, basic</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114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(0.68 )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(0.63 )</w:t>
            </w:r>
          </w:p>
        </w:tc>
        <w:tc>
          <w:tcPr>
            <w:tcW w:w="1120" w:type="dxa"/>
            <w:vAlign w:val="bottom"/>
          </w:tcPr>
          <w:p>
            <w:pPr>
              <w:spacing w:after="0"/>
              <w:rPr>
                <w:sz w:val="18"/>
                <w:szCs w:val="18"/>
                <w:color w:val="auto"/>
              </w:rPr>
            </w:pPr>
          </w:p>
        </w:tc>
      </w:tr>
      <w:tr>
        <w:trPr>
          <w:trHeight w:val="891"/>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28,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4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some cases, you can identify forward-looking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108"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 w:name="page24"/>
    <w:bookmarkEnd w:id="23"/>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II, Item 1 — "Legal Proceedings,” and elsewhere in this report;</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actions by activist stockholders, which have in the past been, and may in the future be, disruptive and could cause uncertainty about the strategic direction of our business;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continuing impact of COVID-19 on our business;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24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43"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report, “we,” “our,” “us,” “Athira,” and “the Company” refer to Athira Pharma,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slow neurodegeneration. With our product candidates, we aim to provide rapid cognitive improvement and alter the course of neurological diseases, leveraging our novel mechanism of action. Our approach is designed to augment neuronal growth factor signaling through the hepatocyte growth factor/MET, or HGF/MET, a naturally occurring, repair and regenerative system. We believe enhancing HGF/MET signaling has the potential to protect existing neurons from damage,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43" w:lineRule="auto"/>
        <w:rPr>
          <w:sz w:val="20"/>
          <w:szCs w:val="20"/>
          <w:color w:val="auto"/>
        </w:rPr>
      </w:pPr>
      <w:r>
        <w:rPr>
          <w:rFonts w:ascii="Arial" w:cs="Arial" w:eastAsia="Arial" w:hAnsi="Arial"/>
          <w:sz w:val="18"/>
          <w:szCs w:val="18"/>
          <w:color w:val="auto"/>
        </w:rPr>
        <w:t>reduce inflammation, promote regeneration, and benefit brain physiology.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4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lead candidate, fosgonimeton (“ATH-1017”), is a subcutaneously administered, BBB-penetrating, small molecule HGF/MET positive modulator. Nonclinical studies and Phase 1 clinical trials with fosgonimeton demonstrated improvements in brain network activity indicating potentially positive effects on brain function. In these early Phase 1 trials, multiple dosing of AD subjects with fosgonimeton showed a positive correlation with Event Related Potential (“ERP”) P300 latency. ERP P300 latency is a functional measure that can be highly correlated with cognition; however, we have not yet established a connection between ERP P300 latency results and improved cognition in our studies. The effects of fosgonimeton in its primary target indication, Alzheimer’s disease (“AD”) are being evaluated in two clinical trials:</w:t>
      </w:r>
    </w:p>
    <w:p>
      <w:pPr>
        <w:spacing w:after="0" w:line="98" w:lineRule="exact"/>
        <w:rPr>
          <w:sz w:val="20"/>
          <w:szCs w:val="20"/>
          <w:color w:val="auto"/>
        </w:rPr>
      </w:pPr>
    </w:p>
    <w:p>
      <w:pPr>
        <w:jc w:val="both"/>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ACT-AD, a randomized, double-blind, placebo-controlled, parallel-group 26-week proof-of-concept Phase 2 clinical trial in mild-to-moderate AD, with ERP P300 latency as the primary endpoint. Initiated in November 2020, the trial was designed to better characterize the overall effects of fosgonimeton on working memory processing speed and cognitive measures. Topline results for this proof-of-concept Phase 2 ACT-AD trial were announced in June 2022, and the primary endpoint was not met by protocoled analysis. However, a pre-specified subgroup analysis indicated a potential diminished effect of fosgonimeton when given in combination with add-on standard-of-care acetylcholinesterase inhibitors (AChEIs, e.g., donepezil). A subsequent post hoc analysis of the data from patients on fosgonimeton monotherapy showed a meaningful, but not statistically significant, improvement in both ERP P300 latency (-28 milliseconds) and cognitive performance (ADAS-Cog11: -3.3 points) compared to placebo at 26 weeks. Although post-hoc analyses cannot be used to establish efficacy, these analyses can be helpful in informing the design of current and future clinical studies. In addition, while also not statistically significant, the data from the protocoled study population and analysis method showed a numerical improvement in the functional measure of ADCS-ADL23, a protocoled secondary endpoint which evaluates improvements in patients’ activities of daily living as assessed by their caregivers compared to placebo at 26 weeks (+2.12 points). A pre-specified subgroup analysis of plasma biomarker data showed a statistically significant reduction in neurofilament light chain (NfL), a validated biomarker of neurodegeneration, in subjects treated with fosgonimeton monotherapy compared to placebo at 26 weeks (difference of 6.89 pg/ml (p=0.018)), and showed a numerical, but not statistically significant, improvement in all fosgonimeton treated patients compared with placebo at 26 weeks (difference of 1.67 pg/ml), regardless of background therapy. Fosgonimeton was generally well tolerated in the ACT-AD study, with a favorable safety profile, and there were no treatment related serious adverse events or deaths observed.</w:t>
      </w:r>
    </w:p>
    <w:p>
      <w:pPr>
        <w:spacing w:after="0" w:line="108" w:lineRule="exact"/>
        <w:rPr>
          <w:rFonts w:ascii="Arial" w:cs="Arial" w:eastAsia="Arial" w:hAnsi="Arial"/>
          <w:sz w:val="18"/>
          <w:szCs w:val="18"/>
          <w:color w:val="auto"/>
        </w:rPr>
      </w:pPr>
    </w:p>
    <w:p>
      <w:pPr>
        <w:jc w:val="both"/>
        <w:ind w:left="1020" w:hanging="503"/>
        <w:spacing w:after="0" w:line="24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LIFT-AD, a randomized, double-blind, placebo-controlled, parallel-group 26-week Phase 3 clinical trial with fosgonimeton for the treatment of mild-to-moderate AD. In September 2020, we began site initiation and patient screening for LIFT-AD. The primary endpoint for the Phase 3 LIFT-AD trial will be measured by the Global Statistical Test, which is a mathematical algorithm that combines the scores from cognition (Alzheimer's Disease Assessment Scale-Cognitive Subscale or ADAS-Cog11), and either global impression of change (Alzheimer's Disease Cooperative Study-Clinical Global Impression of Change or ADCS-CGIC), or function (Alzheimer’s Disease Cooperative Study-Activities of Daily Living or ADCS-ADL23). We are continuing to evaluate how the topline results from the ACT-AD trial may potentially inform the optimization of the ongoing LIFT-AD trial.</w:t>
      </w:r>
    </w:p>
    <w:p>
      <w:pPr>
        <w:spacing w:after="0" w:line="24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July 2021, we announced that we are enrolling patients into a 26-week open-label extension study for our LIFT-AD and ACT-AD clinical trials, which will allow us to collect up to a total of one year of safety data with fosgonimeton. In May 2022, we announced that we are extending the 26-week open-label extension study for our LIFT-AD and ACT-AD clinical trials for an additional 12 months, enabling eligible patients who have completed either trial, and elect to participate in the ongoing open label extension, to now receive up to 18 months of open-label treatment with fosgonimeton.</w:t>
      </w:r>
    </w:p>
    <w:p>
      <w:pPr>
        <w:spacing w:after="0" w:line="24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following figure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217170</wp:posOffset>
            </wp:positionV>
            <wp:extent cx="6172200" cy="24174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22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4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4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June 30, 2022, we have raised aggregate net cash proceeds of approximately $407.4 million primarily from the issuance of our common stock, convertible preferred stock, common stock warrants, and convertible notes. We have incurred significant operating losses to date. Our net losses were $45.3 million and $22.8 million for the six months ended June 30, 2022 and 2021, respectively. As of June 30, 2022, we had an accumulated deficit of $141.2 million and cash, cash equivalents and investments of $282.2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advance fosgonimeton and our other product candidates through preclinical studies and clinical trials, and further extend the open label extension of the ACT-AD and LIFT-AD trials;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laboratory and office facilities;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legal expenses associated with ongoing litigation, as further described in “Part II, Item 1—Legal Proceedings,” and elsewhere in this report.</w:t>
      </w:r>
    </w:p>
    <w:p>
      <w:pPr>
        <w:spacing w:after="0" w:line="22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252"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The global COVID-19 pandemic continues to evolve, and we will continue to monitor the COVID-19 situation closely. While COVID-19 related restrictions have been eased in many locations around the globe, including in Bothell, Washington, where our principal offices are located, a resurgence in cases of COVID-19 or similar health epidemic could occur at any time, and the ultimate impact of the COVID-19 pandemic or a similar health epidemic is highly uncertain and subject to change.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We will continue to actively monitor the evolving situation and ongoing impacts on our clinical trial enrollment, trial sites, contract research organizations, or CROs, third-party manufacturers, and other third parties with whom we do business, as well as on regulatory authorities and our key scientific and management personnel. As the situation evolves, we may take further actions that alter our operations, including those that may be required by federal, state or local authorities, or that we determine are in the best interests of our employees and other third parties with whom we do business. At this point, the ultimate extent to which the COVID-19 pandemic, or any potential resurgence of a variant thereof, may affect our business, operations and clinical development timelines and plans, including the resulting impact on our expenditures and capital needs, remains uncertain.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party to certain collaboration and grant agreements, as described in the section titled “Part I, Item 1 – Business—Our Collaboration and Grant Agreements” in our Annual Report on Form 10-K filed with the SEC on March 28,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4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4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substantially as we conduct our clinical trials for fosgonimeton, including open-label extensions for those trials. Additionally, we may experience an overall increase in research and development expenses as a result of inflation.</w:t>
      </w:r>
    </w:p>
    <w:p>
      <w:pPr>
        <w:spacing w:after="0" w:line="24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108"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further extension of the open label extension of the ACT-AD and LIFT-AD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COVID-19 on timelines and clinical operations, which may lead to increased costs; and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3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class action litigation. We also expect to continue to increase the size of our administrative function to support the growth of our business. Additionally, we may experience an overall increase in general and administrative expenses as a result of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Grant income consists of income related to the NIH grant and is recognized as qualifying expenses under the grant agreement are incurred. Under the terms of the agreement, we may receive approximately $7.8 million, with the potential for an additional $7.4 million, up to an aggregate of $15.2 million. As of June 30, 2022, we recognized aggregate grant income of $10.8 million in connection with the NIH grant. During the three months ended June 30, 2022, we reversed $1.3 million of grant income previously recorded in the three months ended March 31, 2022 as we must obtain additional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8"/>
          <w:szCs w:val="18"/>
          <w:color w:val="auto"/>
        </w:rPr>
        <w:t>approvals from the NIH to carryover unused budgets to the second and final years of the grants. There can be no guarantees such approvals will be made and income will be recognized when and if approvals are granted.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Other income, net consists primarily of interest earned on our cash, cash equivalents and investments. Absent further fundraising, we expect interest earned on our cash, cash equivalents and investments to decrease over the long term as we continue to expend our cash balances to fund our ongoing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4"/>
                <w:szCs w:val="14"/>
                <w:b w:val="1"/>
                <w:bCs w:val="1"/>
                <w:color w:val="auto"/>
              </w:rPr>
              <w:t>Three Months Ended 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5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1"/>
              <w:spacing w:after="0" w:line="156" w:lineRule="exact"/>
              <w:rPr>
                <w:sz w:val="20"/>
                <w:szCs w:val="20"/>
                <w:color w:val="auto"/>
              </w:rPr>
            </w:pPr>
            <w:r>
              <w:rPr>
                <w:rFonts w:ascii="Arial" w:cs="Arial" w:eastAsia="Arial" w:hAnsi="Arial"/>
                <w:sz w:val="14"/>
                <w:szCs w:val="14"/>
                <w:b w:val="1"/>
                <w:bCs w:val="1"/>
                <w:color w:val="auto"/>
              </w:rPr>
              <w:t>Dollar</w:t>
            </w:r>
          </w:p>
        </w:tc>
        <w:tc>
          <w:tcPr>
            <w:tcW w:w="1080" w:type="dxa"/>
            <w:vAlign w:val="bottom"/>
          </w:tcPr>
          <w:p>
            <w:pPr>
              <w:jc w:val="right"/>
              <w:ind w:right="394"/>
              <w:spacing w:after="0" w:line="15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14,803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12,024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2,779</w:t>
            </w: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23 %</w:t>
            </w:r>
          </w:p>
        </w:tc>
      </w:tr>
      <w:tr>
        <w:trPr>
          <w:trHeight w:val="216"/>
        </w:trPr>
        <w:tc>
          <w:tcPr>
            <w:tcW w:w="5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1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Grant income</w:t>
            </w:r>
          </w:p>
        </w:tc>
        <w:tc>
          <w:tcPr>
            <w:tcW w:w="24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(1,259 )</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(3,848 )</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(149 )</w:t>
            </w:r>
          </w:p>
        </w:tc>
        <w:tc>
          <w:tcPr>
            <w:tcW w:w="8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(24,335 )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(13,974 )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(10,361 )</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-736600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-736600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right"/>
              <w:ind w:right="680"/>
              <w:spacing w:after="0" w:line="156" w:lineRule="exact"/>
              <w:rPr>
                <w:sz w:val="20"/>
                <w:szCs w:val="20"/>
                <w:color w:val="auto"/>
              </w:rPr>
            </w:pPr>
            <w:r>
              <w:rPr>
                <w:rFonts w:ascii="Arial" w:cs="Arial" w:eastAsia="Arial" w:hAnsi="Arial"/>
                <w:sz w:val="14"/>
                <w:szCs w:val="14"/>
                <w:b w:val="1"/>
                <w:bCs w:val="1"/>
                <w:color w:val="auto"/>
              </w:rPr>
              <w:t>Dollar</w:t>
            </w:r>
          </w:p>
        </w:tc>
        <w:tc>
          <w:tcPr>
            <w:tcW w:w="1180" w:type="dxa"/>
            <w:vAlign w:val="bottom"/>
          </w:tcPr>
          <w:p>
            <w:pPr>
              <w:jc w:val="right"/>
              <w:ind w:right="434"/>
              <w:spacing w:after="0" w:line="15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Fosgonimeton (ATH-1017)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9,406</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10,150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(744 )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(7 )%</w:t>
            </w:r>
          </w:p>
        </w:tc>
      </w:tr>
      <w:tr>
        <w:trPr>
          <w:trHeight w:val="216"/>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ATH-1020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direct costs</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Indirect costs: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45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Personnel-related costs, including stock-</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45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based compensation</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Facilities and other costs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0"/>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-710565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-710565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-710565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Not meaningful</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Research and development expenses increased by $2.8 million, from $12.0 million for the three months ended June 30, 2021 to $14.8 million for the three months ended June 30, 2022. The increase was driven primarily by an increase in personnel-related costs of $ 2.0 million due to an increase in headcount and stock-based compensation expense in connection with current period equity grants to new hires and existing employees, an increase in preclinical research and development expenses of $0.7 million, and $0.6 million of expense associated with our ATH-1020 Phase 1 clinical trial, which commenced in the first quarter of 2022. These increases were partially offset by a decrease in expenses for fosgonimeton of $0.7 million following the completion of our ACT-AD Phase 2 clinical trial.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General and administrative expenses increased by $4.2 million, from $4.6 million for the three months ended June 30, 2021 to $8.8</w:t>
      </w:r>
    </w:p>
    <w:p>
      <w:pPr>
        <w:jc w:val="both"/>
        <w:spacing w:after="0" w:line="226" w:lineRule="auto"/>
        <w:rPr>
          <w:sz w:val="20"/>
          <w:szCs w:val="20"/>
          <w:color w:val="auto"/>
        </w:rPr>
      </w:pPr>
      <w:r>
        <w:rPr>
          <w:rFonts w:ascii="Arial" w:cs="Arial" w:eastAsia="Arial" w:hAnsi="Arial"/>
          <w:sz w:val="18"/>
          <w:szCs w:val="18"/>
          <w:color w:val="auto"/>
        </w:rPr>
        <w:t>million for the three months ended June 30, 2022. The increase was primarily due to an increase in personnel-related costs of $1.9 million, due primarily to increases in headcount to support our continued growth and in stock-based compensation expense in connection with</w:t>
      </w:r>
    </w:p>
    <w:p>
      <w:pPr>
        <w:spacing w:after="0" w:line="236" w:lineRule="auto"/>
        <w:rPr>
          <w:sz w:val="20"/>
          <w:szCs w:val="20"/>
          <w:color w:val="auto"/>
        </w:rPr>
      </w:pPr>
      <w:r>
        <w:rPr>
          <w:rFonts w:ascii="Arial" w:cs="Arial" w:eastAsia="Arial" w:hAnsi="Arial"/>
          <w:sz w:val="18"/>
          <w:szCs w:val="18"/>
          <w:color w:val="auto"/>
        </w:rPr>
        <w:t>current period equity grants to new hires and existing employees, an increase in legal costs of $1.1 million, which includes costs related to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ongoing legal proceedings and the proxy contest in connection with our 2022 annual stockholders meeting, an increase in business development expenses of $0.5 million, and to lesser extents, increases in insurance and facilities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Grant income was $2.6 million for the three months ended June 30, 2021. During the three months ended June 30, 2022, we reversed</w:t>
      </w:r>
    </w:p>
    <w:p>
      <w:pPr>
        <w:jc w:val="both"/>
        <w:spacing w:after="0" w:line="226" w:lineRule="auto"/>
        <w:rPr>
          <w:sz w:val="20"/>
          <w:szCs w:val="20"/>
          <w:color w:val="auto"/>
        </w:rPr>
      </w:pPr>
      <w:r>
        <w:rPr>
          <w:rFonts w:ascii="Arial" w:cs="Arial" w:eastAsia="Arial" w:hAnsi="Arial"/>
          <w:sz w:val="18"/>
          <w:szCs w:val="18"/>
          <w:color w:val="auto"/>
        </w:rPr>
        <w:t>$1.3 million of grant income previously recorded in the three months ended March 31, 2022 as we must obtain additional approvals from the NIH to carryover unused budgets to the second and final years of the grants. There can be no guarantees such approvals will be made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will be recognized when and if approvals are granted.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Other income, net, increased by $0.4 million, from $0.1 million for the three months ended June 30, 2021 to $0.5 million for the three months ended June 30, 2022 due to higher interest income earned on our available-for-sale securities resulting from rising interest rates on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501"/>
              <w:spacing w:after="0" w:line="156" w:lineRule="exact"/>
              <w:rPr>
                <w:sz w:val="20"/>
                <w:szCs w:val="20"/>
                <w:color w:val="auto"/>
              </w:rPr>
            </w:pPr>
            <w:r>
              <w:rPr>
                <w:rFonts w:ascii="Arial" w:cs="Arial" w:eastAsia="Arial" w:hAnsi="Arial"/>
                <w:sz w:val="14"/>
                <w:szCs w:val="14"/>
                <w:b w:val="1"/>
                <w:bCs w:val="1"/>
                <w:color w:val="auto"/>
              </w:rPr>
              <w:t>Dollar</w:t>
            </w:r>
          </w:p>
        </w:tc>
        <w:tc>
          <w:tcPr>
            <w:tcW w:w="1080" w:type="dxa"/>
            <w:vAlign w:val="bottom"/>
          </w:tcPr>
          <w:p>
            <w:pPr>
              <w:jc w:val="right"/>
              <w:ind w:right="394"/>
              <w:spacing w:after="0" w:line="15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0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29,263</w:t>
            </w:r>
          </w:p>
        </w:tc>
        <w:tc>
          <w:tcPr>
            <w:tcW w:w="2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19,469</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9,794</w:t>
            </w: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50 %</w:t>
            </w:r>
          </w:p>
        </w:tc>
      </w:tr>
      <w:tr>
        <w:trPr>
          <w:trHeight w:val="216"/>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9,744</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08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Grant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(3,445 )</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(78 )</w:t>
            </w:r>
          </w:p>
        </w:tc>
        <w:tc>
          <w:tcPr>
            <w:tcW w:w="8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(45,315 )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(22,840 )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(22,475 )</w:t>
            </w: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-736600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-736600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54"/>
              <w:spacing w:after="0" w:line="156" w:lineRule="exact"/>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right"/>
              <w:ind w:right="408"/>
              <w:spacing w:after="0" w:line="15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Fosgonimeton (ATH-1017)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19,592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16,338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3,254</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ATH-1020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direct costs</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Indirect costs: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8"/>
        </w:trPr>
        <w:tc>
          <w:tcPr>
            <w:tcW w:w="4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Personnel-related costs, including stock-</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45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based compensation</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ind w:left="260"/>
              <w:spacing w:after="0"/>
              <w:rPr>
                <w:sz w:val="20"/>
                <w:szCs w:val="20"/>
                <w:color w:val="auto"/>
              </w:rPr>
            </w:pPr>
            <w:r>
              <w:rPr>
                <w:rFonts w:ascii="Arial" w:cs="Arial" w:eastAsia="Arial" w:hAnsi="Arial"/>
                <w:sz w:val="18"/>
                <w:szCs w:val="18"/>
                <w:color w:val="auto"/>
              </w:rPr>
              <w:t>Facilities and other costs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29,263</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-710565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-710565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-710565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Not meaningful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509"/>
        <w:spacing w:after="0" w:line="241" w:lineRule="auto"/>
        <w:rPr>
          <w:sz w:val="20"/>
          <w:szCs w:val="20"/>
          <w:color w:val="auto"/>
        </w:rPr>
      </w:pPr>
      <w:r>
        <w:rPr>
          <w:rFonts w:ascii="Arial" w:cs="Arial" w:eastAsia="Arial" w:hAnsi="Arial"/>
          <w:sz w:val="18"/>
          <w:szCs w:val="18"/>
          <w:color w:val="auto"/>
        </w:rPr>
        <w:t>Research and development expenses increased by $9.8 million, from $19.5 million for the six months ended June 30, 2021 to $29.3 million for the six months ended June 30, 2022. The increase was driven primarily by an increase in expenses for fosgonimeton of $3.3 million related to continued patient enrollment and clinical site visit activity for our Phase 2 and Phase 3 clinical trials and the corresponding open-label extension for our Phase 2 and Phase 3 clinical trials, an increase in personnel-related costs of $3.8 million due to an increase in headcount and stock-based compensation expense in connection with current period equity grants to new hires and existing employees, an increase in preclinical research and development expenses of $1.2 million, and $1.0 million of expense associated with our ATH-1020 Phase 1 clinical trial, which commenced in the first quarter of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61"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General and administrative expenses increased by $9.8 million, from $7.9 million for the six months ended June 30, 2021 to $17.7 million for the six months ended June 30, 2022. The increase was primarily due to an increase in personnel-related costs of $4.2 million, due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primarily to increases in headcount to support our continued growth and in stock-based compensation expense in connection with current period equity grants to new hires and existing employees, an increase in legal costs of $2.9 million, which includes costs related to our</w:t>
      </w:r>
    </w:p>
    <w:p>
      <w:pPr>
        <w:spacing w:after="0" w:line="236" w:lineRule="auto"/>
        <w:rPr>
          <w:sz w:val="20"/>
          <w:szCs w:val="20"/>
          <w:color w:val="auto"/>
        </w:rPr>
      </w:pPr>
      <w:r>
        <w:rPr>
          <w:rFonts w:ascii="Arial" w:cs="Arial" w:eastAsia="Arial" w:hAnsi="Arial"/>
          <w:sz w:val="18"/>
          <w:szCs w:val="18"/>
          <w:color w:val="auto"/>
        </w:rPr>
        <w:t>ongoing legal proceedings and the proxy contest in connection with our 2022 annual stockholders meeting, an increase in business</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development expenses of $0.9 million, an increase in professional services expenses of $0.8 million, and to lesser extents, increases in insurance and facilities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Grant income decreased by $3.4 million, from $4.4 million for the six months ended June 30, 2021 to $1.0 million for the six months</w:t>
      </w:r>
    </w:p>
    <w:p>
      <w:pPr>
        <w:jc w:val="both"/>
        <w:spacing w:after="0" w:line="226" w:lineRule="auto"/>
        <w:rPr>
          <w:sz w:val="20"/>
          <w:szCs w:val="20"/>
          <w:color w:val="auto"/>
        </w:rPr>
      </w:pPr>
      <w:r>
        <w:rPr>
          <w:rFonts w:ascii="Arial" w:cs="Arial" w:eastAsia="Arial" w:hAnsi="Arial"/>
          <w:sz w:val="18"/>
          <w:szCs w:val="18"/>
          <w:color w:val="auto"/>
        </w:rPr>
        <w:t>ended June 30, 2022. The decrease was driven by a reversal of $1.3 million of grant income previously recorded in the three months ended March 31, 2022 as we must obtain additional approvals from the NIH to carryover unused budgets to the second and final years of the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grants, and no additional grant income recognized during the three months ended June 30, 2022. There can be no guarantees such approvals will be made and income will be recognized when and if approvals are granted.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4"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Other income, net, increased by $0.5 million, from $0.2 million for the six months ended June 30, 2021 to $0.7 million for the six months ended June 30, 2022 due to higher interest income earned on our available-for-sale securities resulting from rising interest rates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61"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inception through June 30, 2022, we have raised aggregate net cash proceeds of $407.4 million primarily from the issuance of our common stock, convertible preferred stock, common stock warrants, and convertible notes.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5"/>
                <w:szCs w:val="15"/>
                <w:color w:val="auto"/>
              </w:rPr>
            </w:pPr>
          </w:p>
        </w:tc>
      </w:tr>
      <w:tr>
        <w:trPr>
          <w:trHeight w:val="175"/>
        </w:trPr>
        <w:tc>
          <w:tcPr>
            <w:tcW w:w="49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rPr>
              <w:t>Proceeds</w:t>
            </w:r>
          </w:p>
        </w:tc>
        <w:tc>
          <w:tcPr>
            <w:tcW w:w="80" w:type="dxa"/>
            <w:vAlign w:val="bottom"/>
          </w:tcPr>
          <w:p>
            <w:pPr>
              <w:spacing w:after="0"/>
              <w:rPr>
                <w:sz w:val="15"/>
                <w:szCs w:val="15"/>
                <w:color w:val="auto"/>
              </w:rPr>
            </w:pPr>
          </w:p>
        </w:tc>
      </w:tr>
      <w:tr>
        <w:trPr>
          <w:trHeight w:val="189"/>
        </w:trPr>
        <w:tc>
          <w:tcPr>
            <w:tcW w:w="49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180" w:type="dxa"/>
            <w:vAlign w:val="bottom"/>
          </w:tcPr>
          <w:p>
            <w:pPr>
              <w:jc w:val="right"/>
              <w:spacing w:after="0"/>
              <w:rPr>
                <w:sz w:val="20"/>
                <w:szCs w:val="20"/>
                <w:color w:val="auto"/>
              </w:rPr>
            </w:pPr>
            <w:r>
              <w:rPr>
                <w:rFonts w:ascii="Arial" w:cs="Arial" w:eastAsia="Arial" w:hAnsi="Arial"/>
                <w:sz w:val="18"/>
                <w:szCs w:val="18"/>
                <w:color w:val="auto"/>
              </w:rPr>
              <w:t>1,397,712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February 2021 overallotment exercise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r>
      <w:tr>
        <w:trPr>
          <w:trHeight w:val="249"/>
        </w:trPr>
        <w:tc>
          <w:tcPr>
            <w:tcW w:w="4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June 30, 2022, we had $282.2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18"/>
          <w:szCs w:val="18"/>
          <w:color w:val="auto"/>
        </w:rPr>
        <w:t>manufacturing activities, establishing and maintaining our intellectual property portfolio, hiring personnel, raising capital, and providing general and administrative support for these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and Future Funding Requirements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material cash requirements include our operating leases for laboratory and office facilities. As of June 30, 2022, we had lease payment obligations of $2.5 million, with $0.5 million payable within 12 months. For additional information regarding our lease commitments, see Note 8 to our unaudited condensed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7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class action litigation. We cannot predict with certainty the amount and timing of these increased expenses.</w:t>
      </w:r>
    </w:p>
    <w:p>
      <w:pPr>
        <w:spacing w:after="0" w:line="24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upon our current operating plan, we estimate that our $282.2 million of cash, cash equivalents and investments at June 30, 2022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3"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3" w:name="page34"/>
    <w:bookmarkEnd w:id="33"/>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related to ongoing legal proceedings;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expanding our laboratory and office facilities; and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 or engage in other strategic transactions.</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(35,162 )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(14,622 )</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(11,253 )</w:t>
            </w:r>
          </w:p>
        </w:tc>
        <w:tc>
          <w:tcPr>
            <w:tcW w:w="0" w:type="dxa"/>
            <w:vAlign w:val="bottom"/>
          </w:tcPr>
          <w:p>
            <w:pPr>
              <w:spacing w:after="0"/>
              <w:rPr>
                <w:sz w:val="1"/>
                <w:szCs w:val="1"/>
                <w:color w:val="auto"/>
              </w:rPr>
            </w:pPr>
          </w:p>
        </w:tc>
      </w:tr>
      <w:tr>
        <w:trPr>
          <w:trHeight w:val="216"/>
        </w:trPr>
        <w:tc>
          <w:tcPr>
            <w:tcW w:w="534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(decrease) increase in cash, cash equivalents and restricted</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(15,270 )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71,076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cash</w:t>
            </w:r>
          </w:p>
        </w:tc>
        <w:tc>
          <w:tcPr>
            <w:tcW w:w="200" w:type="dxa"/>
            <w:vAlign w:val="bottom"/>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During the six months ended June 30, 2022, net cash used in operating activities was $35.2 million. This consisted primarily of a net loss of $45.3 million, partially offset by non-cash charges of $6.4 million and a decrease in our net operating assets of $3.7 million. The non-cash charges primarily consisted of stock-based compensation expense, depreciation expense, and amortization of premiums and accretion of discounts on available-for-sale securities. The decrease in our net operating assets was primarily due to a decrease in prepaid expenses and other current assets, a decrease in unbilled grant receivable, and an increase in accounts payable and accrued expenses.</w:t>
      </w:r>
    </w:p>
    <w:p>
      <w:pPr>
        <w:spacing w:after="0" w:line="24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six months ended June 30, 2021, net cash used in operating activities was $14.6 million. This consisted primarily of a net loss of $22.8 million, partially offset by non-cash charges of $2.5 million and a decrease in our net operating assets of $5.7 million. The non-cash charges primarily consisted of stock-based compensation expense, depreciation expense, and amortization of premiums and accretion of discounts on available-for-sale securities. The decrease in our net operating assets was primarily due to a decrease in prepaid expenses and other current assets, and an increase in accounts payable and accrued expenses, partially offset by an increase in unbilled grant receivable.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During the six months ended June 30, 2022, net cash provided by investing was $19.4 million. This consisted of maturities of available-for-sale securities, partially offset by purchases of available-for-sale securities and property and equipment.</w:t>
      </w:r>
    </w:p>
    <w:p>
      <w:pPr>
        <w:spacing w:after="0" w:line="23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six months ended June 30, 2021, net cash used in investing was $11.3 million. This consisted of purchases of available-for-sale securities and property and equipment, partially offset by maturities and proceeds from sales of available-for-sale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6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six months ended June 30, 2022, net cash provided by financing activities was $0.5 million, consisting of proceeds received from exercises of stock options.</w:t>
      </w:r>
    </w:p>
    <w:p>
      <w:pPr>
        <w:spacing w:after="0" w:line="22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During the six months ended June 30, 2021, net cash provided by financing activities was $97.0 million, primarily driven by proceeds received from our follow-on public offering, and to a lesser extent from exercises of stock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46"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p>
    <w:p>
      <w:pPr>
        <w:spacing w:after="0" w:line="24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During the six months ended June 30, 2022,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28, 2022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spacing w:after="0" w:line="91"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income.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See Note 2 to our unaudited interim condensed consolidated financial statements included elsewhere in this Quarterly Report on Form 10-Q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spacing w:after="0" w:line="248" w:lineRule="auto"/>
        <w:rPr>
          <w:sz w:val="20"/>
          <w:szCs w:val="20"/>
          <w:color w:val="auto"/>
        </w:rPr>
      </w:pPr>
      <w:r>
        <w:rPr>
          <w:rFonts w:ascii="Arial" w:cs="Arial" w:eastAsia="Arial" w:hAnsi="Arial"/>
          <w:sz w:val="18"/>
          <w:szCs w:val="18"/>
          <w:color w:val="auto"/>
        </w:rPr>
        <w:t>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24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2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18"/>
          <w:szCs w:val="18"/>
          <w:i w:val="1"/>
          <w:iCs w:val="1"/>
          <w:color w:val="auto"/>
        </w:rPr>
        <w:t>Wang v. Athira Pharma,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2:21-cv-00861. Plaintiffs Wang and Gao assert claims under Sections 10(b) and 20(a) of the Securities Exchange Act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and SEC Rule 10b-5, 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Washington State University, or WSU,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the Company’s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 xml:space="preserve">Jawandha </w:t>
      </w:r>
      <w:r>
        <w:rPr>
          <w:rFonts w:ascii="Arial" w:cs="Arial" w:eastAsia="Arial" w:hAnsi="Arial"/>
          <w:sz w:val="18"/>
          <w:szCs w:val="18"/>
          <w:color w:val="auto"/>
        </w:rPr>
        <w:t>complaint asserts violations of Sections 11 and 15 of the Securities Act ("Securities Act"), alleging that that our IPO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plaintiff seeks unspecified compensatory damages, and reasonable costs and expenses, including attorneys’ fees.</w:t>
      </w:r>
    </w:p>
    <w:p>
      <w:pPr>
        <w:spacing w:after="0" w:line="207"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our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0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chief financial officer, certain members of our board of directors at the time of our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Lead plaintiffs may file a second consolidated amended complaint by August 19, 2022. If lead plaintiffs do not file a second consolidated amended complaint, the parties are required to file a joint status report by September 15,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Shareholder Derivative Actions</w:t>
      </w:r>
    </w:p>
    <w:p>
      <w:pPr>
        <w:spacing w:after="0" w:line="27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our board of directors, titled </w:t>
      </w:r>
      <w:r>
        <w:rPr>
          <w:rFonts w:ascii="Arial" w:cs="Arial" w:eastAsia="Arial" w:hAnsi="Arial"/>
          <w:sz w:val="18"/>
          <w:szCs w:val="18"/>
          <w:i w:val="1"/>
          <w:iCs w:val="1"/>
          <w:color w:val="auto"/>
        </w:rPr>
        <w:t>Bushansky v. Kawas et al.</w:t>
      </w:r>
      <w:r>
        <w:rPr>
          <w:rFonts w:ascii="Arial" w:cs="Arial" w:eastAsia="Arial" w:hAnsi="Arial"/>
          <w:sz w:val="18"/>
          <w:szCs w:val="18"/>
          <w:color w:val="auto"/>
        </w:rPr>
        <w:t>, No. 2:22-cv-</w:t>
      </w:r>
    </w:p>
    <w:p>
      <w:pPr>
        <w:spacing w:after="0" w:line="1" w:lineRule="exact"/>
        <w:rPr>
          <w:sz w:val="20"/>
          <w:szCs w:val="20"/>
          <w:color w:val="auto"/>
        </w:rPr>
      </w:pPr>
    </w:p>
    <w:p>
      <w:pPr>
        <w:jc w:val="both"/>
        <w:ind w:firstLine="8"/>
        <w:spacing w:after="0" w:line="239" w:lineRule="auto"/>
        <w:tabs>
          <w:tab w:leader="none" w:pos="4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24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of our current and former directors and officers, titled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w:t>
      </w:r>
    </w:p>
    <w:p>
      <w:pPr>
        <w:spacing w:after="0" w:line="1" w:lineRule="exact"/>
        <w:rPr>
          <w:sz w:val="20"/>
          <w:szCs w:val="20"/>
          <w:color w:val="auto"/>
        </w:rPr>
      </w:pPr>
    </w:p>
    <w:p>
      <w:pPr>
        <w:jc w:val="both"/>
        <w:ind w:firstLine="8"/>
        <w:spacing w:after="0" w:line="243" w:lineRule="auto"/>
        <w:tabs>
          <w:tab w:leader="none" w:pos="4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w:t>
      </w:r>
    </w:p>
    <w:p>
      <w:pPr>
        <w:spacing w:after="0" w:line="25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cannot predict the outcome of these suits. Failure by us to obtain a favorable resolution of these suits could have a material adverse effect on our business,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report</w:t>
      </w:r>
      <w:r>
        <w:rPr>
          <w:rFonts w:ascii="Arial" w:cs="Arial" w:eastAsia="Arial" w:hAnsi="Arial"/>
          <w:sz w:val="18"/>
          <w:szCs w:val="18"/>
          <w:color w:val="231F20"/>
        </w:rPr>
        <w:t xml:space="preserve">, </w:t>
      </w:r>
      <w:r>
        <w:rPr>
          <w:rFonts w:ascii="Arial" w:cs="Arial" w:eastAsia="Arial" w:hAnsi="Arial"/>
          <w:sz w:val="18"/>
          <w:szCs w:val="18"/>
          <w:i w:val="1"/>
          <w:iCs w:val="1"/>
          <w:color w:val="231F20"/>
        </w:rPr>
        <w:t>including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“Management’s Discussion and Analysis of Financial Condition and Results of Operations” 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cs="Arial" w:eastAsia="Arial" w:hAnsi="Arial"/>
          <w:sz w:val="18"/>
          <w:szCs w:val="18"/>
          <w:i w:val="1"/>
          <w:iCs w:val="1"/>
          <w:color w:val="000000"/>
        </w:rPr>
        <w:t>Our Risk Factors are not guarantees</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that no such conditions exist as of the date of this report and should not be interpreted as an affirmative statement that such risks or conditions have not materialized, in whole or in part.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4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fosgonimeton or any of our other product candidates. We cannot be certain that our current or planned clinical trials or any other future clinical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spacing w:after="0" w:line="241" w:lineRule="auto"/>
        <w:rPr>
          <w:sz w:val="20"/>
          <w:szCs w:val="20"/>
          <w:color w:val="auto"/>
        </w:rPr>
      </w:pPr>
      <w:r>
        <w:rPr>
          <w:rFonts w:ascii="Arial" w:cs="Arial" w:eastAsia="Arial" w:hAnsi="Arial"/>
          <w:sz w:val="18"/>
          <w:szCs w:val="18"/>
          <w:color w:val="auto"/>
        </w:rPr>
        <w:t>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spacing w:after="0" w:line="108" w:lineRule="exact"/>
        <w:rPr>
          <w:sz w:val="20"/>
          <w:szCs w:val="20"/>
          <w:color w:val="auto"/>
        </w:rPr>
      </w:pPr>
    </w:p>
    <w:p>
      <w:pPr>
        <w:jc w:val="both"/>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COVID-19 or other causes;</w:t>
      </w:r>
    </w:p>
    <w:p>
      <w:pPr>
        <w:spacing w:after="0" w:line="10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102" w:lineRule="exact"/>
        <w:rPr>
          <w:rFonts w:ascii="Arial" w:cs="Arial" w:eastAsia="Arial" w:hAnsi="Arial"/>
          <w:sz w:val="18"/>
          <w:szCs w:val="18"/>
          <w:color w:val="auto"/>
        </w:rPr>
      </w:pPr>
    </w:p>
    <w:p>
      <w:pPr>
        <w:jc w:val="both"/>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0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18"/>
          <w:szCs w:val="18"/>
          <w:color w:val="auto"/>
        </w:rPr>
        <w:t>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3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fosgonimeton may never lead to a marketable product.</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endpoint of the ACT-AD trial was not met by protocoled analysis. We are continuing to evaluate how the topline results from the ACT-AD trial may potentially inform the optimization of the ongoing LIFT-AD trial but we may not succeed in demonstrating safety and efficacy of fosgonimeton in our LIFT-AD trial or in other clinical trials.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fosgonimeton as a small molecule aimed at restoring neuronal health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5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06"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and Phase 2 clinical trials to date, and we</w:t>
      </w:r>
    </w:p>
    <w:p>
      <w:pPr>
        <w:spacing w:after="0"/>
        <w:rPr>
          <w:sz w:val="20"/>
          <w:szCs w:val="20"/>
          <w:color w:val="auto"/>
        </w:rPr>
      </w:pPr>
      <w:r>
        <w:rPr>
          <w:rFonts w:ascii="Arial" w:cs="Arial" w:eastAsia="Arial" w:hAnsi="Arial"/>
          <w:sz w:val="18"/>
          <w:szCs w:val="18"/>
          <w:b w:val="1"/>
          <w:bCs w:val="1"/>
          <w:i w:val="1"/>
          <w:iCs w:val="1"/>
          <w:color w:val="auto"/>
        </w:rPr>
        <w:t>cannot be certain that future trials will yield data in support of the safety, efficacy and tolerability of our product candidates.</w:t>
      </w:r>
    </w:p>
    <w:p>
      <w:pPr>
        <w:spacing w:after="0" w:line="239" w:lineRule="exact"/>
        <w:rPr>
          <w:sz w:val="20"/>
          <w:szCs w:val="20"/>
          <w:color w:val="auto"/>
        </w:rPr>
      </w:pPr>
    </w:p>
    <w:p>
      <w:pPr>
        <w:jc w:val="both"/>
        <w:ind w:firstLine="509"/>
        <w:spacing w:after="0" w:line="211"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fosgonimeton, which is under development to treat Alzheimer’s disease, or AD, and Parkinson’s disease dementia, or</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PDD.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jc w:val="both"/>
        <w:spacing w:after="0" w:line="235" w:lineRule="auto"/>
        <w:rPr>
          <w:sz w:val="20"/>
          <w:szCs w:val="20"/>
          <w:color w:val="auto"/>
        </w:rPr>
      </w:pPr>
      <w:r>
        <w:rPr>
          <w:rFonts w:ascii="Arial" w:cs="Arial" w:eastAsia="Arial" w:hAnsi="Arial"/>
          <w:sz w:val="18"/>
          <w:szCs w:val="18"/>
          <w:color w:val="auto"/>
        </w:rPr>
        <w:t>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16"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color w:val="auto"/>
        </w:rPr>
        <w:t>Based on the results of our nonclinical and clinical studies to date, we believe fosgonimeton has the potential to rapidly improve cognition and durably restore the lives of patients suffering from AD. However, these ideas and this approach are novel, and we currently have limited data based on our Phase 1a/b and Phase 2 clinical trials to date. We announced topline results from our Phase 2 ACT-AD</w:t>
      </w:r>
    </w:p>
    <w:p>
      <w:pPr>
        <w:jc w:val="both"/>
        <w:spacing w:after="0" w:line="211" w:lineRule="auto"/>
        <w:rPr>
          <w:sz w:val="20"/>
          <w:szCs w:val="20"/>
          <w:color w:val="auto"/>
        </w:rPr>
      </w:pPr>
      <w:r>
        <w:rPr>
          <w:rFonts w:ascii="Arial" w:cs="Arial" w:eastAsia="Arial" w:hAnsi="Arial"/>
          <w:sz w:val="18"/>
          <w:szCs w:val="18"/>
          <w:color w:val="auto"/>
        </w:rPr>
        <w:t>clinical trial in June 2022. The primary endpoint was not met by protocoled analysis; however, a pre-specified subgroup analysis indicated a potential diminished effect of fosgonimeton when given in combination with add-on standard-of-care acetylcholinesterase inhibitors (AChEIs,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e.g., donepezil). A subsequent post hoc analysis of the data from patients on fosgonimeton monotherapy showed a meaningful, but not statistically significant, improvement in both ERP P300 latency and cognitive performance compared to placebo at 26 weeks. Although post-</w:t>
      </w:r>
    </w:p>
    <w:p>
      <w:pPr>
        <w:jc w:val="both"/>
        <w:spacing w:after="0" w:line="211" w:lineRule="auto"/>
        <w:rPr>
          <w:sz w:val="20"/>
          <w:szCs w:val="20"/>
          <w:color w:val="auto"/>
        </w:rPr>
      </w:pPr>
      <w:r>
        <w:rPr>
          <w:rFonts w:ascii="Arial" w:cs="Arial" w:eastAsia="Arial" w:hAnsi="Arial"/>
          <w:sz w:val="18"/>
          <w:szCs w:val="18"/>
          <w:color w:val="auto"/>
        </w:rPr>
        <w:t>hoc analyses cannot be used to establish efficacy, these analyses can be helpful in informing the design of current and future clinical studies. Data from our Phase 1a/1b and Phase 2 clinical trials to date were obtained from a relatively small number of subjects and we cannot be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certain that future trials involving a larger number of subjects and clinical sites will yield data in support 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w:t>
      </w:r>
    </w:p>
    <w:p>
      <w:pPr>
        <w:jc w:val="both"/>
        <w:spacing w:after="0" w:line="227" w:lineRule="auto"/>
        <w:rPr>
          <w:sz w:val="20"/>
          <w:szCs w:val="20"/>
          <w:color w:val="auto"/>
        </w:rPr>
      </w:pPr>
      <w:r>
        <w:rPr>
          <w:rFonts w:ascii="Arial" w:cs="Arial" w:eastAsia="Arial" w:hAnsi="Arial"/>
          <w:sz w:val="18"/>
          <w:szCs w:val="18"/>
          <w:color w:val="auto"/>
        </w:rPr>
        <w:t>other small molecules in our product platform. We may spend substantial funds attempting to develop these product candidates and never succeed in doing so.</w:t>
      </w:r>
    </w:p>
    <w:p>
      <w:pPr>
        <w:spacing w:after="0" w:line="207"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central nervous system and peripheral degenerative disorders, a field that has seen very limited success in product development.</w:t>
      </w:r>
    </w:p>
    <w:p>
      <w:pPr>
        <w:spacing w:after="0" w:line="21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2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24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 As discussed under “</w:t>
      </w:r>
      <w:r>
        <w:rPr>
          <w:rFonts w:ascii="Arial" w:cs="Arial" w:eastAsia="Arial" w:hAnsi="Arial"/>
          <w:sz w:val="18"/>
          <w:szCs w:val="18"/>
          <w:i w:val="1"/>
          <w:iCs w:val="1"/>
          <w:color w:val="auto"/>
        </w:rPr>
        <w:t>—The loss of any of our key personnel could significantly harm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and competitive position,</w:t>
      </w:r>
      <w:r>
        <w:rPr>
          <w:rFonts w:ascii="Arial" w:cs="Arial" w:eastAsia="Arial" w:hAnsi="Arial"/>
          <w:sz w:val="18"/>
          <w:szCs w:val="18"/>
          <w:color w:val="auto"/>
        </w:rPr>
        <w:t>” on October 18, 2021, Dr. Kawas submitted her resignation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as a member of our board of directors, effective October 18, 2021. Concurrently with Dr. Kawas’s resignation, our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of directors appointed Mark Litton, Ph.D., MBA as president and chief executive officer and as a member of our board of directors.</w:t>
      </w:r>
    </w:p>
    <w:p>
      <w:pPr>
        <w:spacing w:after="0" w:line="23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named as defendants in lawsuits that could result in substantial costs and divert management’s attention</w:t>
      </w:r>
      <w:r>
        <w:rPr>
          <w:rFonts w:ascii="Arial" w:cs="Arial" w:eastAsia="Arial" w:hAnsi="Arial"/>
          <w:sz w:val="18"/>
          <w:szCs w:val="18"/>
          <w:color w:val="auto"/>
        </w:rPr>
        <w:t>,” and</w:t>
      </w:r>
    </w:p>
    <w:p>
      <w:pPr>
        <w:jc w:val="both"/>
        <w:spacing w:after="0" w:line="239" w:lineRule="auto"/>
        <w:rPr>
          <w:sz w:val="20"/>
          <w:szCs w:val="20"/>
          <w:color w:val="auto"/>
        </w:rPr>
      </w:pPr>
      <w:r>
        <w:rPr>
          <w:rFonts w:ascii="Arial" w:cs="Arial" w:eastAsia="Arial" w:hAnsi="Arial"/>
          <w:sz w:val="18"/>
          <w:szCs w:val="18"/>
          <w:color w:val="auto"/>
        </w:rPr>
        <w:t>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2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2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18"/>
          <w:szCs w:val="18"/>
          <w:i w:val="1"/>
          <w:iCs w:val="1"/>
          <w:color w:val="auto"/>
        </w:rPr>
        <w:t>An</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special committee of our board of directors engaged in a review of papers co-authored by our former chief executive officer in</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w:t>
      </w:r>
    </w:p>
    <w:p>
      <w:pPr>
        <w:jc w:val="both"/>
        <w:spacing w:after="0"/>
        <w:rPr>
          <w:sz w:val="20"/>
          <w:szCs w:val="20"/>
          <w:color w:val="auto"/>
        </w:rPr>
      </w:pPr>
      <w:r>
        <w:rPr>
          <w:rFonts w:ascii="Arial" w:cs="Arial" w:eastAsia="Arial" w:hAnsi="Arial"/>
          <w:sz w:val="18"/>
          <w:szCs w:val="18"/>
          <w:i w:val="1"/>
          <w:iCs w:val="1"/>
          <w:color w:val="auto"/>
        </w:rPr>
        <w:t>will reach</w:t>
      </w:r>
      <w:r>
        <w:rPr>
          <w:rFonts w:ascii="Arial" w:cs="Arial" w:eastAsia="Arial" w:hAnsi="Arial"/>
          <w:sz w:val="18"/>
          <w:szCs w:val="18"/>
          <w:color w:val="auto"/>
        </w:rPr>
        <w:t>”. The conclusions from WSU’s investigation could have a material adverse impact on our business, reputation, scientific credibility,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prospects, as well as our in-licensed patents and pending patent applications, current grants and pending grant applications, and our relationship with WSU, from whom we in-license patents and patent applications underlying certain of our product candidates.</w:t>
      </w:r>
    </w:p>
    <w:p>
      <w:pPr>
        <w:spacing w:after="0" w:line="22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relatively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3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lead product candidate, fosgonimeton, is in clinical development for the potential treatment of AD and PDD and ATH-1020, an orally available, brain-penetrant small molecule for neuropsychiatric conditions, is in a Phase 1 clinical trial. Our additional early product candidates are in nonclinical development. It is impossible to predict when or if any of our product candidates will prove to be effective and safe in humans or will receive regulatory approval.</w:t>
      </w:r>
    </w:p>
    <w:p>
      <w:pPr>
        <w:spacing w:after="0" w:line="24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2" w:name="page43"/>
    <w:bookmarkEnd w:id="42"/>
    <w:p>
      <w:pPr>
        <w:jc w:val="both"/>
        <w:spacing w:after="0"/>
        <w:rPr>
          <w:sz w:val="20"/>
          <w:szCs w:val="20"/>
          <w:color w:val="auto"/>
        </w:rPr>
      </w:pPr>
      <w:r>
        <w:rPr>
          <w:rFonts w:ascii="Arial" w:cs="Arial" w:eastAsia="Arial" w:hAnsi="Arial"/>
          <w:sz w:val="18"/>
          <w:szCs w:val="18"/>
          <w:color w:val="auto"/>
        </w:rPr>
        <w:t>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 -of-care acetylcholinesterase inhibitors (AChEIs, e.g., donepezil) did not meet its primary endpoint of a change in ERP P300 latency for the full study population. Although a pre-specified subgroup analysis indicated a potential diminished effect of fosgonimeton when given in combination with add-on standard-of-care AChEIs, we cannot be sure that data from future trials will support similar conclusions or the safety, effectiveness or tolerability of fosgonimeton for treatment of AD. Likewise, early, smaller-scale studies and clinical trials with a single or relatively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4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4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July 6, 2021, we announced the initiation of an open-label extension for the LIFT-AD and ACT-AD trials and in May 2022 we announced the extension of the open label extension for an additional 12 months. Following completion of the 26-week treatment period during the LIFT-AD or ACT-AD trials, patients may elect to continue on the open-label extension and receive treatment with fosgonimeton for up to an additional 18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52"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3" w:name="page44"/>
    <w:bookmarkEnd w:id="43"/>
    <w:p>
      <w:pPr>
        <w:ind w:right="20"/>
        <w:spacing w:after="0" w:line="246" w:lineRule="auto"/>
        <w:rPr>
          <w:sz w:val="20"/>
          <w:szCs w:val="20"/>
          <w:color w:val="auto"/>
        </w:rPr>
      </w:pPr>
      <w:r>
        <w:rPr>
          <w:rFonts w:ascii="Arial" w:cs="Arial" w:eastAsia="Arial" w:hAnsi="Arial"/>
          <w:sz w:val="18"/>
          <w:szCs w:val="18"/>
          <w:color w:val="auto"/>
        </w:rPr>
        <w:t>clinical trial or by the FDA or comparable foreign regulatory authorities. Clinical trials can be delayed or terminated for a variety of reasons, including delays or failures related to:</w:t>
      </w:r>
    </w:p>
    <w:p>
      <w:pPr>
        <w:spacing w:after="0" w:line="102"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4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4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87"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4" w:name="page45"/>
    <w:bookmarkEnd w:id="44"/>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final data.</w:t>
      </w:r>
    </w:p>
    <w:p>
      <w:pPr>
        <w:spacing w:after="0" w:line="239"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a result, topline data should be viewed with caution until the final data are available.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w:t>
      </w:r>
    </w:p>
    <w:p>
      <w:pPr>
        <w:jc w:val="both"/>
        <w:spacing w:after="0" w:line="224" w:lineRule="auto"/>
        <w:rPr>
          <w:sz w:val="20"/>
          <w:szCs w:val="20"/>
          <w:color w:val="auto"/>
        </w:rPr>
      </w:pPr>
      <w:r>
        <w:rPr>
          <w:rFonts w:ascii="Arial" w:cs="Arial" w:eastAsia="Arial" w:hAnsi="Arial"/>
          <w:sz w:val="18"/>
          <w:szCs w:val="18"/>
          <w:color w:val="auto"/>
        </w:rPr>
        <w:t>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our competitors could result in volatility in the price of our common stock.</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w:t>
      </w:r>
    </w:p>
    <w:p>
      <w:pPr>
        <w:jc w:val="both"/>
        <w:spacing w:after="0" w:line="224" w:lineRule="auto"/>
        <w:rPr>
          <w:sz w:val="20"/>
          <w:szCs w:val="20"/>
          <w:color w:val="auto"/>
        </w:rPr>
      </w:pPr>
      <w:r>
        <w:rPr>
          <w:rFonts w:ascii="Arial" w:cs="Arial" w:eastAsia="Arial" w:hAnsi="Arial"/>
          <w:sz w:val="18"/>
          <w:szCs w:val="18"/>
          <w:color w:val="auto"/>
        </w:rPr>
        <w:t>including trial design, trial size, and whether or not to initiate additional clinical trials. For example, in November 2020, we initiated ACT-AD, a P300 Phase 2 clinical trial, to better understand the overall effects of fosgonimeton on working memory processing speed and cognitive measures. Topline results of ACT-AD were announced in June 2022, and we expect to use these data to help inform strategic decisions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decisions regarding any additional trials for fosgonimeton.</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w:t>
      </w:r>
    </w:p>
    <w:p>
      <w:pPr>
        <w:jc w:val="both"/>
        <w:spacing w:after="0" w:line="237" w:lineRule="auto"/>
        <w:rPr>
          <w:sz w:val="20"/>
          <w:szCs w:val="20"/>
          <w:color w:val="auto"/>
        </w:rPr>
      </w:pPr>
      <w:r>
        <w:rPr>
          <w:rFonts w:ascii="Arial" w:cs="Arial" w:eastAsia="Arial" w:hAnsi="Arial"/>
          <w:sz w:val="17"/>
          <w:szCs w:val="17"/>
          <w:color w:val="auto"/>
        </w:rPr>
        <w:t>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 with what we determine is material or otherwise appropriate information to include in our disclosure. If the interim, topline, or preliminary data that we report differ from actual results, or if others, including regulatory authorities, disagree with the conclusions reached,</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ability to obtain approval for, and commercialize, our product candidates may be harmed, which could harm our business, operating results, prospects or financial condition.</w:t>
      </w:r>
    </w:p>
    <w:p>
      <w:pPr>
        <w:spacing w:after="0" w:line="207"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26" w:lineRule="auto"/>
        <w:rPr>
          <w:sz w:val="20"/>
          <w:szCs w:val="20"/>
          <w:color w:val="auto"/>
        </w:rPr>
      </w:pPr>
      <w:r>
        <w:rPr>
          <w:rFonts w:ascii="Arial" w:cs="Arial" w:eastAsia="Arial" w:hAnsi="Arial"/>
          <w:sz w:val="18"/>
          <w:szCs w:val="18"/>
          <w:color w:val="auto"/>
        </w:rPr>
        <w:t>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locate a sufficient number of such patients, our clinical trial and development plans could be delayed.</w:t>
      </w:r>
    </w:p>
    <w:p>
      <w:pPr>
        <w:spacing w:after="0" w:line="239" w:lineRule="exact"/>
        <w:rPr>
          <w:sz w:val="20"/>
          <w:szCs w:val="20"/>
          <w:color w:val="auto"/>
        </w:rPr>
      </w:pPr>
    </w:p>
    <w:p>
      <w:pPr>
        <w:jc w:val="both"/>
        <w:ind w:right="20" w:firstLine="509"/>
        <w:spacing w:after="0" w:line="226"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the outcomes of prior trials conducted by us, competing clinical trials, overly stringent eligibility requirements, or the ongoing impact of COVID-19 on both clinical</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trial sites and potential AD subjects, our clinical trial results could be delayed, the costs of our clinical trials could materially increase, and the overall development timeline for fosgonimeton could be negatively impacted. For example, enrollment in our ongoing clinical trials has been slowed due to the effects of the COVID-19 pandemic, including governmental restrictions imposed in Australia, where certain of our clinical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trial sites are located. In our ACT-AD clinical trial, this slowed recruitment resulted in a change in the timing of topline results from our Phase 2 ACT-AD clinical trial, which were announced in June 2022. We cannot ensure that similar enrollment issues will not occur again in the</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future. Even if we are successful in enrolling the targeted number of subjects in our trials, the FDA and other regulators may request additional clinical trials with larger numbers of subjects as a condition to any regulatory approval.</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Enrollment of patients in our clinical trials may be further delayed or limited as our clinical trial sites limit their onsite staff or temporarily close as a result of the COVID-19 pandemic, including in response to the emergence of any new variants thereof.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4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2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2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46"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on March 28,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4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ind w:firstLine="509"/>
        <w:spacing w:after="0" w:line="243"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2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4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4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June 2021 our board of directors placed Dr. Leen Kawas, our then chief executive officer, on temporary leave pending a review of papers co-authored by Dr. Kawas in connection with her doctoral research at WSU, among other things. An independent special committee of our board of directors, assisted by independent legal counsel, conducted an investigation of allegations raised regarding doctoral research by Dr. Kawas conducted while at WSU, as well as related matters. The special committee’s primary finding was that Dr. Kawas altered images in her 2011 doctoral dissertation and at least four research papers that she co-authored while a graduate student at WSU, and published from 2011 to 2014.</w:t>
      </w:r>
    </w:p>
    <w:p>
      <w:pPr>
        <w:spacing w:after="0" w:line="24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 This succession and transition process may have a direct or indirect adverse effect on our business, results of operations, hiring and retention efforts, and competitive position.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The continuing effects of the novel coronavirus disease, or COVID-19, pandemic could adversely impact our business, including our nonclinical studies and clinical trials.</w:t>
      </w:r>
    </w:p>
    <w:p>
      <w:pPr>
        <w:spacing w:after="0" w:line="188"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 similar health epidemic could recur at any time, which may cause us to again close down our facilities or take other measures in response.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In addition, a number of our clinical trial sites have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8" w:name="page49"/>
    <w:bookmarkEnd w:id="48"/>
    <w:p>
      <w:pPr>
        <w:jc w:val="both"/>
        <w:spacing w:after="0" w:line="241" w:lineRule="auto"/>
        <w:rPr>
          <w:sz w:val="20"/>
          <w:szCs w:val="20"/>
          <w:color w:val="auto"/>
        </w:rPr>
      </w:pPr>
      <w:r>
        <w:rPr>
          <w:rFonts w:ascii="Arial" w:cs="Arial" w:eastAsia="Arial" w:hAnsi="Arial"/>
          <w:sz w:val="18"/>
          <w:szCs w:val="18"/>
          <w:color w:val="auto"/>
        </w:rPr>
        <w:t>been subject to restrictions related to COVID-19 that have adversely affected their operations. While COVID-19 related restrictions have been eased in many of our clinical trial sites, new restrictions could be imposed at any time, whether in response to an outbreak of a new variant of COVID-19 or any similar outbreak. While the extent of the continuing impact of the COVID-19 pandemic on our business and financial results is uncertain, a resurgence in cases of COVID-19 or similar epidemic could have a material negative impact on our business, financial condition and operating results.</w:t>
      </w:r>
    </w:p>
    <w:p>
      <w:pPr>
        <w:spacing w:after="0" w:line="24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76" w:lineRule="exact"/>
        <w:rPr>
          <w:sz w:val="20"/>
          <w:szCs w:val="20"/>
          <w:color w:val="auto"/>
        </w:rPr>
      </w:pPr>
    </w:p>
    <w:p>
      <w:pPr>
        <w:jc w:val="both"/>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10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10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8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4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18"/>
          <w:szCs w:val="18"/>
          <w:color w:val="auto"/>
        </w:rPr>
        <w:t>addition, a recession, depression or other sustained adverse market event resulting from the spread of COVID-19 could materially and adversely affect our business and the value of our common stock.</w:t>
      </w:r>
    </w:p>
    <w:p>
      <w:pPr>
        <w:spacing w:after="0" w:line="23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4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$45.3 million and $22.8 million for the six months ended June 30, 2022 and 2021</w:t>
      </w:r>
      <w:r>
        <w:rPr>
          <w:rFonts w:ascii="Arial" w:cs="Arial" w:eastAsia="Arial" w:hAnsi="Arial"/>
          <w:sz w:val="18"/>
          <w:szCs w:val="18"/>
          <w:color w:val="212529"/>
        </w:rPr>
        <w:t>, respectively, and an accumulated deficit of $141.2 million as of June 30, 2022.</w:t>
      </w:r>
    </w:p>
    <w:p>
      <w:pPr>
        <w:spacing w:after="0" w:line="24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fosgonimeton for the treatment of mild-to-moderate AD in addition to LIFT-AD, and further extend the open label extension of the ACT-AD and LIFT-AD trials;</w:t>
      </w:r>
    </w:p>
    <w:p>
      <w:pPr>
        <w:spacing w:after="0" w:line="10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expand our facilities and lab space;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or engage in other strategic transactions;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0" w:name="page51"/>
    <w:bookmarkEnd w:id="50"/>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expenses in connection with legal proceedings, and addressing stockholder activism;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3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2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fosgonimeton and ATH-1020, and evaluate other and future product candidates. If we are unable to raise this funding when needed, we may be forced to delay, reduce, or eliminate our product development programs or other operations.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 xml:space="preserve">obtain marketing approval for </w:t>
      </w:r>
      <w:r>
        <w:rPr>
          <w:rFonts w:ascii="Arial" w:cs="Arial" w:eastAsia="Arial" w:hAnsi="Arial"/>
          <w:sz w:val="18"/>
          <w:szCs w:val="18"/>
          <w:color w:val="000000"/>
        </w:rPr>
        <w:t>fosgonimeton</w:t>
      </w:r>
      <w:r>
        <w:rPr>
          <w:rFonts w:ascii="Arial" w:cs="Arial" w:eastAsia="Arial" w:hAnsi="Arial"/>
          <w:sz w:val="18"/>
          <w:szCs w:val="18"/>
          <w:color w:val="212529"/>
        </w:rPr>
        <w:t xml:space="preserve"> or any future product candidates, </w:t>
      </w:r>
      <w:r>
        <w:rPr>
          <w:rFonts w:ascii="Arial" w:cs="Arial" w:eastAsia="Arial" w:hAnsi="Arial"/>
          <w:sz w:val="18"/>
          <w:szCs w:val="18"/>
          <w:color w:val="000000"/>
        </w:rPr>
        <w:t>including ATH-1020, an orally available, brain-penetrant small</w:t>
      </w:r>
      <w:r>
        <w:rPr>
          <w:rFonts w:ascii="Arial" w:cs="Arial" w:eastAsia="Arial" w:hAnsi="Arial"/>
          <w:sz w:val="18"/>
          <w:szCs w:val="18"/>
          <w:color w:val="212529"/>
        </w:rPr>
        <w:t xml:space="preserve"> </w:t>
      </w:r>
      <w:r>
        <w:rPr>
          <w:rFonts w:ascii="Arial" w:cs="Arial" w:eastAsia="Arial" w:hAnsi="Arial"/>
          <w:sz w:val="18"/>
          <w:szCs w:val="18"/>
          <w:color w:val="000000"/>
        </w:rPr>
        <w:t>molecule for neuropsychiatric conditions, which is in a Phase 1 clinical trial</w:t>
      </w:r>
      <w:r>
        <w:rPr>
          <w:rFonts w:ascii="Arial" w:cs="Arial" w:eastAsia="Arial" w:hAnsi="Arial"/>
          <w:sz w:val="18"/>
          <w:szCs w:val="18"/>
          <w:color w:val="212529"/>
        </w:rPr>
        <w:t>, we expect to incur significant commercialization expenses related</w:t>
      </w:r>
      <w:r>
        <w:rPr>
          <w:rFonts w:ascii="Arial" w:cs="Arial" w:eastAsia="Arial" w:hAnsi="Arial"/>
          <w:sz w:val="18"/>
          <w:szCs w:val="18"/>
          <w:color w:val="000000"/>
        </w:rPr>
        <w:t xml:space="preserve"> </w:t>
      </w:r>
      <w:r>
        <w:rPr>
          <w:rFonts w:ascii="Arial" w:cs="Arial" w:eastAsia="Arial" w:hAnsi="Arial"/>
          <w:sz w:val="18"/>
          <w:szCs w:val="18"/>
          <w:color w:val="212529"/>
        </w:rPr>
        <w:t>to sales, marketing, manufacturing, and distribution. Furthermore, we expect to continue to incur additional costs associated with operating as a public company.</w:t>
      </w:r>
    </w:p>
    <w:p>
      <w:pPr>
        <w:spacing w:after="0" w:line="24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212529"/>
        </w:rPr>
        <w:t>Accordingly, we will need to obtain substantial additional funding in connection with our continuing operations. As of June 30, 2022, we had cash, cash equivalents and investments of $282.2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4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89" w:lineRule="exact"/>
        <w:rPr>
          <w:sz w:val="20"/>
          <w:szCs w:val="20"/>
          <w:color w:val="auto"/>
        </w:rPr>
      </w:pPr>
    </w:p>
    <w:p>
      <w:pPr>
        <w:jc w:val="both"/>
        <w:ind w:left="102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fosgonimeton, including for potential additional indications that we are pursuing beyond AD, such as PDD, and a potential further extension of the open label extension of the ACT-AD and LIFT-AD trials;</w:t>
      </w:r>
    </w:p>
    <w:p>
      <w:pPr>
        <w:spacing w:after="0" w:line="87"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be or may in the future become involved in;</w:t>
      </w:r>
    </w:p>
    <w:p>
      <w:pPr>
        <w:spacing w:after="0" w:line="88"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23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212529"/>
        </w:rPr>
        <w:t xml:space="preserve">As of December 31, 2021, we had federal net operating loss carryforwards, or NOLs, to offset future taxable income of approximately $9.5 million and federal tax credit carryforwards of approximately $ 2.9 million. The federal NOLs generated during and after fiscal 2017 totaling $80.7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5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3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4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rPr>
          <w:sz w:val="20"/>
          <w:szCs w:val="20"/>
          <w:color w:val="auto"/>
        </w:rPr>
      </w:pPr>
      <w:r>
        <w:rPr>
          <w:rFonts w:ascii="Arial" w:cs="Arial" w:eastAsia="Arial" w:hAnsi="Arial"/>
          <w:sz w:val="18"/>
          <w:szCs w:val="18"/>
          <w:color w:val="auto"/>
        </w:rPr>
        <w:t>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90" w:lineRule="exact"/>
        <w:rPr>
          <w:sz w:val="20"/>
          <w:szCs w:val="20"/>
          <w:color w:val="auto"/>
        </w:rPr>
      </w:pPr>
    </w:p>
    <w:p>
      <w:pPr>
        <w:ind w:left="10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75" w:lineRule="exact"/>
        <w:rPr>
          <w:rFonts w:ascii="Arial" w:cs="Arial" w:eastAsia="Arial" w:hAnsi="Arial"/>
          <w:sz w:val="18"/>
          <w:szCs w:val="18"/>
          <w:color w:val="auto"/>
        </w:rPr>
      </w:pPr>
    </w:p>
    <w:p>
      <w:pPr>
        <w:jc w:val="both"/>
        <w:ind w:left="1020" w:right="20" w:hanging="503"/>
        <w:spacing w:after="0" w:line="23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93"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80"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75"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75"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jc w:val="both"/>
        <w:ind w:left="1020" w:hanging="503"/>
        <w:spacing w:after="0" w:line="23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in connection with the recent controversy and ongoing government investigation of the FDA’s approval process for Biogen’s AD biologic drug Aduhelm.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w:t>
      </w:r>
    </w:p>
    <w:p>
      <w:pPr>
        <w:jc w:val="both"/>
        <w:spacing w:after="0" w:line="226" w:lineRule="auto"/>
        <w:rPr>
          <w:sz w:val="20"/>
          <w:szCs w:val="20"/>
          <w:color w:val="auto"/>
        </w:rPr>
      </w:pPr>
      <w:r>
        <w:rPr>
          <w:rFonts w:ascii="Arial" w:cs="Arial" w:eastAsia="Arial" w:hAnsi="Arial"/>
          <w:sz w:val="18"/>
          <w:szCs w:val="18"/>
          <w:color w:val="auto"/>
        </w:rPr>
        <w:t>approval to market any of our product candidates, which would significantly harm our business, results of operations and prospects. In addition, even if we obtain approval of our product candidates, regulatory authorities may approve any of our product candidates for fewer or</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does not include the labeling claims necessary or desirable for the successful commercialization of that product candidate. Any of the foregoing scenarios could seriously harm our business.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w:t>
      </w:r>
    </w:p>
    <w:p>
      <w:pPr>
        <w:jc w:val="both"/>
        <w:spacing w:after="0" w:line="226" w:lineRule="auto"/>
        <w:rPr>
          <w:sz w:val="20"/>
          <w:szCs w:val="20"/>
          <w:color w:val="auto"/>
        </w:rPr>
      </w:pPr>
      <w:r>
        <w:rPr>
          <w:rFonts w:ascii="Arial" w:cs="Arial" w:eastAsia="Arial" w:hAnsi="Arial"/>
          <w:sz w:val="18"/>
          <w:szCs w:val="18"/>
          <w:color w:val="auto"/>
        </w:rPr>
        <w:t>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prospects.</w:t>
      </w:r>
    </w:p>
    <w:p>
      <w:pPr>
        <w:spacing w:after="0" w:line="2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3" w:name="page54"/>
    <w:bookmarkEnd w:id="53"/>
    <w:p>
      <w:pPr>
        <w:jc w:val="both"/>
        <w:spacing w:after="0" w:line="256" w:lineRule="auto"/>
        <w:rPr>
          <w:sz w:val="20"/>
          <w:szCs w:val="20"/>
          <w:color w:val="auto"/>
        </w:rPr>
      </w:pPr>
      <w:r>
        <w:rPr>
          <w:rFonts w:ascii="Arial" w:cs="Arial" w:eastAsia="Arial" w:hAnsi="Arial"/>
          <w:sz w:val="18"/>
          <w:szCs w:val="18"/>
          <w:b w:val="1"/>
          <w:bCs w:val="1"/>
          <w:i w:val="1"/>
          <w:iCs w:val="1"/>
          <w:color w:val="auto"/>
        </w:rPr>
        <w:t>may result in a safety profile that could inhibit regulatory approval, prevent market acceptance, limit their commercial potential or result in significant negative consequences.</w:t>
      </w:r>
    </w:p>
    <w:p>
      <w:pPr>
        <w:spacing w:after="0" w:line="228" w:lineRule="exact"/>
        <w:rPr>
          <w:sz w:val="20"/>
          <w:szCs w:val="20"/>
          <w:color w:val="auto"/>
        </w:rPr>
      </w:pPr>
    </w:p>
    <w:p>
      <w:pPr>
        <w:jc w:val="both"/>
        <w:ind w:firstLine="515"/>
        <w:spacing w:after="0"/>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45" w:lineRule="exact"/>
        <w:rPr>
          <w:sz w:val="20"/>
          <w:szCs w:val="20"/>
          <w:color w:val="auto"/>
        </w:rPr>
      </w:pPr>
    </w:p>
    <w:p>
      <w:pPr>
        <w:jc w:val="both"/>
        <w:ind w:firstLine="515"/>
        <w:spacing w:after="0" w:line="226"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these occurrences may prevent us from achieving or maintaining market acceptance of the affected product candidate and may harm our business, financial condition and prospects significantly.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w:t>
      </w:r>
    </w:p>
    <w:p>
      <w:pPr>
        <w:jc w:val="both"/>
        <w:spacing w:after="0" w:line="211" w:lineRule="auto"/>
        <w:rPr>
          <w:sz w:val="20"/>
          <w:szCs w:val="20"/>
          <w:color w:val="auto"/>
        </w:rPr>
      </w:pPr>
      <w:r>
        <w:rPr>
          <w:rFonts w:ascii="Arial" w:cs="Arial" w:eastAsia="Arial" w:hAnsi="Arial"/>
          <w:sz w:val="18"/>
          <w:szCs w:val="18"/>
          <w:color w:val="auto"/>
        </w:rPr>
        <w:t>studies or previous clinical trials. Some of our product candidates may be used as chronic therapies or be used in populations for which safety concerns may be particularly scrutinized by regulatory agencies. In addition, if our product candidates are used in combination with</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other therapies, our product candidates may exacerbate adverse events associated with the therapy. Patients treated with our product candidates may also be undergoing separate treatments which can cause side effects or adverse events that are unrelated to our product</w:t>
      </w:r>
    </w:p>
    <w:p>
      <w:pPr>
        <w:jc w:val="both"/>
        <w:spacing w:after="0" w:line="211" w:lineRule="auto"/>
        <w:rPr>
          <w:sz w:val="20"/>
          <w:szCs w:val="20"/>
          <w:color w:val="auto"/>
        </w:rPr>
      </w:pPr>
      <w:r>
        <w:rPr>
          <w:rFonts w:ascii="Arial" w:cs="Arial" w:eastAsia="Arial" w:hAnsi="Arial"/>
          <w:sz w:val="18"/>
          <w:szCs w:val="18"/>
          <w:color w:val="auto"/>
        </w:rPr>
        <w:t>candidate, but may still impact the success of our clinical trials, including, for example, by interfering with the effects of our product candidates. A pre-specified group analysis of patients in our ACT-AD clinical trial identified a potential diminished effect of the combination of</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p>
    <w:p>
      <w:pPr>
        <w:spacing w:after="0" w:line="216" w:lineRule="exact"/>
        <w:rPr>
          <w:sz w:val="20"/>
          <w:szCs w:val="20"/>
          <w:color w:val="auto"/>
        </w:rPr>
      </w:pPr>
    </w:p>
    <w:p>
      <w:pPr>
        <w:jc w:val="both"/>
        <w:ind w:firstLine="515"/>
        <w:spacing w:after="0" w:line="219" w:lineRule="auto"/>
        <w:rPr>
          <w:sz w:val="20"/>
          <w:szCs w:val="20"/>
          <w:color w:val="auto"/>
        </w:rPr>
      </w:pPr>
      <w:r>
        <w:rPr>
          <w:rFonts w:ascii="Arial" w:cs="Arial" w:eastAsia="Arial" w:hAnsi="Arial"/>
          <w:sz w:val="18"/>
          <w:szCs w:val="18"/>
          <w:color w:val="auto"/>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w:t>
      </w:r>
    </w:p>
    <w:p>
      <w:pPr>
        <w:jc w:val="both"/>
        <w:spacing w:after="0" w:line="211" w:lineRule="auto"/>
        <w:rPr>
          <w:sz w:val="20"/>
          <w:szCs w:val="20"/>
          <w:color w:val="auto"/>
        </w:rPr>
      </w:pPr>
      <w:r>
        <w:rPr>
          <w:rFonts w:ascii="Arial" w:cs="Arial" w:eastAsia="Arial" w:hAnsi="Arial"/>
          <w:sz w:val="18"/>
          <w:szCs w:val="18"/>
          <w:color w:val="auto"/>
        </w:rPr>
        <w:t>to abandon the clinical trials or our development efforts of that product candidate altogether. We, the FDA other comparable regulatory authorities or an IRB may suspend clinical trials of a product candidate at any time for various reasons, including a belief that subjects in</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w:t>
      </w:r>
    </w:p>
    <w:p>
      <w:pPr>
        <w:jc w:val="both"/>
        <w:spacing w:after="0" w:line="227" w:lineRule="auto"/>
        <w:rPr>
          <w:sz w:val="20"/>
          <w:szCs w:val="20"/>
          <w:color w:val="auto"/>
        </w:rPr>
      </w:pPr>
      <w:r>
        <w:rPr>
          <w:rFonts w:ascii="Arial" w:cs="Arial" w:eastAsia="Arial" w:hAnsi="Arial"/>
          <w:sz w:val="18"/>
          <w:szCs w:val="18"/>
          <w:color w:val="auto"/>
        </w:rPr>
        <w:t>approval, undesirable side effects may inhibit market acceptance due to its tolerability versus other therapies. Any of these developments could materially harm our business, financial condition and prospects.</w:t>
      </w:r>
    </w:p>
    <w:p>
      <w:pPr>
        <w:spacing w:after="0" w:line="229" w:lineRule="exact"/>
        <w:rPr>
          <w:sz w:val="20"/>
          <w:szCs w:val="20"/>
          <w:color w:val="auto"/>
        </w:rPr>
      </w:pPr>
    </w:p>
    <w:p>
      <w:pPr>
        <w:jc w:val="both"/>
        <w:ind w:firstLine="515"/>
        <w:spacing w:after="0" w:line="219"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w:t>
      </w:r>
    </w:p>
    <w:p>
      <w:pPr>
        <w:jc w:val="both"/>
        <w:spacing w:after="0" w:line="211" w:lineRule="auto"/>
        <w:rPr>
          <w:sz w:val="20"/>
          <w:szCs w:val="20"/>
          <w:color w:val="auto"/>
        </w:rPr>
      </w:pPr>
      <w:r>
        <w:rPr>
          <w:rFonts w:ascii="Arial" w:cs="Arial" w:eastAsia="Arial" w:hAnsi="Arial"/>
          <w:sz w:val="18"/>
          <w:szCs w:val="18"/>
          <w:color w:val="auto"/>
        </w:rPr>
        <w:t>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revocation of regulatory approval based on nonclinical studies or early-stage clinical trials.</w:t>
      </w:r>
    </w:p>
    <w:p>
      <w:pPr>
        <w:spacing w:after="0" w:line="23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4" w:name="page55"/>
    <w:bookmarkEnd w:id="54"/>
    <w:p>
      <w:pPr>
        <w:jc w:val="both"/>
        <w:spacing w:after="0" w:line="243" w:lineRule="auto"/>
        <w:rPr>
          <w:sz w:val="20"/>
          <w:szCs w:val="20"/>
          <w:color w:val="auto"/>
        </w:rPr>
      </w:pPr>
      <w:r>
        <w:rPr>
          <w:rFonts w:ascii="Arial" w:cs="Arial" w:eastAsia="Arial" w:hAnsi="Arial"/>
          <w:sz w:val="18"/>
          <w:szCs w:val="18"/>
          <w:color w:val="auto"/>
        </w:rPr>
        <w:t>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4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2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9" w:lineRule="exact"/>
        <w:rPr>
          <w:sz w:val="20"/>
          <w:szCs w:val="20"/>
          <w:color w:val="auto"/>
        </w:rPr>
      </w:pPr>
    </w:p>
    <w:p>
      <w:pPr>
        <w:ind w:left="10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18"/>
          <w:szCs w:val="18"/>
          <w:color w:val="auto"/>
        </w:rPr>
        <w:t>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3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28" w:lineRule="exact"/>
        <w:rPr>
          <w:sz w:val="20"/>
          <w:szCs w:val="20"/>
          <w:color w:val="auto"/>
        </w:rPr>
      </w:pPr>
    </w:p>
    <w:p>
      <w:pPr>
        <w:jc w:val="both"/>
        <w:ind w:firstLine="515"/>
        <w:spacing w:after="0" w:line="219"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w:t>
      </w:r>
    </w:p>
    <w:p>
      <w:pPr>
        <w:jc w:val="both"/>
        <w:spacing w:after="0" w:line="211" w:lineRule="auto"/>
        <w:rPr>
          <w:sz w:val="20"/>
          <w:szCs w:val="20"/>
          <w:color w:val="auto"/>
        </w:rPr>
      </w:pPr>
      <w:r>
        <w:rPr>
          <w:rFonts w:ascii="Arial" w:cs="Arial" w:eastAsia="Arial" w:hAnsi="Arial"/>
          <w:sz w:val="18"/>
          <w:szCs w:val="18"/>
          <w:color w:val="auto"/>
        </w:rPr>
        <w:t>and stop critical activities. Separately, in response to the COVID-19 public health emergency, since March 2020 when foreign and domestic inspections facilities were largely placed on hold, the FDA has been working to resume routine surveillance, bioresearch monitoring and pre-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approval inspections on a prioritized basis. The FDA has developed a rating system to assist in determining when and where it is safest to conduct prioritized domestic inspections. In 2020 and 2021, a number of companies announced receipt of complete response letters due to</w:t>
      </w:r>
    </w:p>
    <w:p>
      <w:pPr>
        <w:jc w:val="both"/>
        <w:spacing w:after="0" w:line="211" w:lineRule="auto"/>
        <w:rPr>
          <w:sz w:val="20"/>
          <w:szCs w:val="20"/>
          <w:color w:val="auto"/>
        </w:rPr>
      </w:pPr>
      <w:r>
        <w:rPr>
          <w:rFonts w:ascii="Arial" w:cs="Arial" w:eastAsia="Arial" w:hAnsi="Arial"/>
          <w:sz w:val="18"/>
          <w:szCs w:val="18"/>
          <w:color w:val="auto"/>
        </w:rPr>
        <w:t>the FDA’s inability to complete required inspections for their applications. In February 2022, the FDA announced that it will resume routine domestic surveillance inspections. The FDA also announced proceeding with previously planned foreign surveillance inspections that have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received country clearance and are within the CDC’s Level 1 or Level 2 COVID-19 travel recommendation; otherwise, the inspection would be rescheduled, with the anticipated goal of resuming foreign prioritized inspections in April 2022. However, the FDA may not be able to continue its current inspection pace, and review timelines could be extended, including where a pre-approval inspection or an inspection of</w:t>
      </w:r>
    </w:p>
    <w:p>
      <w:pPr>
        <w:jc w:val="both"/>
        <w:spacing w:after="0" w:line="211" w:lineRule="auto"/>
        <w:rPr>
          <w:sz w:val="20"/>
          <w:szCs w:val="20"/>
          <w:color w:val="auto"/>
        </w:rPr>
      </w:pPr>
      <w:r>
        <w:rPr>
          <w:rFonts w:ascii="Arial" w:cs="Arial" w:eastAsia="Arial" w:hAnsi="Arial"/>
          <w:sz w:val="18"/>
          <w:szCs w:val="18"/>
          <w:color w:val="auto"/>
        </w:rPr>
        <w:t>clinical sites is required and due to the ongoing COVID-19 pandemic and travel restrictions, the FDA is unable to complete such required inspections during the review period. Regulatory authorities outside the U.S. may adopt similar restrictions or other policy measures in</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response to the COVID-19 pandemic and may experience delays in their regulatory activities. If a prolonged government shutdown or other disruption occurs, or if global health or other concerns continue to prevent the FDA or other regulatory authorities from conducting their</w:t>
      </w:r>
    </w:p>
    <w:p>
      <w:pPr>
        <w:jc w:val="both"/>
        <w:spacing w:after="0" w:line="211" w:lineRule="auto"/>
        <w:rPr>
          <w:sz w:val="20"/>
          <w:szCs w:val="20"/>
          <w:color w:val="auto"/>
        </w:rPr>
      </w:pPr>
      <w:r>
        <w:rPr>
          <w:rFonts w:ascii="Arial" w:cs="Arial" w:eastAsia="Arial" w:hAnsi="Arial"/>
          <w:sz w:val="18"/>
          <w:szCs w:val="18"/>
          <w:color w:val="auto"/>
        </w:rPr>
        <w:t>regular inspections, reviews, or other regulatory activities in a timely manner, it could significantly impact the ability of the FDA to timely review and process our regulatory submissions, which could have a material adverse effect on our business. Further, future government</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shutdowns or delays could impact our ability to access the public markets and obtain necessary capital in order to properly capitalize and continue our operations.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w:t>
      </w:r>
    </w:p>
    <w:p>
      <w:pPr>
        <w:spacing w:after="0" w:line="4" w:lineRule="exact"/>
        <w:rPr>
          <w:sz w:val="20"/>
          <w:szCs w:val="20"/>
          <w:color w:val="auto"/>
        </w:rPr>
      </w:pPr>
    </w:p>
    <w:p>
      <w:pPr>
        <w:jc w:val="both"/>
        <w:ind w:right="20"/>
        <w:spacing w:after="0" w:line="211" w:lineRule="auto"/>
        <w:rPr>
          <w:sz w:val="20"/>
          <w:szCs w:val="20"/>
          <w:color w:val="auto"/>
        </w:rPr>
      </w:pPr>
      <w:r>
        <w:rPr>
          <w:rFonts w:ascii="Arial" w:cs="Arial" w:eastAsia="Arial" w:hAnsi="Arial"/>
          <w:sz w:val="18"/>
          <w:szCs w:val="18"/>
          <w:b w:val="1"/>
          <w:bCs w:val="1"/>
          <w:i w:val="1"/>
          <w:iCs w:val="1"/>
          <w:color w:val="auto"/>
        </w:rPr>
        <w:t>accelerated approval pathways. If we are unable to obtain such approval, we may be required to conduct additional nonclinical studies or clinical trials beyond those that we contemplate, which could increase the expense of obtaining, and delay the receipt</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b w:val="1"/>
          <w:bCs w:val="1"/>
          <w:i w:val="1"/>
          <w:iCs w:val="1"/>
          <w:color w:val="auto"/>
        </w:rPr>
        <w:t>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31" w:lineRule="exact"/>
        <w:rPr>
          <w:sz w:val="20"/>
          <w:szCs w:val="20"/>
          <w:color w:val="auto"/>
        </w:rPr>
      </w:pPr>
    </w:p>
    <w:p>
      <w:pPr>
        <w:jc w:val="both"/>
        <w:ind w:firstLine="515"/>
        <w:spacing w:after="0" w:line="211"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6" w:name="page57"/>
    <w:bookmarkEnd w:id="56"/>
    <w:p>
      <w:pPr>
        <w:jc w:val="both"/>
        <w:spacing w:after="0" w:line="219" w:lineRule="auto"/>
        <w:rPr>
          <w:sz w:val="20"/>
          <w:szCs w:val="20"/>
          <w:color w:val="auto"/>
        </w:rPr>
      </w:pPr>
      <w:r>
        <w:rPr>
          <w:rFonts w:ascii="Arial" w:cs="Arial" w:eastAsia="Arial" w:hAnsi="Arial"/>
          <w:sz w:val="18"/>
          <w:szCs w:val="18"/>
          <w:color w:val="auto"/>
        </w:rPr>
        <w:t>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w:t>
      </w:r>
    </w:p>
    <w:p>
      <w:pPr>
        <w:jc w:val="both"/>
        <w:spacing w:after="0" w:line="211" w:lineRule="auto"/>
        <w:rPr>
          <w:sz w:val="20"/>
          <w:szCs w:val="20"/>
          <w:color w:val="auto"/>
        </w:rPr>
      </w:pPr>
      <w:r>
        <w:rPr>
          <w:rFonts w:ascii="Arial" w:cs="Arial" w:eastAsia="Arial" w:hAnsi="Arial"/>
          <w:sz w:val="18"/>
          <w:szCs w:val="18"/>
          <w:color w:val="auto"/>
        </w:rPr>
        <w:t>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3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4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It is unclear how this investigation will generally impact the FDA’s review process, policies, and data requirements for the accelerated approval program in the future or specifically impact new drug applications in the treatment of Alzheimer’s disease and our clinical development programs.</w:t>
      </w:r>
    </w:p>
    <w:p>
      <w:pPr>
        <w:spacing w:after="0" w:line="21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0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37" w:lineRule="exact"/>
        <w:rPr>
          <w:sz w:val="20"/>
          <w:szCs w:val="20"/>
          <w:color w:val="auto"/>
        </w:rPr>
      </w:pPr>
    </w:p>
    <w:p>
      <w:pPr>
        <w:jc w:val="both"/>
        <w:ind w:firstLine="515"/>
        <w:spacing w:after="0" w:line="223"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jc w:val="both"/>
        <w:spacing w:after="0" w:line="226" w:lineRule="auto"/>
        <w:rPr>
          <w:sz w:val="20"/>
          <w:szCs w:val="20"/>
          <w:color w:val="auto"/>
        </w:rPr>
      </w:pPr>
      <w:r>
        <w:rPr>
          <w:rFonts w:ascii="Arial" w:cs="Arial" w:eastAsia="Arial" w:hAnsi="Arial"/>
          <w:sz w:val="18"/>
          <w:szCs w:val="18"/>
          <w:color w:val="auto"/>
        </w:rPr>
        <w:t>agreement with the U.S. Department of Health and Human Services Secretary, or HHS Secretary, as a condition for states to receive federal matching funds for the manufacturer’s outpatient drugs furnished to Medicaid patients. The ACA made several changes to the Medicaid Drug</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w:t>
      </w:r>
    </w:p>
    <w:p>
      <w:pPr>
        <w:spacing w:after="0" w:line="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 Complying with any new legislation and regulatory requirements could be time-intensive and expensive, resulting in a material adverse effect on our business.</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w:t>
      </w:r>
    </w:p>
    <w:p>
      <w:pPr>
        <w:spacing w:after="0" w:line="25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implemented during the Trump administration. As a result, the Biden administration and HHS have delayed the implementation or published rules rescinding some of these Trump-era policies.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jc w:val="both"/>
        <w:ind w:firstLine="509"/>
        <w:spacing w:after="0"/>
        <w:rPr>
          <w:sz w:val="20"/>
          <w:szCs w:val="20"/>
          <w:color w:val="auto"/>
        </w:rPr>
      </w:pPr>
      <w:r>
        <w:rPr>
          <w:rFonts w:ascii="Arial" w:cs="Arial" w:eastAsia="Arial" w:hAnsi="Arial"/>
          <w:sz w:val="18"/>
          <w:szCs w:val="18"/>
          <w:color w:val="auto"/>
        </w:rPr>
        <w:t>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4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spacing w:after="0" w:line="2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4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4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5"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9" w:name="page60"/>
    <w:bookmarkEnd w:id="59"/>
    <w:p>
      <w:pPr>
        <w:jc w:val="both"/>
        <w:ind w:firstLine="509"/>
        <w:spacing w:after="0"/>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2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3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17" w:lineRule="exact"/>
        <w:rPr>
          <w:sz w:val="20"/>
          <w:szCs w:val="20"/>
          <w:color w:val="auto"/>
        </w:rPr>
      </w:pPr>
    </w:p>
    <w:p>
      <w:pPr>
        <w:jc w:val="both"/>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9" w:lineRule="exact"/>
        <w:rPr>
          <w:rFonts w:ascii="Arial" w:cs="Arial" w:eastAsia="Arial" w:hAnsi="Arial"/>
          <w:sz w:val="18"/>
          <w:szCs w:val="18"/>
          <w:color w:val="auto"/>
        </w:rPr>
      </w:pPr>
    </w:p>
    <w:p>
      <w:pPr>
        <w:jc w:val="both"/>
        <w:ind w:left="1020" w:hanging="503"/>
        <w:spacing w:after="0" w:line="24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0" w:name="page61"/>
    <w:bookmarkEnd w:id="60"/>
    <w:p>
      <w:pPr>
        <w:jc w:val="both"/>
        <w:ind w:left="1020"/>
        <w:spacing w:after="0" w:line="243" w:lineRule="auto"/>
        <w:rPr>
          <w:sz w:val="20"/>
          <w:szCs w:val="20"/>
          <w:color w:val="auto"/>
        </w:rPr>
      </w:pPr>
      <w:r>
        <w:rPr>
          <w:rFonts w:ascii="Arial" w:cs="Arial" w:eastAsia="Arial" w:hAnsi="Arial"/>
          <w:sz w:val="18"/>
          <w:szCs w:val="18"/>
          <w:color w:val="auto"/>
        </w:rPr>
        <w:t>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107" w:lineRule="exact"/>
        <w:rPr>
          <w:sz w:val="20"/>
          <w:szCs w:val="20"/>
          <w:color w:val="auto"/>
        </w:rPr>
      </w:pPr>
    </w:p>
    <w:p>
      <w:pPr>
        <w:jc w:val="both"/>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9" w:lineRule="exact"/>
        <w:rPr>
          <w:rFonts w:ascii="Arial" w:cs="Arial" w:eastAsia="Arial" w:hAnsi="Arial"/>
          <w:sz w:val="18"/>
          <w:szCs w:val="18"/>
          <w:color w:val="auto"/>
        </w:rPr>
      </w:pPr>
    </w:p>
    <w:p>
      <w:pPr>
        <w:jc w:val="both"/>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2" w:lineRule="exact"/>
        <w:rPr>
          <w:rFonts w:ascii="Arial" w:cs="Arial" w:eastAsia="Arial" w:hAnsi="Arial"/>
          <w:sz w:val="18"/>
          <w:szCs w:val="18"/>
          <w:color w:val="auto"/>
        </w:rPr>
      </w:pPr>
    </w:p>
    <w:p>
      <w:pPr>
        <w:jc w:val="both"/>
        <w:ind w:left="1020" w:hanging="503"/>
        <w:spacing w:after="0" w:line="23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109"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jc w:val="both"/>
        <w:ind w:left="1020" w:hanging="503"/>
        <w:spacing w:after="0" w:line="242"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2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spacing w:after="0" w:line="246" w:lineRule="auto"/>
        <w:rPr>
          <w:sz w:val="20"/>
          <w:szCs w:val="20"/>
          <w:color w:val="auto"/>
        </w:rPr>
      </w:pPr>
      <w:r>
        <w:rPr>
          <w:rFonts w:ascii="Arial" w:cs="Arial" w:eastAsia="Arial" w:hAnsi="Arial"/>
          <w:sz w:val="18"/>
          <w:szCs w:val="18"/>
          <w:color w:val="auto"/>
        </w:rPr>
        <w:t>agreement to resolve allegations of non-compliance with these laws, and the curtailment or restructuring of our operations, any of which could adversely affect our ability to operate our business and our results of operations.</w:t>
      </w:r>
    </w:p>
    <w:p>
      <w:pPr>
        <w:spacing w:after="0" w:line="2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w:t>
      </w:r>
    </w:p>
    <w:p>
      <w:pPr>
        <w:jc w:val="both"/>
        <w:spacing w:after="0" w:line="226" w:lineRule="auto"/>
        <w:rPr>
          <w:sz w:val="20"/>
          <w:szCs w:val="20"/>
          <w:color w:val="auto"/>
        </w:rPr>
      </w:pPr>
      <w:r>
        <w:rPr>
          <w:rFonts w:ascii="Arial" w:cs="Arial" w:eastAsia="Arial" w:hAnsi="Arial"/>
          <w:sz w:val="18"/>
          <w:szCs w:val="18"/>
          <w:color w:val="auto"/>
        </w:rPr>
        <w:t>the risk that our employees, independent contractors, consultants, commercial collaborators, principal investigators, CROs, suppliers and vendors may engage in misconduct or other improper activities. Misconduct by these parties could include failures to comply with FDA</w:t>
      </w:r>
    </w:p>
    <w:p>
      <w:pPr>
        <w:spacing w:after="0" w:line="236" w:lineRule="auto"/>
        <w:rPr>
          <w:sz w:val="20"/>
          <w:szCs w:val="20"/>
          <w:color w:val="auto"/>
        </w:rPr>
      </w:pPr>
      <w:r>
        <w:rPr>
          <w:rFonts w:ascii="Arial" w:cs="Arial" w:eastAsia="Arial" w:hAnsi="Arial"/>
          <w:sz w:val="18"/>
          <w:szCs w:val="18"/>
          <w:color w:val="auto"/>
        </w:rPr>
        <w:t>regulations, provide accurate information to the FDA, comply with federal and state health care fraud and abuse laws and regulations,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accurately report financial information or data or disclose unauthorized activities to us. In particular, sales, marketing and business arrangements in the health care industry are subject to extensive laws and regulations intended to prevent fraud, misconduct, kickbacks, self-</w:t>
      </w:r>
    </w:p>
    <w:p>
      <w:pPr>
        <w:spacing w:after="0" w:line="236" w:lineRule="auto"/>
        <w:rPr>
          <w:sz w:val="20"/>
          <w:szCs w:val="20"/>
          <w:color w:val="auto"/>
        </w:rPr>
      </w:pPr>
      <w:r>
        <w:rPr>
          <w:rFonts w:ascii="Arial" w:cs="Arial" w:eastAsia="Arial" w:hAnsi="Arial"/>
          <w:sz w:val="18"/>
          <w:szCs w:val="18"/>
          <w:color w:val="auto"/>
        </w:rPr>
        <w:t>dealing and other abusive practices. These laws and regulations may restrict or prohibit a wide range of pricing, discounting, marketing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promotion, sales commission, customer incentive programs and other business arrangements. Misconduct by these parties could also involve the improper use of information obtained in the course of clinical trials, which could result in regulatory sanctions and serious harm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w:t>
      </w:r>
    </w:p>
    <w:p>
      <w:pPr>
        <w:spacing w:after="0" w:line="236" w:lineRule="auto"/>
        <w:rPr>
          <w:sz w:val="20"/>
          <w:szCs w:val="20"/>
          <w:color w:val="auto"/>
        </w:rPr>
      </w:pPr>
      <w:r>
        <w:rPr>
          <w:rFonts w:ascii="Arial" w:cs="Arial" w:eastAsia="Arial" w:hAnsi="Arial"/>
          <w:sz w:val="18"/>
          <w:szCs w:val="18"/>
          <w:color w:val="auto"/>
        </w:rPr>
        <w:t>the imposition of significant penalties, including civil, criminal and administrative penalties, damages, fines, disgorgement, imprisonment,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exclusion from participation in government funded healthcare programs, such as Medicare and Medicaid, integrity oversight and reporting obligations, contractual damages, reputational harm, diminished profits and future earnings and the curtailment or restructuring of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03"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flammable materials, including chemicals and biological and radioactive materials. Our operations also produce hazardous waste products. We generally contract with third parties for the disposal of these materials and wastes. We cannot eliminate the risk of contamination or injury</w:t>
      </w:r>
    </w:p>
    <w:p>
      <w:pPr>
        <w:spacing w:after="0" w:line="236" w:lineRule="auto"/>
        <w:rPr>
          <w:sz w:val="20"/>
          <w:szCs w:val="20"/>
          <w:color w:val="auto"/>
        </w:rPr>
      </w:pPr>
      <w:r>
        <w:rPr>
          <w:rFonts w:ascii="Arial" w:cs="Arial" w:eastAsia="Arial" w:hAnsi="Arial"/>
          <w:sz w:val="18"/>
          <w:szCs w:val="18"/>
          <w:color w:val="auto"/>
        </w:rPr>
        <w:t>from these materials. In the event of contamination or injury resulting from our use of hazardous materials, we could be held liable for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resulting damages, and any liability could exceed our resources. We also could incur significant costs associated with civil or criminal fines and penalties. Although we maintain workers’ compensation insurance to cover us for costs and expenses we may incur due to injuries to our</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w:t>
      </w:r>
    </w:p>
    <w:p>
      <w:pPr>
        <w:jc w:val="both"/>
        <w:spacing w:after="0" w:line="235" w:lineRule="auto"/>
        <w:rPr>
          <w:sz w:val="20"/>
          <w:szCs w:val="20"/>
          <w:color w:val="auto"/>
        </w:rPr>
      </w:pPr>
      <w:r>
        <w:rPr>
          <w:rFonts w:ascii="Arial" w:cs="Arial" w:eastAsia="Arial" w:hAnsi="Arial"/>
          <w:sz w:val="18"/>
          <w:szCs w:val="18"/>
          <w:color w:val="auto"/>
        </w:rPr>
        <w:t>regulations. These current or future laws and regulations may impair our research, development or commercialization efforts. Failure to comply with these laws and regulations also may result in substantial fines, penalties or other sanctions.</w:t>
      </w:r>
    </w:p>
    <w:p>
      <w:pPr>
        <w:spacing w:after="0" w:line="2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2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w:t>
      </w:r>
    </w:p>
    <w:p>
      <w:pPr>
        <w:spacing w:after="0" w:line="236" w:lineRule="auto"/>
        <w:rPr>
          <w:sz w:val="20"/>
          <w:szCs w:val="20"/>
          <w:color w:val="auto"/>
        </w:rPr>
      </w:pPr>
      <w:r>
        <w:rPr>
          <w:rFonts w:ascii="Arial" w:cs="Arial" w:eastAsia="Arial" w:hAnsi="Arial"/>
          <w:sz w:val="18"/>
          <w:szCs w:val="18"/>
          <w:color w:val="auto"/>
        </w:rPr>
        <w:t>organizations, legal counsel, accountants, consultants, contractors, and other partners from authorizing, promising, offering, providing,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w:t>
      </w:r>
    </w:p>
    <w:p>
      <w:pPr>
        <w:spacing w:after="0" w:line="236" w:lineRule="auto"/>
        <w:rPr>
          <w:sz w:val="20"/>
          <w:szCs w:val="20"/>
          <w:color w:val="auto"/>
        </w:rPr>
      </w:pPr>
      <w:r>
        <w:rPr>
          <w:rFonts w:ascii="Arial" w:cs="Arial" w:eastAsia="Arial" w:hAnsi="Arial"/>
          <w:sz w:val="18"/>
          <w:szCs w:val="18"/>
          <w:color w:val="auto"/>
        </w:rPr>
        <w:t>debarment, tax reassessments, breach of contract and fraud litigation, reputational harm, and other consequences. We have direct or indirect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interactions with officials and employees of government agencies or government-affiliated hospitals, universities, and other organizations. We also expect our non-U.S. activities to increase in time. We plan to engage third parties for clinical trials and/or to obtain necessary permits,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licenses, patent registrations, and other regulatory approvals and we can be held liable for the corrupt or other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illegal activities of our personnel, agents, or partners, even if we do not explicitly authorize or have prior knowledge of such activities.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5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2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4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4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1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3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spacing w:after="0" w:line="241" w:lineRule="auto"/>
        <w:rPr>
          <w:sz w:val="20"/>
          <w:szCs w:val="20"/>
          <w:color w:val="auto"/>
        </w:rPr>
      </w:pPr>
      <w:r>
        <w:rPr>
          <w:rFonts w:ascii="Arial" w:cs="Arial" w:eastAsia="Arial" w:hAnsi="Arial"/>
          <w:sz w:val="18"/>
          <w:szCs w:val="18"/>
          <w:color w:val="auto"/>
        </w:rPr>
        <w:t>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5" w:lineRule="exact"/>
        <w:rPr>
          <w:sz w:val="20"/>
          <w:szCs w:val="20"/>
          <w:color w:val="auto"/>
        </w:rPr>
      </w:pPr>
    </w:p>
    <w:p>
      <w:pPr>
        <w:jc w:val="both"/>
        <w:ind w:left="102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5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3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1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4" w:name="page65"/>
    <w:bookmarkEnd w:id="64"/>
    <w:p>
      <w:pPr>
        <w:jc w:val="both"/>
        <w:spacing w:after="0" w:line="236" w:lineRule="auto"/>
        <w:rPr>
          <w:sz w:val="20"/>
          <w:szCs w:val="20"/>
          <w:color w:val="auto"/>
        </w:rPr>
      </w:pPr>
      <w:r>
        <w:rPr>
          <w:rFonts w:ascii="Arial" w:cs="Arial" w:eastAsia="Arial" w:hAnsi="Arial"/>
          <w:sz w:val="18"/>
          <w:szCs w:val="18"/>
          <w:color w:val="auto"/>
        </w:rPr>
        <w:t>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2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4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effects to our business and reputation discussed in “—</w:t>
      </w:r>
      <w:r>
        <w:rPr>
          <w:rFonts w:ascii="Arial" w:cs="Arial" w:eastAsia="Arial" w:hAnsi="Arial"/>
          <w:sz w:val="18"/>
          <w:szCs w:val="18"/>
          <w:i w:val="1"/>
          <w:iCs w:val="1"/>
          <w:color w:val="auto"/>
        </w:rPr>
        <w:t>An independent special committee of our board of directors engaged in a review of</w:t>
      </w:r>
      <w:r>
        <w:rPr>
          <w:rFonts w:ascii="Arial" w:cs="Arial" w:eastAsia="Arial" w:hAnsi="Arial"/>
          <w:sz w:val="18"/>
          <w:szCs w:val="18"/>
          <w:color w:val="auto"/>
        </w:rPr>
        <w:t xml:space="preserve"> </w:t>
      </w:r>
      <w:r>
        <w:rPr>
          <w:rFonts w:ascii="Arial" w:cs="Arial" w:eastAsia="Arial" w:hAnsi="Arial"/>
          <w:sz w:val="18"/>
          <w:szCs w:val="18"/>
          <w:i w:val="1"/>
          <w:iCs w:val="1"/>
          <w:color w:val="auto"/>
        </w:rPr>
        <w:t>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cs="Arial" w:eastAsia="Arial" w:hAnsi="Arial"/>
          <w:sz w:val="18"/>
          <w:szCs w:val="18"/>
          <w:color w:val="auto"/>
        </w:rPr>
        <w:t>,” may discourage potential counterparties from entering into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with us.</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5" w:name="page66"/>
    <w:bookmarkEnd w:id="65"/>
    <w:p>
      <w:pPr>
        <w:ind w:right="20" w:firstLine="509"/>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102"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0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76"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7"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8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3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87"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3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39"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108"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of physician acceptance of FDA-approved Alzheimer’s therapies;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90"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01"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216"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w:t>
      </w:r>
    </w:p>
    <w:p>
      <w:pPr>
        <w:jc w:val="both"/>
        <w:spacing w:after="0" w:line="227" w:lineRule="auto"/>
        <w:rPr>
          <w:sz w:val="20"/>
          <w:szCs w:val="20"/>
          <w:color w:val="auto"/>
        </w:rPr>
      </w:pPr>
      <w:r>
        <w:rPr>
          <w:rFonts w:ascii="Arial" w:cs="Arial" w:eastAsia="Arial" w:hAnsi="Arial"/>
          <w:sz w:val="18"/>
          <w:szCs w:val="18"/>
          <w:color w:val="auto"/>
        </w:rPr>
        <w:t>acceptance of our approved product candidates, ensuring regulatory compliance of our company, employees and third parties under applicable healthcare laws, and other unforeseen costs associated with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both"/>
        <w:spacing w:after="0" w:line="219" w:lineRule="auto"/>
        <w:rPr>
          <w:sz w:val="20"/>
          <w:szCs w:val="20"/>
          <w:color w:val="auto"/>
        </w:rPr>
      </w:pPr>
      <w:r>
        <w:rPr>
          <w:rFonts w:ascii="Arial" w:cs="Arial" w:eastAsia="Arial" w:hAnsi="Arial"/>
          <w:sz w:val="18"/>
          <w:szCs w:val="18"/>
          <w:color w:val="auto"/>
        </w:rPr>
        <w:t>creating an independent sales and marketing organization. Developing a sales and marketing organization will be expensive and time-consuming and could delay the launch of our product candidates upon approval. We may not be able to build an effective sales and</w:t>
      </w:r>
    </w:p>
    <w:p>
      <w:pPr>
        <w:jc w:val="both"/>
        <w:ind w:right="20"/>
        <w:spacing w:after="0" w:line="227" w:lineRule="auto"/>
        <w:rPr>
          <w:sz w:val="20"/>
          <w:szCs w:val="20"/>
          <w:color w:val="auto"/>
        </w:rPr>
      </w:pPr>
      <w:r>
        <w:rPr>
          <w:rFonts w:ascii="Arial" w:cs="Arial" w:eastAsia="Arial" w:hAnsi="Arial"/>
          <w:sz w:val="18"/>
          <w:szCs w:val="18"/>
          <w:color w:val="auto"/>
        </w:rPr>
        <w:t>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 -of-care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2"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jc w:val="both"/>
        <w:ind w:firstLine="509"/>
        <w:spacing w:after="0" w:line="241"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3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5"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9" w:name="page70"/>
    <w:bookmarkEnd w:id="69"/>
    <w:p>
      <w:pPr>
        <w:jc w:val="both"/>
        <w:spacing w:after="0" w:line="246" w:lineRule="auto"/>
        <w:rPr>
          <w:sz w:val="20"/>
          <w:szCs w:val="20"/>
          <w:color w:val="auto"/>
        </w:rPr>
      </w:pPr>
      <w:r>
        <w:rPr>
          <w:rFonts w:ascii="Arial" w:cs="Arial" w:eastAsia="Arial" w:hAnsi="Arial"/>
          <w:sz w:val="18"/>
          <w:szCs w:val="18"/>
          <w:color w:val="auto"/>
        </w:rPr>
        <w:t>for our product candidates. Accordingly, in markets outside the United States, the reimbursement for products may be reduced compared with the United States and may be insufficient to generate commercially reasonable revenue and profits.</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w:t>
      </w:r>
      <w:r>
        <w:rPr>
          <w:rFonts w:ascii="Arial" w:cs="Arial" w:eastAsia="Arial" w:hAnsi="Arial"/>
          <w:sz w:val="18"/>
          <w:szCs w:val="18"/>
          <w:color w:val="auto"/>
        </w:rPr>
        <w:t xml:space="preserve"> </w:t>
      </w:r>
      <w:r>
        <w:rPr>
          <w:rFonts w:ascii="Arial" w:cs="Arial" w:eastAsia="Arial" w:hAnsi="Arial"/>
          <w:sz w:val="18"/>
          <w:szCs w:val="18"/>
          <w:color w:val="212529"/>
        </w:rPr>
        <w:t>raise capital needed to commercialize product candidates, and our overall financial condition.</w:t>
      </w:r>
    </w:p>
    <w:p>
      <w:pPr>
        <w:spacing w:after="0" w:line="24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4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16"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76" w:lineRule="exact"/>
        <w:rPr>
          <w:sz w:val="20"/>
          <w:szCs w:val="20"/>
          <w:color w:val="auto"/>
        </w:rPr>
      </w:pPr>
    </w:p>
    <w:p>
      <w:pPr>
        <w:ind w:left="1020" w:right="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8"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102"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0" w:name="page71"/>
    <w:bookmarkEnd w:id="70"/>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5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issued patents will afford sufficient protection against competitors with similar technology, nor can there be any assurance that the patents issued will not be infringed, designed around, found unenforceable or invalidated by third parties.</w:t>
      </w:r>
    </w:p>
    <w:p>
      <w:pPr>
        <w:spacing w:after="0" w:line="19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our patent portfolio includes one issued U.S. patent, eight pending U.S. patent applications, two issued patents in</w:t>
      </w:r>
    </w:p>
    <w:p>
      <w:pPr>
        <w:jc w:val="both"/>
        <w:spacing w:after="0" w:line="226" w:lineRule="auto"/>
        <w:rPr>
          <w:sz w:val="20"/>
          <w:szCs w:val="20"/>
          <w:color w:val="auto"/>
        </w:rPr>
      </w:pPr>
      <w:r>
        <w:rPr>
          <w:rFonts w:ascii="Arial" w:cs="Arial" w:eastAsia="Arial" w:hAnsi="Arial"/>
          <w:sz w:val="18"/>
          <w:szCs w:val="18"/>
          <w:color w:val="auto"/>
        </w:rPr>
        <w:t>jurisdictions outside of the U.S., nine pending patent applications in jurisdictions outside of the U.S., and four pending international patent applications filed under the Patent Cooperation Treaty. Our owned patent and patent applications have claims directed to our product</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candidate fosgonimeton as composition of matter and methods of treatment with fosgonimeton, as well as other small molecule therapeutics. The U.S. patent will expire in June 2037, absent any patent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term extensions for regulatory delay. Dr. Kawas is an inventor on these company-owned patents. Our patent portfolio also includes eight</w:t>
      </w:r>
    </w:p>
    <w:p>
      <w:pPr>
        <w:jc w:val="both"/>
        <w:spacing w:after="0" w:line="226" w:lineRule="auto"/>
        <w:rPr>
          <w:sz w:val="20"/>
          <w:szCs w:val="20"/>
          <w:color w:val="auto"/>
        </w:rPr>
      </w:pPr>
      <w:r>
        <w:rPr>
          <w:rFonts w:ascii="Arial" w:cs="Arial" w:eastAsia="Arial" w:hAnsi="Arial"/>
          <w:sz w:val="18"/>
          <w:szCs w:val="18"/>
          <w:color w:val="auto"/>
        </w:rPr>
        <w:t>issued U.S. patents and approximately 13 patents issued and one patent application pending in jurisdictions outside of the U.S. that are exclusively licensed to us by WSU. The in-licensed patent portfolio includes issued U.S. patents that do not directly cover fosgonimeton as a</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composition of matter or pharmaceutical formulation, but instead cover the active metabolite of fosgonimeton, which is hexanoic-tyrosine-isoleucine-(6)-amino-hexanoic amide (dihexa), and uses of dihexa. Dr. Kawas is an inventor on five of the in-licensed issued U.S. patents.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cannot be certain that the claims in our pending patent applications or those of any current or future licensors, will be considered</w:t>
      </w:r>
    </w:p>
    <w:p>
      <w:pPr>
        <w:jc w:val="both"/>
        <w:spacing w:after="0" w:line="226" w:lineRule="auto"/>
        <w:rPr>
          <w:sz w:val="20"/>
          <w:szCs w:val="20"/>
          <w:color w:val="auto"/>
        </w:rPr>
      </w:pPr>
      <w:r>
        <w:rPr>
          <w:rFonts w:ascii="Arial" w:cs="Arial" w:eastAsia="Arial" w:hAnsi="Arial"/>
          <w:sz w:val="18"/>
          <w:szCs w:val="18"/>
          <w:color w:val="auto"/>
        </w:rPr>
        <w:t>patentable by the United States Patent and Trademark Office, or USPTO, courts in the United States or by the patent offices and courts in foreign countries, nor can we be certain that the claims in our owned or in-licensed patents will not be found invalid or unenforceable if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challenged.</w:t>
      </w:r>
    </w:p>
    <w:p>
      <w:pPr>
        <w:spacing w:after="0" w:line="23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jc w:val="both"/>
        <w:ind w:left="1020" w:right="20" w:hanging="503"/>
        <w:spacing w:after="0" w:line="23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90"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to patent laws in the United States or in other countries may limit the ability to obtain, defend or enforce patents, or may apply retroactively to affect the terms and/or scope of patents;</w:t>
      </w:r>
    </w:p>
    <w:p>
      <w:pPr>
        <w:spacing w:after="0" w:line="94" w:lineRule="exact"/>
        <w:rPr>
          <w:rFonts w:ascii="Arial" w:cs="Arial" w:eastAsia="Arial" w:hAnsi="Arial"/>
          <w:sz w:val="18"/>
          <w:szCs w:val="18"/>
          <w:color w:val="auto"/>
        </w:rPr>
      </w:pPr>
    </w:p>
    <w:p>
      <w:pPr>
        <w:jc w:val="both"/>
        <w:ind w:left="1020" w:hanging="503"/>
        <w:spacing w:after="0" w:line="23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3" w:lineRule="exact"/>
        <w:rPr>
          <w:rFonts w:ascii="Arial" w:cs="Arial" w:eastAsia="Arial" w:hAnsi="Arial"/>
          <w:sz w:val="18"/>
          <w:szCs w:val="18"/>
          <w:color w:val="auto"/>
        </w:rPr>
      </w:pPr>
    </w:p>
    <w:p>
      <w:pPr>
        <w:jc w:val="both"/>
        <w:ind w:left="1020" w:hanging="503"/>
        <w:spacing w:after="0" w:line="23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24"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protection may be commercially advantageous. It is also possible that we or any current or future licensors will fail to identify patentable aspects of our research and development output before it is too late to obtain patent protection.</w:t>
      </w:r>
    </w:p>
    <w:p>
      <w:pPr>
        <w:spacing w:after="0" w:line="243"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consultants, advisors and other third parties, any of these parties may breach such agreements and disclose such output before a patent application is filed, thereby jeopardizing our ability to seek patent protection.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w:t>
      </w:r>
    </w:p>
    <w:p>
      <w:pPr>
        <w:spacing w:after="0" w:line="235" w:lineRule="auto"/>
        <w:rPr>
          <w:sz w:val="20"/>
          <w:szCs w:val="20"/>
          <w:color w:val="auto"/>
        </w:rPr>
      </w:pPr>
      <w:r>
        <w:rPr>
          <w:rFonts w:ascii="Arial" w:cs="Arial" w:eastAsia="Arial" w:hAnsi="Arial"/>
          <w:sz w:val="18"/>
          <w:szCs w:val="18"/>
          <w:color w:val="auto"/>
        </w:rPr>
        <w:t>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spacing w:after="0" w:line="22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3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w:t>
      </w:r>
    </w:p>
    <w:p>
      <w:pPr>
        <w:spacing w:after="0" w:line="21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named as defendants in lawsuits that could result in substantial costs and divert</w:t>
      </w:r>
    </w:p>
    <w:p>
      <w:pPr>
        <w:jc w:val="both"/>
        <w:spacing w:after="0"/>
        <w:rPr>
          <w:sz w:val="20"/>
          <w:szCs w:val="20"/>
          <w:color w:val="auto"/>
        </w:rPr>
      </w:pPr>
      <w:r>
        <w:rPr>
          <w:rFonts w:ascii="Arial" w:cs="Arial" w:eastAsia="Arial" w:hAnsi="Arial"/>
          <w:sz w:val="18"/>
          <w:szCs w:val="18"/>
          <w:i w:val="1"/>
          <w:iCs w:val="1"/>
          <w:color w:val="auto"/>
        </w:rPr>
        <w:t>management’s attention</w:t>
      </w:r>
      <w:r>
        <w:rPr>
          <w:rFonts w:ascii="Arial" w:cs="Arial" w:eastAsia="Arial" w:hAnsi="Arial"/>
          <w:sz w:val="18"/>
          <w:szCs w:val="18"/>
          <w:color w:val="auto"/>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though we own patents and patent applications covering fosgonimeton,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4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and/or WSU may in the future file one or more requests for supplemental examination of certain patents for the USPTO to reconsider the enforceability and validity of the patents (including any patents relating to dihexa) in view of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both"/>
        <w:spacing w:after="0" w:line="241" w:lineRule="auto"/>
        <w:rPr>
          <w:sz w:val="20"/>
          <w:szCs w:val="20"/>
          <w:color w:val="auto"/>
        </w:rPr>
      </w:pPr>
      <w:r>
        <w:rPr>
          <w:rFonts w:ascii="Arial" w:cs="Arial" w:eastAsia="Arial" w:hAnsi="Arial"/>
          <w:sz w:val="18"/>
          <w:szCs w:val="18"/>
          <w:color w:val="auto"/>
        </w:rPr>
        <w:t>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2" w:lineRule="exact"/>
        <w:rPr>
          <w:sz w:val="20"/>
          <w:szCs w:val="20"/>
          <w:color w:val="auto"/>
        </w:rPr>
      </w:pPr>
    </w:p>
    <w:p>
      <w:pPr>
        <w:ind w:left="1020" w:right="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inventions;</w:t>
      </w:r>
    </w:p>
    <w:p>
      <w:pPr>
        <w:spacing w:after="0" w:line="102"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3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2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4" w:name="page75"/>
    <w:bookmarkEnd w:id="74"/>
    <w:p>
      <w:pPr>
        <w:jc w:val="both"/>
        <w:spacing w:after="0"/>
        <w:rPr>
          <w:sz w:val="20"/>
          <w:szCs w:val="20"/>
          <w:color w:val="auto"/>
        </w:rPr>
      </w:pPr>
      <w:r>
        <w:rPr>
          <w:rFonts w:ascii="Arial" w:cs="Arial" w:eastAsia="Arial" w:hAnsi="Arial"/>
          <w:sz w:val="18"/>
          <w:szCs w:val="18"/>
          <w:color w:val="auto"/>
        </w:rPr>
        <w:t>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108"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1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5" w:name="page76"/>
    <w:bookmarkEnd w:id="75"/>
    <w:p>
      <w:pPr>
        <w:jc w:val="both"/>
        <w:spacing w:after="0" w:line="243" w:lineRule="auto"/>
        <w:rPr>
          <w:sz w:val="20"/>
          <w:szCs w:val="20"/>
          <w:color w:val="auto"/>
        </w:rPr>
      </w:pPr>
      <w:r>
        <w:rPr>
          <w:rFonts w:ascii="Arial" w:cs="Arial" w:eastAsia="Arial" w:hAnsi="Arial"/>
          <w:sz w:val="18"/>
          <w:szCs w:val="18"/>
          <w:color w:val="auto"/>
        </w:rPr>
        <w:t>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3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misrepresented or fraudulently withheld relevant information from the USPTO or made a misleading statement during prosecution.</w:t>
      </w:r>
    </w:p>
    <w:p>
      <w:pPr>
        <w:spacing w:after="0" w:line="2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4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6" w:name="page77"/>
    <w:bookmarkEnd w:id="76"/>
    <w:p>
      <w:pPr>
        <w:jc w:val="both"/>
        <w:spacing w:after="0" w:line="246" w:lineRule="auto"/>
        <w:rPr>
          <w:sz w:val="20"/>
          <w:szCs w:val="20"/>
          <w:color w:val="auto"/>
        </w:rPr>
      </w:pPr>
      <w:r>
        <w:rPr>
          <w:rFonts w:ascii="Arial" w:cs="Arial" w:eastAsia="Arial" w:hAnsi="Arial"/>
          <w:sz w:val="18"/>
          <w:szCs w:val="18"/>
          <w:color w:val="auto"/>
        </w:rPr>
        <w:t>because of their greater financial resources. Uncertainties resulting from the initiation and continuation of patent litigation or other proceedings could compromise our ability to compete in the marketplace.</w:t>
      </w:r>
    </w:p>
    <w:p>
      <w:pPr>
        <w:spacing w:after="0" w:line="23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2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0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shares to decline.</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03"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An unfavorable outcome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could require us to cease using the related technology or to attempt to license rights to it from the prevailing party. Our business could be harmed if the prevailing party does not offer us a license on commercially reasonable terms. Our defense of derivation proceedings may fail</w:t>
      </w:r>
    </w:p>
    <w:p>
      <w:pPr>
        <w:spacing w:after="0" w:line="236" w:lineRule="auto"/>
        <w:rPr>
          <w:sz w:val="20"/>
          <w:szCs w:val="20"/>
          <w:color w:val="auto"/>
        </w:rPr>
      </w:pPr>
      <w:r>
        <w:rPr>
          <w:rFonts w:ascii="Arial" w:cs="Arial" w:eastAsia="Arial" w:hAnsi="Arial"/>
          <w:sz w:val="18"/>
          <w:szCs w:val="18"/>
          <w:color w:val="auto"/>
        </w:rPr>
        <w:t>and, even if successful, may result in substantial costs and distract our management and other employees. In addition, the uncertainties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associated with such proceedings could have a material adverse effect on our ability to raise the funds necessary to continue our clinical trials, continue our research programs, license necessary technology from third parties or enter into development or manufacturing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partnerships that would help us bring our product candidates to market.</w:t>
      </w:r>
    </w:p>
    <w:p>
      <w:pPr>
        <w:spacing w:after="0" w:line="2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18"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w:t>
      </w:r>
    </w:p>
    <w:p>
      <w:pPr>
        <w:spacing w:after="0" w:line="236" w:lineRule="auto"/>
        <w:rPr>
          <w:sz w:val="20"/>
          <w:szCs w:val="20"/>
          <w:color w:val="auto"/>
        </w:rPr>
      </w:pPr>
      <w:r>
        <w:rPr>
          <w:rFonts w:ascii="Arial" w:cs="Arial" w:eastAsia="Arial" w:hAnsi="Arial"/>
          <w:sz w:val="18"/>
          <w:szCs w:val="18"/>
          <w:color w:val="auto"/>
        </w:rPr>
        <w:t>will be entitled to the patent regardless of whether a third party was first to invent the claimed invention. A third party that files a patent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application in the USPTO after March 2013 but before us could therefore be awarded a patent covering an invention of ours even if we had made the invention before it was made by such third party. This will require us to be cognizant going forward of the time from invention to</w:t>
      </w:r>
    </w:p>
    <w:p>
      <w:pPr>
        <w:spacing w:after="0" w:line="236" w:lineRule="auto"/>
        <w:rPr>
          <w:sz w:val="20"/>
          <w:szCs w:val="20"/>
          <w:color w:val="auto"/>
        </w:rPr>
      </w:pPr>
      <w:r>
        <w:rPr>
          <w:rFonts w:ascii="Arial" w:cs="Arial" w:eastAsia="Arial" w:hAnsi="Arial"/>
          <w:sz w:val="18"/>
          <w:szCs w:val="18"/>
          <w:color w:val="auto"/>
        </w:rPr>
        <w:t>filing of a patent application. Furthermore, our ability to obtain and maintain valid and enforceable patents depends on whether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current or future licensors are the first to either (1) file any patent application related to our product candidates or (2) invent any of the inventions claimed in the patents or patent applications.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w:t>
      </w:r>
    </w:p>
    <w:p>
      <w:pPr>
        <w:jc w:val="both"/>
        <w:spacing w:after="0" w:line="226" w:lineRule="auto"/>
        <w:rPr>
          <w:sz w:val="20"/>
          <w:szCs w:val="20"/>
          <w:color w:val="auto"/>
        </w:rPr>
      </w:pPr>
      <w:r>
        <w:rPr>
          <w:rFonts w:ascii="Arial" w:cs="Arial" w:eastAsia="Arial" w:hAnsi="Arial"/>
          <w:sz w:val="18"/>
          <w:szCs w:val="18"/>
          <w:color w:val="auto"/>
        </w:rPr>
        <w:t>may affect patent litigation. These include allowing third-party submission of printed publications to the USPTO during patent prosecution and additional procedures to attack the validity or enforceability of a patent by USPTO-administered post-grant proceedings, including PGR, IPR,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derivation proceedings. An adverse determination in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7" w:name="page78"/>
    <w:bookmarkEnd w:id="77"/>
    <w:p>
      <w:pPr>
        <w:jc w:val="both"/>
        <w:spacing w:after="0" w:line="246" w:lineRule="auto"/>
        <w:rPr>
          <w:sz w:val="20"/>
          <w:szCs w:val="20"/>
          <w:color w:val="auto"/>
        </w:rPr>
      </w:pPr>
      <w:r>
        <w:rPr>
          <w:rFonts w:ascii="Arial" w:cs="Arial" w:eastAsia="Arial" w:hAnsi="Arial"/>
          <w:sz w:val="18"/>
          <w:szCs w:val="18"/>
          <w:color w:val="auto"/>
        </w:rPr>
        <w:t>such submission or proceeding could reduce the scope or enforceability of, or invalidate, our patent rights, which could adversely affect our competitive position.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w:t>
      </w:r>
    </w:p>
    <w:p>
      <w:pPr>
        <w:jc w:val="both"/>
        <w:spacing w:after="0" w:line="226" w:lineRule="auto"/>
        <w:rPr>
          <w:sz w:val="20"/>
          <w:szCs w:val="20"/>
          <w:color w:val="auto"/>
        </w:rPr>
      </w:pPr>
      <w:r>
        <w:rPr>
          <w:rFonts w:ascii="Arial" w:cs="Arial" w:eastAsia="Arial" w:hAnsi="Arial"/>
          <w:sz w:val="18"/>
          <w:szCs w:val="18"/>
          <w:color w:val="auto"/>
        </w:rPr>
        <w:t>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36"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first challenged by the third party as a defendant in a district court action. Thus, the Leahy-Smith Act and its implementation could increase the uncertainties and costs surrounding the prosecution of our patent applications or those of any current or future licensors and the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enforcement or defense of our issued patents or those of any current or future licensors, all of which could have a material adverse effect on our business, financial condition, results of operations and prospects.</w:t>
      </w:r>
    </w:p>
    <w:p>
      <w:pPr>
        <w:spacing w:after="0" w:line="2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03"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obtaining and enforcing biopharmaceutical patents is costly, time consuming and inherently uncertain. Changes in either the patent laws or in the interpretations of patent laws in the United States and other countries may diminish the value of our intellectual property and may</w:t>
      </w:r>
    </w:p>
    <w:p>
      <w:pPr>
        <w:spacing w:after="0" w:line="236" w:lineRule="auto"/>
        <w:rPr>
          <w:sz w:val="20"/>
          <w:szCs w:val="20"/>
          <w:color w:val="auto"/>
        </w:rPr>
      </w:pPr>
      <w:r>
        <w:rPr>
          <w:rFonts w:ascii="Arial" w:cs="Arial" w:eastAsia="Arial" w:hAnsi="Arial"/>
          <w:sz w:val="18"/>
          <w:szCs w:val="18"/>
          <w:color w:val="auto"/>
        </w:rPr>
        <w:t>increase the uncertainties and costs surrounding the prosecution of patent applications and the enforcement or defense of issued patents.</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cannot predict the breadth of claims that may be allowed or enforced in our patents or in third-party patents. In addition, Congress or other foreign legislative bodies may pass patent reform legislation that is unfavorable to us.</w:t>
      </w:r>
    </w:p>
    <w:p>
      <w:pPr>
        <w:spacing w:after="0" w:line="25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no earlier that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5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own and in-license patents issued and patent applications pending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4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4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jc w:val="both"/>
        <w:spacing w:after="0" w:line="243" w:lineRule="auto"/>
        <w:rPr>
          <w:sz w:val="20"/>
          <w:szCs w:val="20"/>
          <w:color w:val="auto"/>
        </w:rPr>
      </w:pPr>
      <w:r>
        <w:rPr>
          <w:rFonts w:ascii="Arial" w:cs="Arial" w:eastAsia="Arial" w:hAnsi="Arial"/>
          <w:sz w:val="18"/>
          <w:szCs w:val="18"/>
          <w:color w:val="auto"/>
        </w:rPr>
        <w:t>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payment, and other requirements imposed by regulations and governmental patent agencies, and our patent protection could be reduced or eliminated for non-compliance with these requirements.</w:t>
      </w:r>
    </w:p>
    <w:p>
      <w:pPr>
        <w:spacing w:after="0" w:line="229" w:lineRule="exact"/>
        <w:rPr>
          <w:sz w:val="20"/>
          <w:szCs w:val="20"/>
          <w:color w:val="auto"/>
        </w:rPr>
      </w:pPr>
    </w:p>
    <w:p>
      <w:pPr>
        <w:jc w:val="both"/>
        <w:ind w:firstLine="515"/>
        <w:spacing w:after="0" w:line="21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 or future licensors. We have systems in place to remind us to pay these fees, and we rely on our outside patent annuity service to pay these</w:t>
      </w:r>
    </w:p>
    <w:p>
      <w:pPr>
        <w:jc w:val="both"/>
        <w:spacing w:after="0" w:line="223" w:lineRule="auto"/>
        <w:rPr>
          <w:sz w:val="20"/>
          <w:szCs w:val="20"/>
          <w:color w:val="auto"/>
        </w:rPr>
      </w:pPr>
      <w:r>
        <w:rPr>
          <w:rFonts w:ascii="Arial" w:cs="Arial" w:eastAsia="Arial" w:hAnsi="Arial"/>
          <w:sz w:val="17"/>
          <w:szCs w:val="17"/>
          <w:color w:val="auto"/>
        </w:rPr>
        <w:t>fees when due. Additionally, the USPTO and various foreign patent offices require compliance with a number of procedural, documentary, fee payment and other similar provisions during the patent application process. We employ reputable law firms and other professionals to help us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comply, and in many cases, an inadvertent lapse can be cured by payment of a late fee or by other means in accordance with rules applicable to the particular jurisdiction. However, there are situations in which noncompliance can result in abandonment or lapse of the</w:t>
      </w:r>
    </w:p>
    <w:p>
      <w:pPr>
        <w:jc w:val="both"/>
        <w:spacing w:after="0" w:line="227" w:lineRule="auto"/>
        <w:rPr>
          <w:sz w:val="20"/>
          <w:szCs w:val="20"/>
          <w:color w:val="auto"/>
        </w:rPr>
      </w:pPr>
      <w:r>
        <w:rPr>
          <w:rFonts w:ascii="Arial" w:cs="Arial" w:eastAsia="Arial" w:hAnsi="Arial"/>
          <w:sz w:val="18"/>
          <w:szCs w:val="18"/>
          <w:color w:val="auto"/>
        </w:rPr>
        <w:t>patent or patent application, resulting in partial or complete loss of patent rights in the relevant jurisdiction. If such an event were to occur, it could have a material adverse effect on our business.</w:t>
      </w:r>
    </w:p>
    <w:p>
      <w:pPr>
        <w:spacing w:after="0" w:line="207" w:lineRule="exact"/>
        <w:rPr>
          <w:sz w:val="20"/>
          <w:szCs w:val="20"/>
          <w:color w:val="auto"/>
        </w:rPr>
      </w:pPr>
    </w:p>
    <w:p>
      <w:pPr>
        <w:jc w:val="both"/>
        <w:ind w:firstLine="515"/>
        <w:spacing w:after="0" w:line="256"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4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0" w:name="page81"/>
    <w:bookmarkEnd w:id="80"/>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4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may be subject, in part, to the terms and conditions of licenses granted to us by others.</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4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4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jc w:val="both"/>
        <w:spacing w:after="0" w:line="246" w:lineRule="auto"/>
        <w:rPr>
          <w:sz w:val="20"/>
          <w:szCs w:val="20"/>
          <w:color w:val="auto"/>
        </w:rPr>
      </w:pPr>
      <w:r>
        <w:rPr>
          <w:rFonts w:ascii="Arial" w:cs="Arial" w:eastAsia="Arial" w:hAnsi="Arial"/>
          <w:sz w:val="18"/>
          <w:szCs w:val="18"/>
          <w:color w:val="auto"/>
        </w:rPr>
        <w:t>competitors could market products similar or identical to our product candidates. This could have a material adverse effect on our competitive position, business, financial conditions, results of operations, and prospects.</w:t>
      </w:r>
    </w:p>
    <w:p>
      <w:pPr>
        <w:spacing w:after="0" w:line="23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21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23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76"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product candidates infringe on intellectual property of the licensor that is not subject to the licensing agreement;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to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product candidates,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2" w:name="page83"/>
    <w:bookmarkEnd w:id="82"/>
    <w:p>
      <w:pPr>
        <w:jc w:val="both"/>
        <w:spacing w:after="0" w:line="241" w:lineRule="auto"/>
        <w:rPr>
          <w:sz w:val="20"/>
          <w:szCs w:val="20"/>
          <w:color w:val="auto"/>
        </w:rPr>
      </w:pPr>
      <w:r>
        <w:rPr>
          <w:rFonts w:ascii="Arial" w:cs="Arial" w:eastAsia="Arial" w:hAnsi="Arial"/>
          <w:sz w:val="18"/>
          <w:szCs w:val="18"/>
          <w:color w:val="auto"/>
        </w:rPr>
        <w:t>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2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5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3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3" w:name="page84"/>
    <w:bookmarkEnd w:id="83"/>
    <w:p>
      <w:pPr>
        <w:jc w:val="both"/>
        <w:spacing w:after="0"/>
        <w:rPr>
          <w:sz w:val="20"/>
          <w:szCs w:val="20"/>
          <w:color w:val="auto"/>
        </w:rPr>
      </w:pPr>
      <w:r>
        <w:rPr>
          <w:rFonts w:ascii="Arial" w:cs="Arial" w:eastAsia="Arial" w:hAnsi="Arial"/>
          <w:sz w:val="18"/>
          <w:szCs w:val="18"/>
          <w:color w:val="auto"/>
        </w:rPr>
        <w:t>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4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4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The UK has exited the EU and has implemented legislation similar to the GDPR, referred to as the UK GDPR, which provides for fines of up to the greater of up to the greater of £17.5 million or 4% of global turnover. The relationship between the UK and the EU in relation to certain aspects of data protection law remains unclear, however, including with respect to cross-border data transfers and the role of the UK Information Commissioner’s Office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4" w:name="page85"/>
    <w:bookmarkEnd w:id="84"/>
    <w:p>
      <w:pPr>
        <w:jc w:val="both"/>
        <w:spacing w:after="0" w:line="248" w:lineRule="auto"/>
        <w:rPr>
          <w:sz w:val="20"/>
          <w:szCs w:val="20"/>
          <w:color w:val="auto"/>
        </w:rPr>
      </w:pPr>
      <w:r>
        <w:rPr>
          <w:rFonts w:ascii="Arial" w:cs="Arial" w:eastAsia="Arial" w:hAnsi="Arial"/>
          <w:sz w:val="18"/>
          <w:szCs w:val="18"/>
          <w:color w:val="auto"/>
        </w:rPr>
        <w:t>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22"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In addition, California has enacted the California Consumer Privacy Act, or CCPA, which creates new individual privacy rights for California consumers (as defined in the law) and places increased privacy and security obligations on entities handling personal data of</w:t>
      </w:r>
    </w:p>
    <w:p>
      <w:pPr>
        <w:spacing w:after="0" w:line="236" w:lineRule="auto"/>
        <w:rPr>
          <w:sz w:val="20"/>
          <w:szCs w:val="20"/>
          <w:color w:val="auto"/>
        </w:rPr>
      </w:pPr>
      <w:r>
        <w:rPr>
          <w:rFonts w:ascii="Arial" w:cs="Arial" w:eastAsia="Arial" w:hAnsi="Arial"/>
          <w:sz w:val="18"/>
          <w:szCs w:val="18"/>
          <w:color w:val="auto"/>
        </w:rPr>
        <w:t>consumers or households. The CCPA requires covered companies to provide new disclosure to consumers about such companies’ data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collection, use and sharing practices, provide such consumers new ways to opt-out of certain sales or transfers of personal information, and provide consumers with additional causes of action. The CCPA went into effect on January 1, 2020, and the California Attorney General</w:t>
      </w:r>
    </w:p>
    <w:p>
      <w:pPr>
        <w:spacing w:after="0" w:line="236" w:lineRule="auto"/>
        <w:rPr>
          <w:sz w:val="20"/>
          <w:szCs w:val="20"/>
          <w:color w:val="auto"/>
        </w:rPr>
      </w:pPr>
      <w:r>
        <w:rPr>
          <w:rFonts w:ascii="Arial" w:cs="Arial" w:eastAsia="Arial" w:hAnsi="Arial"/>
          <w:sz w:val="18"/>
          <w:szCs w:val="18"/>
          <w:color w:val="auto"/>
        </w:rPr>
        <w:t>commenced enforcement actions for violations on July 1, 2020. In November 2020, California passed the California Privacy Rights Act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(CPRA), which amends and expands the CCPA. While most of the substantive provisions in CPRA will not take effect until 2023 and although the CCPA includes exemptions for certain clinical trial data, the law may increase our compliance costs and potential liability with</w:t>
      </w:r>
    </w:p>
    <w:p>
      <w:pPr>
        <w:spacing w:after="0" w:line="236" w:lineRule="auto"/>
        <w:rPr>
          <w:sz w:val="20"/>
          <w:szCs w:val="20"/>
          <w:color w:val="auto"/>
        </w:rPr>
      </w:pPr>
      <w:r>
        <w:rPr>
          <w:rFonts w:ascii="Arial" w:cs="Arial" w:eastAsia="Arial" w:hAnsi="Arial"/>
          <w:sz w:val="18"/>
          <w:szCs w:val="18"/>
          <w:color w:val="auto"/>
        </w:rPr>
        <w:t>respect to other personal information we may collect about California consumers. Additionally, other states have proposed or enacted laws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addressing privacy and security that impose obligations similar to those of the CCPA. In March 2021, Virginia enacted the Virginia Consumer Data Protection Act, or CDPA, which becomes effective on January 1, 2023; on June 8, 2021, Colorado enacted the Colorado Privacy Act,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CPA, which takes effect on July 1, 2023; in March 2022, Utah enacted the Utah Consumer Privacy Act, or UCPA, which takes effect on December 31, 2023, and in May 2022, Connecticut enacted an Act Concerning Personal Data Privacy and Online Monitoring, or CTDPA,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takes effect on July 1, 2023. The CDPA, CPA, UCPA, and CTDPA share similarities with the CCPA, the CPRA, and legislation proposed in other states. The CCPA, CPRA, and other evolving state privacy legislation may impact our business activities and exemplifies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vulnerability of our business to the evolving regulatory environment related to personal data and protected health information.</w:t>
      </w:r>
    </w:p>
    <w:p>
      <w:pPr>
        <w:spacing w:after="0" w:line="239"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w:t>
      </w:r>
    </w:p>
    <w:p>
      <w:pPr>
        <w:spacing w:after="0" w:line="236" w:lineRule="auto"/>
        <w:rPr>
          <w:sz w:val="20"/>
          <w:szCs w:val="20"/>
          <w:color w:val="auto"/>
        </w:rPr>
      </w:pPr>
      <w:r>
        <w:rPr>
          <w:rFonts w:ascii="Arial" w:cs="Arial" w:eastAsia="Arial" w:hAnsi="Arial"/>
          <w:sz w:val="18"/>
          <w:szCs w:val="18"/>
          <w:color w:val="auto"/>
        </w:rPr>
        <w:t>or adverse publicity, harm to our reputation, and could negatively affect our operating results and business. Moreover, clinical trial subjects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about whom we or our potential collaborators obtain information, as well as the providers who share this information with us, may contractually limit our ability to use and disclose the information or impose other obligations or restrictions in connection with our use,</w:t>
      </w:r>
    </w:p>
    <w:p>
      <w:pPr>
        <w:spacing w:after="0" w:line="236" w:lineRule="auto"/>
        <w:rPr>
          <w:sz w:val="20"/>
          <w:szCs w:val="20"/>
          <w:color w:val="auto"/>
        </w:rPr>
      </w:pPr>
      <w:r>
        <w:rPr>
          <w:rFonts w:ascii="Arial" w:cs="Arial" w:eastAsia="Arial" w:hAnsi="Arial"/>
          <w:sz w:val="18"/>
          <w:szCs w:val="18"/>
          <w:color w:val="auto"/>
        </w:rPr>
        <w:t>retention and other processing of information, and we may otherwise face contractual restrictions applicable to our use, retention, and other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processing of information. Claims that we have violated individuals’ privacy rights, failed to comply with data protection laws, or breached our contractual obligations, even if we are not found liable, could be expensive and time consuming to defend and could result in adverse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publicity that could harm our business.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named as defendants in lawsuits that could result in substantial costs and divert management’s attention.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described elsewhere in this report in “Part II, Item 1—Legal Proceedings,” we and certain of our executive officers and directors</w:t>
      </w:r>
    </w:p>
    <w:p>
      <w:pPr>
        <w:jc w:val="both"/>
        <w:spacing w:after="0" w:line="226" w:lineRule="auto"/>
        <w:rPr>
          <w:sz w:val="20"/>
          <w:szCs w:val="20"/>
          <w:color w:val="auto"/>
        </w:rPr>
      </w:pPr>
      <w:r>
        <w:rPr>
          <w:rFonts w:ascii="Arial" w:cs="Arial" w:eastAsia="Arial" w:hAnsi="Arial"/>
          <w:sz w:val="18"/>
          <w:szCs w:val="18"/>
          <w:color w:val="auto"/>
        </w:rPr>
        <w:t>have been named as defendants in class action lawsuits that generally allege that we and certain of our officers and directors violated Sections 10(b) and/or 20(a) of the Exchange Act and Rule 10b-5 promulgated thereunder by making allegedly false and/or misleading</w:t>
      </w:r>
    </w:p>
    <w:p>
      <w:pPr>
        <w:spacing w:after="0" w:line="236" w:lineRule="auto"/>
        <w:rPr>
          <w:sz w:val="20"/>
          <w:szCs w:val="20"/>
          <w:color w:val="auto"/>
        </w:rPr>
      </w:pPr>
      <w:r>
        <w:rPr>
          <w:rFonts w:ascii="Arial" w:cs="Arial" w:eastAsia="Arial" w:hAnsi="Arial"/>
          <w:sz w:val="18"/>
          <w:szCs w:val="18"/>
          <w:color w:val="auto"/>
        </w:rPr>
        <w:t>statements and omitted material adverse facts regarding the Company’s business. These complaints seek unspecified compensatory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punitive damages, and reasonable costs and expenses, including attorneys’ fees. As of the date of this report, we are unable to predict the outcome of these matters. Although we have insurance, it provides for a substantial retention of liability and is subject to limitations and may</w:t>
      </w:r>
    </w:p>
    <w:p>
      <w:pPr>
        <w:spacing w:after="0" w:line="236" w:lineRule="auto"/>
        <w:rPr>
          <w:sz w:val="20"/>
          <w:szCs w:val="20"/>
          <w:color w:val="auto"/>
        </w:rPr>
      </w:pPr>
      <w:r>
        <w:rPr>
          <w:rFonts w:ascii="Arial" w:cs="Arial" w:eastAsia="Arial" w:hAnsi="Arial"/>
          <w:sz w:val="18"/>
          <w:szCs w:val="18"/>
          <w:color w:val="auto"/>
        </w:rPr>
        <w:t>not cover a significant portion, or any, of the expenses or liabilities we may incur or be subject to in connection with class action lawsuit or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w:t>
      </w:r>
    </w:p>
    <w:p>
      <w:pPr>
        <w:spacing w:after="0" w:line="235" w:lineRule="auto"/>
        <w:rPr>
          <w:sz w:val="20"/>
          <w:szCs w:val="20"/>
          <w:color w:val="auto"/>
        </w:rPr>
      </w:pPr>
      <w:r>
        <w:rPr>
          <w:rFonts w:ascii="Arial" w:cs="Arial" w:eastAsia="Arial" w:hAnsi="Arial"/>
          <w:sz w:val="18"/>
          <w:szCs w:val="18"/>
          <w:color w:val="auto"/>
        </w:rPr>
        <w:t>and business. In addition, the litigation has caused and will continue to cause our management and board of directors to divert time and</w:t>
      </w:r>
    </w:p>
    <w:p>
      <w:pPr>
        <w:jc w:val="both"/>
        <w:spacing w:after="0" w:line="226" w:lineRule="auto"/>
        <w:rPr>
          <w:sz w:val="20"/>
          <w:szCs w:val="20"/>
          <w:color w:val="auto"/>
        </w:rPr>
      </w:pPr>
      <w:r>
        <w:rPr>
          <w:rFonts w:ascii="Arial" w:cs="Arial" w:eastAsia="Arial" w:hAnsi="Arial"/>
          <w:sz w:val="18"/>
          <w:szCs w:val="18"/>
          <w:color w:val="auto"/>
        </w:rPr>
        <w:t>attention to the litigation and could adversely impact our reputation and further divert management and our board of directors’ attention and resources from other priorities, including the execution of our business plan and strategies that are important to our ability to grow our</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business and advance our product candidates, any of which could have a material adverse effect on our business. In addition, additional lawsuits may be filed,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5" w:name="page86"/>
    <w:bookmarkEnd w:id="85"/>
    <w:p>
      <w:pPr>
        <w:ind w:right="20"/>
        <w:spacing w:after="0" w:line="246" w:lineRule="auto"/>
        <w:rPr>
          <w:sz w:val="20"/>
          <w:szCs w:val="20"/>
          <w:color w:val="auto"/>
        </w:rPr>
      </w:pPr>
      <w:r>
        <w:rPr>
          <w:rFonts w:ascii="Arial" w:cs="Arial" w:eastAsia="Arial" w:hAnsi="Arial"/>
          <w:sz w:val="18"/>
          <w:szCs w:val="18"/>
          <w:color w:val="auto"/>
        </w:rPr>
        <w:t>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0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b w:val="1"/>
          <w:bCs w:val="1"/>
          <w:i w:val="1"/>
          <w:iCs w:val="1"/>
          <w:color w:val="auto"/>
        </w:rPr>
        <w:t>Actions by activist stockholders have in the past been, and may in the future be, disruptive, and any proxy contest waged by a stockholder could cause uncertainty about the strategic direction of our business.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could be negatively affected as a result of stockholder activism, which could be disruptive and cause uncertainty about</w:t>
      </w:r>
    </w:p>
    <w:p>
      <w:pPr>
        <w:spacing w:after="0" w:line="226" w:lineRule="auto"/>
        <w:rPr>
          <w:sz w:val="20"/>
          <w:szCs w:val="20"/>
          <w:color w:val="auto"/>
        </w:rPr>
      </w:pPr>
      <w:r>
        <w:rPr>
          <w:rFonts w:ascii="Arial" w:cs="Arial" w:eastAsia="Arial" w:hAnsi="Arial"/>
          <w:sz w:val="18"/>
          <w:szCs w:val="18"/>
          <w:color w:val="auto"/>
        </w:rPr>
        <w:t>the strategic direction of our business. For example, in February 2022, an activist stockholder announced his intention to nominate himself and one other candidate for election to our board of directors at our 2022 annual meeting of stockholders. While this proxy contest was</w:t>
      </w:r>
    </w:p>
    <w:p>
      <w:pPr>
        <w:spacing w:after="0" w:line="236" w:lineRule="auto"/>
        <w:rPr>
          <w:sz w:val="20"/>
          <w:szCs w:val="20"/>
          <w:color w:val="auto"/>
        </w:rPr>
      </w:pPr>
      <w:r>
        <w:rPr>
          <w:rFonts w:ascii="Arial" w:cs="Arial" w:eastAsia="Arial" w:hAnsi="Arial"/>
          <w:sz w:val="18"/>
          <w:szCs w:val="18"/>
          <w:color w:val="auto"/>
        </w:rPr>
        <w:t>unsuccessful, stockholder activism could recur and have an adverse effect on our business, results of operations, and financial condition.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example, as of the date of this report, our market capitalization was less than the aggregate value of our cash, cash equivalents and investments. Other similarly situated biotechnology companies have received proposals from shareholder activists to liquidate and return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capital to investors.</w:t>
      </w:r>
    </w:p>
    <w:p>
      <w:pPr>
        <w:spacing w:after="0" w:line="252"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108" w:lineRule="exact"/>
        <w:rPr>
          <w:sz w:val="20"/>
          <w:szCs w:val="20"/>
          <w:color w:val="auto"/>
        </w:rPr>
      </w:pPr>
    </w:p>
    <w:p>
      <w:pPr>
        <w:jc w:val="both"/>
        <w:ind w:left="10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87"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actions by activist stockholders may interfere with any efforts that we undertake in the future to raise capital;</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actions by activist stockholders could cause significant fluctuations in our stock price based on temporary or speculative market perceptions or other factors that do not necessarily reflect the underlying fundamentals and prospects of our business;</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 active market for our common stock is not sustained, it may be difficult for you to sell your shares of common stock at an</w:t>
      </w:r>
    </w:p>
    <w:p>
      <w:pPr>
        <w:jc w:val="both"/>
        <w:spacing w:after="0" w:line="226" w:lineRule="auto"/>
        <w:rPr>
          <w:sz w:val="20"/>
          <w:szCs w:val="20"/>
          <w:color w:val="auto"/>
        </w:rPr>
      </w:pPr>
      <w:r>
        <w:rPr>
          <w:rFonts w:ascii="Arial" w:cs="Arial" w:eastAsia="Arial" w:hAnsi="Arial"/>
          <w:sz w:val="18"/>
          <w:szCs w:val="18"/>
          <w:color w:val="auto"/>
        </w:rPr>
        <w:t>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and other factors, the price of our common stock may fall.</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7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76"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ongoing impact of the COVID-19 pandemic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7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negative press coverage;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status of ongoing litigation and potential commencement of additional litigation;</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the investigation by the independent special committee of the board of directors and the separate ongoing investigation by WSU;</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 or indirect impacts on our business, our suppliers and other third parties and our clinical sites as a result of geopolitical events, including the Russia-Ukraine war;</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“Part II, Item 1A—Risk Factors” section.</w:t>
      </w:r>
    </w:p>
    <w:p>
      <w:pPr>
        <w:spacing w:after="0" w:line="25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jc w:val="both"/>
        <w:ind w:right="20"/>
        <w:spacing w:after="0" w:line="246" w:lineRule="auto"/>
        <w:rPr>
          <w:sz w:val="20"/>
          <w:szCs w:val="20"/>
          <w:color w:val="auto"/>
        </w:rPr>
      </w:pPr>
      <w:r>
        <w:rPr>
          <w:rFonts w:ascii="Arial" w:cs="Arial" w:eastAsia="Arial" w:hAnsi="Arial"/>
          <w:sz w:val="18"/>
          <w:szCs w:val="18"/>
          <w:color w:val="auto"/>
        </w:rPr>
        <w:t>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3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Moreover, as of June 30, 2022,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1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directors, executive officers, significant holders of our outstanding common stock and their respective affiliates beneficially own a substantial amount of our outstanding common stock as of June 30,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4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8" w:name="page89"/>
    <w:bookmarkEnd w:id="88"/>
    <w:p>
      <w:pPr>
        <w:jc w:val="both"/>
        <w:spacing w:after="0" w:line="248" w:lineRule="auto"/>
        <w:rPr>
          <w:sz w:val="20"/>
          <w:szCs w:val="20"/>
          <w:color w:val="auto"/>
        </w:rPr>
      </w:pPr>
      <w:r>
        <w:rPr>
          <w:rFonts w:ascii="Arial" w:cs="Arial" w:eastAsia="Arial" w:hAnsi="Arial"/>
          <w:sz w:val="18"/>
          <w:szCs w:val="18"/>
          <w:color w:val="auto"/>
        </w:rPr>
        <w:t>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3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0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0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93" w:lineRule="exact"/>
        <w:rPr>
          <w:sz w:val="20"/>
          <w:szCs w:val="20"/>
          <w:color w:val="auto"/>
        </w:rPr>
      </w:pPr>
    </w:p>
    <w:p>
      <w:pPr>
        <w:ind w:left="1020" w:right="2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10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76" w:lineRule="exact"/>
        <w:rPr>
          <w:rFonts w:ascii="Arial" w:cs="Arial" w:eastAsia="Arial" w:hAnsi="Arial"/>
          <w:sz w:val="18"/>
          <w:szCs w:val="18"/>
          <w:color w:val="auto"/>
        </w:rPr>
      </w:pPr>
    </w:p>
    <w:p>
      <w:pPr>
        <w:jc w:val="both"/>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10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76"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3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2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limit our stockholders’ ability to obtain a favorable judicial forum for disputes with us or our directors, officers or employees.</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2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26"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18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1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6"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2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4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24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333-248428), which was declared effective by the SEC on September 17,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1" w:name="page92"/>
    <w:bookmarkEnd w:id="91"/>
    <w:p>
      <w:pPr>
        <w:ind w:firstLine="509"/>
        <w:spacing w:after="0" w:line="246"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September 18, 2020</w:t>
      </w:r>
      <w:r>
        <w:rPr>
          <w:rFonts w:ascii="Arial" w:cs="Arial" w:eastAsia="Arial" w:hAnsi="Arial"/>
          <w:sz w:val="18"/>
          <w:szCs w:val="18"/>
          <w:color w:val="231F20"/>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9040"/>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60" w:type="dxa"/>
            <w:vAlign w:val="bottom"/>
            <w:gridSpan w:val="11"/>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1"/>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60" w:type="dxa"/>
            <w:vAlign w:val="bottom"/>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15"/>
          </w:tcPr>
          <w:p>
            <w:pPr>
              <w:spacing w:after="0"/>
              <w:rPr>
                <w:rFonts w:ascii="Arial" w:cs="Arial" w:eastAsia="Arial" w:hAnsi="Arial"/>
                <w:sz w:val="18"/>
                <w:szCs w:val="18"/>
                <w:color w:val="0000FF"/>
              </w:rPr>
            </w:pPr>
            <w:hyperlink r:id="rId315">
              <w:r>
                <w:rPr>
                  <w:rFonts w:ascii="Arial" w:cs="Arial" w:eastAsia="Arial" w:hAnsi="Arial"/>
                  <w:sz w:val="18"/>
                  <w:szCs w:val="18"/>
                  <w:color w:val="0000FF"/>
                </w:rPr>
                <w:t>Amended and Restated Certificate of Incorporation of the Company</w:t>
              </w:r>
            </w:hyperlink>
          </w:p>
        </w:tc>
        <w:tc>
          <w:tcPr>
            <w:tcW w:w="920" w:type="dxa"/>
            <w:vAlign w:val="bottom"/>
          </w:tcPr>
          <w:p>
            <w:pPr>
              <w:ind w:left="320"/>
              <w:spacing w:after="0"/>
              <w:rPr>
                <w:sz w:val="20"/>
                <w:szCs w:val="20"/>
                <w:color w:val="auto"/>
              </w:rPr>
            </w:pPr>
            <w:r>
              <w:rPr>
                <w:rFonts w:ascii="Arial" w:cs="Arial" w:eastAsia="Arial" w:hAnsi="Arial"/>
                <w:sz w:val="18"/>
                <w:szCs w:val="18"/>
                <w:color w:val="auto"/>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197"/>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jc w:val="center"/>
              <w:spacing w:after="0" w:line="197" w:lineRule="exact"/>
              <w:rPr>
                <w:sz w:val="20"/>
                <w:szCs w:val="20"/>
                <w:color w:val="auto"/>
              </w:rPr>
            </w:pPr>
            <w:r>
              <w:rPr>
                <w:rFonts w:ascii="Arial" w:cs="Arial" w:eastAsia="Arial" w:hAnsi="Arial"/>
                <w:sz w:val="18"/>
                <w:szCs w:val="18"/>
                <w:color w:val="auto"/>
                <w:w w:val="99"/>
              </w:rPr>
              <w:t>12, 2020</w:t>
            </w:r>
          </w:p>
        </w:tc>
        <w:tc>
          <w:tcPr>
            <w:tcW w:w="0" w:type="dxa"/>
            <w:vAlign w:val="bottom"/>
          </w:tcPr>
          <w:p>
            <w:pPr>
              <w:spacing w:after="0"/>
              <w:rPr>
                <w:sz w:val="1"/>
                <w:szCs w:val="1"/>
                <w:color w:val="auto"/>
              </w:rPr>
            </w:pPr>
          </w:p>
        </w:tc>
      </w:tr>
      <w:tr>
        <w:trPr>
          <w:trHeight w:val="256"/>
        </w:trPr>
        <w:tc>
          <w:tcPr>
            <w:tcW w:w="960" w:type="dxa"/>
            <w:vAlign w:val="bottom"/>
          </w:tcPr>
          <w:p>
            <w:pPr>
              <w:ind w:lef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80" w:type="dxa"/>
            <w:vAlign w:val="bottom"/>
            <w:gridSpan w:val="15"/>
          </w:tcPr>
          <w:p>
            <w:pPr>
              <w:spacing w:after="0"/>
              <w:rPr>
                <w:rFonts w:ascii="Arial" w:cs="Arial" w:eastAsia="Arial" w:hAnsi="Arial"/>
                <w:sz w:val="18"/>
                <w:szCs w:val="18"/>
                <w:color w:val="0000FF"/>
              </w:rPr>
            </w:pPr>
            <w:hyperlink r:id="rId316">
              <w:r>
                <w:rPr>
                  <w:rFonts w:ascii="Arial" w:cs="Arial" w:eastAsia="Arial" w:hAnsi="Arial"/>
                  <w:sz w:val="18"/>
                  <w:szCs w:val="18"/>
                  <w:color w:val="0000FF"/>
                </w:rPr>
                <w:t>Amended and Restated Bylaws of the Company</w:t>
              </w:r>
            </w:hyperlink>
          </w:p>
        </w:tc>
        <w:tc>
          <w:tcPr>
            <w:tcW w:w="920" w:type="dxa"/>
            <w:vAlign w:val="bottom"/>
          </w:tcPr>
          <w:p>
            <w:pPr>
              <w:ind w:left="320"/>
              <w:spacing w:after="0"/>
              <w:rPr>
                <w:sz w:val="20"/>
                <w:szCs w:val="20"/>
                <w:color w:val="auto"/>
              </w:rPr>
            </w:pPr>
            <w:r>
              <w:rPr>
                <w:rFonts w:ascii="Arial" w:cs="Arial" w:eastAsia="Arial" w:hAnsi="Arial"/>
                <w:sz w:val="18"/>
                <w:szCs w:val="18"/>
                <w:color w:val="auto"/>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12, 2020</w:t>
            </w:r>
          </w:p>
        </w:tc>
        <w:tc>
          <w:tcPr>
            <w:tcW w:w="0" w:type="dxa"/>
            <w:vAlign w:val="bottom"/>
          </w:tcPr>
          <w:p>
            <w:pPr>
              <w:spacing w:after="0" w:line="20" w:lineRule="exact"/>
              <w:rPr>
                <w:sz w:val="1"/>
                <w:szCs w:val="1"/>
                <w:color w:val="auto"/>
              </w:rPr>
            </w:pPr>
          </w:p>
        </w:tc>
      </w:tr>
      <w:tr>
        <w:trPr>
          <w:trHeight w:val="197"/>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gridSpan w:val="15"/>
            <w:vMerge w:val="restart"/>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80" w:type="dxa"/>
            <w:vAlign w:val="bottom"/>
            <w:gridSpan w:val="15"/>
            <w:vMerge w:val="continue"/>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15d-14(a) under the Securities Exchange Act of 1934, as Adopted</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Pursuant to Section 302 of the Sarbanes-Oxley Act of 2002.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0000FF"/>
              </w:rPr>
              <w:t>Certification of Principal Accounting and Financial Officer Pursuant to</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Rules 13a-14(a) and 15d-14(a) under the Securities Exchange Act 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w:t>
            </w:r>
          </w:p>
        </w:tc>
        <w:tc>
          <w:tcPr>
            <w:tcW w:w="460" w:type="dxa"/>
            <w:vAlign w:val="bottom"/>
            <w:gridSpan w:val="5"/>
          </w:tcPr>
          <w:p>
            <w:pPr>
              <w:ind w:left="60"/>
              <w:spacing w:after="0" w:line="169" w:lineRule="exact"/>
              <w:rPr>
                <w:sz w:val="20"/>
                <w:szCs w:val="20"/>
                <w:color w:val="auto"/>
              </w:rPr>
            </w:pPr>
            <w:r>
              <w:rPr>
                <w:rFonts w:ascii="Arial" w:cs="Arial" w:eastAsia="Arial" w:hAnsi="Arial"/>
                <w:sz w:val="18"/>
                <w:szCs w:val="18"/>
                <w:color w:val="0000FF"/>
              </w:rPr>
              <w:t>of</w:t>
            </w: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2002.</w:t>
            </w:r>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18 U.S.C. Section</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1350, as Adopted Pursuant to Section 906 of the Sarbanes-Oxley Act of</w:t>
            </w: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4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3"/>
              </w:rPr>
              <w:t>2002.</w:t>
            </w:r>
          </w:p>
        </w:tc>
        <w:tc>
          <w:tcPr>
            <w:tcW w:w="20" w:type="dxa"/>
            <w:vAlign w:val="bottom"/>
            <w:tcBorders>
              <w:bottom w:val="single" w:sz="8" w:color="0000EE"/>
            </w:tcBorders>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0000FF"/>
              </w:rPr>
              <w:t>Certification of Principal Accounting and Financial Officer Pursuant to 18</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U.S.C. Section 1350, as Adopted Pursuant to Section 906 of the</w:t>
            </w: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40" w:type="dxa"/>
            <w:vAlign w:val="bottom"/>
            <w:tcBorders>
              <w:top w:val="single" w:sz="8" w:color="0000FF"/>
            </w:tcBorders>
            <w:gridSpan w:val="3"/>
          </w:tcPr>
          <w:p>
            <w:pPr>
              <w:spacing w:after="0"/>
              <w:rPr>
                <w:sz w:val="14"/>
                <w:szCs w:val="14"/>
                <w:color w:val="auto"/>
              </w:rPr>
            </w:pPr>
          </w:p>
        </w:tc>
        <w:tc>
          <w:tcPr>
            <w:tcW w:w="820" w:type="dxa"/>
            <w:vAlign w:val="bottom"/>
            <w:gridSpan w:val="8"/>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100" w:right="4220" w:hanging="1088"/>
        <w:spacing w:after="0" w:line="235" w:lineRule="auto"/>
        <w:tabs>
          <w:tab w:leader="none" w:pos="11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261"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4"/>
          <w:szCs w:val="14"/>
          <w:color w:val="auto"/>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9512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Athira Pharma, Inc.</w:t>
      </w:r>
    </w:p>
    <w:p>
      <w:pPr>
        <w:spacing w:after="0" w:line="220" w:lineRule="exact"/>
        <w:rPr>
          <w:sz w:val="20"/>
          <w:szCs w:val="20"/>
          <w:color w:val="auto"/>
        </w:rPr>
      </w:pPr>
    </w:p>
    <w:p>
      <w:pPr>
        <w:ind w:left="5700" w:right="4040" w:hanging="6020"/>
        <w:spacing w:after="0" w:line="242" w:lineRule="auto"/>
        <w:tabs>
          <w:tab w:leader="none" w:pos="568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 /s/ Mark Litton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-127000</wp:posOffset>
            </wp:positionV>
            <wp:extent cx="33089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12" w:lineRule="exact"/>
        <w:rPr>
          <w:sz w:val="20"/>
          <w:szCs w:val="20"/>
          <w:color w:val="auto"/>
        </w:rPr>
      </w:pPr>
    </w:p>
    <w:p>
      <w:pPr>
        <w:ind w:left="5700" w:right="3680" w:hanging="6020"/>
        <w:spacing w:after="0" w:line="242" w:lineRule="auto"/>
        <w:tabs>
          <w:tab w:leader="none" w:pos="568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 /s/ Glenna Mileson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-127000</wp:posOffset>
            </wp:positionV>
            <wp:extent cx="33089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40"/>
        <w:spacing w:after="0" w:line="220" w:lineRule="auto"/>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4" w:name="page95"/>
    <w:bookmarkEnd w:id="9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CERTIFICATION OF THE PRINCIPAL EXECUTIVE OFFICER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Mark Litton, certify that:</w:t>
      </w:r>
    </w:p>
    <w:p>
      <w:pPr>
        <w:spacing w:after="0" w:line="225"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760" w:right="240" w:hanging="752"/>
        <w:spacing w:after="0" w:line="308"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0" w:hanging="752"/>
        <w:spacing w:after="0" w:line="291"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00" w:right="140" w:hanging="743"/>
        <w:spacing w:after="0" w:line="278" w:lineRule="auto"/>
        <w:tabs>
          <w:tab w:leader="none" w:pos="15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1500" w:right="200" w:hanging="743"/>
        <w:spacing w:after="0" w:line="256" w:lineRule="auto"/>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hanging="743"/>
        <w:spacing w:after="0" w:line="256" w:lineRule="auto"/>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760" w:right="160" w:hanging="752"/>
        <w:spacing w:after="0" w:line="342"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43"/>
        <w:spacing w:after="0" w:line="324" w:lineRule="auto"/>
        <w:tabs>
          <w:tab w:leader="none" w:pos="15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40" w:hanging="743"/>
        <w:spacing w:after="0" w:line="277" w:lineRule="auto"/>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114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Litton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607695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CERTIFICATION OF THE PRINCIPAL FINANCIAL OFFICER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Glenna Mileson, certify that:</w:t>
      </w:r>
    </w:p>
    <w:p>
      <w:pPr>
        <w:spacing w:after="0" w:line="225" w:lineRule="exact"/>
        <w:rPr>
          <w:sz w:val="20"/>
          <w:szCs w:val="20"/>
          <w:color w:val="auto"/>
        </w:rPr>
      </w:pPr>
    </w:p>
    <w:p>
      <w:pPr>
        <w:ind w:left="760" w:hanging="752"/>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760" w:right="240" w:hanging="752"/>
        <w:spacing w:after="0" w:line="308"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0" w:hanging="752"/>
        <w:spacing w:after="0" w:line="291"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00" w:right="140" w:hanging="743"/>
        <w:spacing w:after="0" w:line="278" w:lineRule="auto"/>
        <w:tabs>
          <w:tab w:leader="none" w:pos="15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1500" w:right="200" w:hanging="743"/>
        <w:spacing w:after="0" w:line="263"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hanging="743"/>
        <w:spacing w:after="0" w:line="263"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60" w:hanging="752"/>
        <w:spacing w:after="0" w:line="342"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right="260" w:hanging="743"/>
        <w:spacing w:after="0" w:line="342" w:lineRule="auto"/>
        <w:tabs>
          <w:tab w:leader="none" w:pos="15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43"/>
        <w:spacing w:after="0" w:line="277"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946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607695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 xml:space="preserve">In connection with the Quarterly Report on Form 10-Q of Athira Pharma, Inc. (the “Company”) for the quarter ended June 30, 2022, as filed with the Securities and Exchange Commission on the date hereof (the “Report”), I, Mark Litton, President and Chief Executive Officer </w:t>
      </w:r>
      <w:r>
        <w:rPr>
          <w:rFonts w:ascii="Arial" w:cs="Arial" w:eastAsia="Arial" w:hAnsi="Arial"/>
          <w:sz w:val="18"/>
          <w:szCs w:val="18"/>
          <w:i w:val="1"/>
          <w:iCs w:val="1"/>
          <w:color w:val="auto"/>
        </w:rPr>
        <w:t>(Principal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190" w:lineRule="exact"/>
        <w:rPr>
          <w:sz w:val="20"/>
          <w:szCs w:val="20"/>
          <w:color w:val="auto"/>
        </w:rPr>
      </w:pPr>
    </w:p>
    <w:p>
      <w:pPr>
        <w:ind w:left="1140" w:hanging="758"/>
        <w:spacing w:after="0"/>
        <w:tabs>
          <w:tab w:leader="none" w:pos="1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1140" w:right="440" w:hanging="758"/>
        <w:spacing w:after="0" w:line="277"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114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Litton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239" w:lineRule="exact"/>
        <w:rPr>
          <w:sz w:val="20"/>
          <w:szCs w:val="20"/>
          <w:color w:val="auto"/>
        </w:rPr>
      </w:pPr>
    </w:p>
    <w:p>
      <w:pPr>
        <w:ind w:right="180" w:firstLine="360"/>
        <w:spacing w:after="0" w:line="303"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 xml:space="preserve">In connection with the Quarterly Report on Form 10-Q of Athira Pharma, Inc. (the “Company”) for the quarter ended June 30, 2022, as filed with the Securities and Exchange Commission on the date hereof (the “Report”), I, Glenna Mileson, Chief Financial Officer </w:t>
      </w:r>
      <w:r>
        <w:rPr>
          <w:rFonts w:ascii="Arial" w:cs="Arial" w:eastAsia="Arial" w:hAnsi="Arial"/>
          <w:sz w:val="18"/>
          <w:szCs w:val="18"/>
          <w:i w:val="1"/>
          <w:iCs w:val="1"/>
          <w:color w:val="auto"/>
        </w:rPr>
        <w:t>(Principal Financial and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82" w:lineRule="exact"/>
        <w:rPr>
          <w:sz w:val="20"/>
          <w:szCs w:val="20"/>
          <w:color w:val="auto"/>
        </w:rPr>
      </w:pPr>
    </w:p>
    <w:p>
      <w:pPr>
        <w:ind w:left="1140" w:hanging="758"/>
        <w:spacing w:after="0"/>
        <w:tabs>
          <w:tab w:leader="none" w:pos="11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140" w:right="440" w:hanging="758"/>
        <w:spacing w:after="0" w:line="277"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60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9" w:lineRule="exact"/>
        <w:rPr>
          <w:sz w:val="20"/>
          <w:szCs w:val="20"/>
          <w:color w:val="auto"/>
        </w:rPr>
      </w:pPr>
    </w:p>
    <w:p>
      <w:pPr>
        <w:ind w:right="180" w:firstLine="360"/>
        <w:spacing w:after="0" w:line="303"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497"/>
    </w:lvl>
  </w:abstractNum>
  <w:abstractNum w:abstractNumId="18">
    <w:nsid w:val="2463B9EA"/>
    <w:multiLevelType w:val="hybridMultilevel"/>
    <w:lvl w:ilvl="0">
      <w:lvlJc w:val="left"/>
      <w:lvlText w:val="%1."/>
      <w:numFmt w:val="decimal"/>
      <w:start w:val="620"/>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lvl w:ilvl="1">
      <w:lvlJc w:val="left"/>
      <w:lvlText w:val="%2"/>
      <w:numFmt w:val="decimal"/>
      <w:start w:val="104"/>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15" Type="http://schemas.openxmlformats.org/officeDocument/2006/relationships/hyperlink" Target="https://www.sec.gov/Archives/edgar/data/0001620463/000156459020053574/atha-ex31_153.htm" TargetMode="External"/><Relationship Id="rId316" Type="http://schemas.openxmlformats.org/officeDocument/2006/relationships/hyperlink" Target="https://www.sec.gov/Archives/edgar/data/0001620463/000156459020053574/atha-ex32_1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2022-08-15T17:11:01Z</dcterms:created>
  <dcterms:modified xsi:type="dcterms:W3CDTF">2022-08-15T17:11:01Z</dcterms:modified>
</cp:coreProperties>
</file>