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4300x2_def14a_100-regcov_pg1"/>
        <w:bookmarkStart w:id="1" w:name="ny20044300x2_def14a.htm"/>
        <w:bookmarkStart w:id="2" w:name="ksny20044300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75" w:after="283"/>
        <w:ind w:left="0" w:right="0" w:hanging="0"/>
        <w:jc w:val="center"/>
        <w:rPr>
          <w:rFonts w:ascii="Arial" w:hAnsi="Arial"/>
          <w:b/>
          <w:color w:val="000000"/>
          <w:sz w:val="26"/>
        </w:rPr>
      </w:pPr>
      <w:r>
        <w:rPr>
          <w:rFonts w:ascii="Arial" w:hAnsi="Arial"/>
          <w:b/>
          <w:color w:val="000000"/>
          <w:sz w:val="26"/>
        </w:rPr>
        <w:t>UNITED STATES</w:t>
      </w:r>
    </w:p>
    <w:p>
      <w:pPr>
        <w:pStyle w:val="TextBody"/>
        <w:bidi w:val="0"/>
        <w:spacing w:before="0" w:after="283"/>
        <w:jc w:val="center"/>
        <w:rPr>
          <w:rFonts w:ascii="Arial" w:hAnsi="Arial"/>
          <w:b/>
          <w:color w:val="000000"/>
          <w:sz w:val="26"/>
        </w:rPr>
      </w:pPr>
      <w:r>
        <w:rPr>
          <w:rFonts w:ascii="Arial" w:hAnsi="Arial"/>
          <w:b/>
          <w:color w:val="000000"/>
          <w:sz w:val="26"/>
        </w:rPr>
        <w:t>SECURITIES AND EXCHANGE COMMISSION</w:t>
      </w:r>
    </w:p>
    <w:p>
      <w:pPr>
        <w:pStyle w:val="TextBody"/>
        <w:bidi w:val="0"/>
        <w:spacing w:before="100" w:after="283"/>
        <w:jc w:val="center"/>
        <w:rPr>
          <w:rFonts w:ascii="Arial" w:hAnsi="Arial"/>
          <w:b/>
          <w:color w:val="000000"/>
          <w:sz w:val="20"/>
        </w:rPr>
      </w:pPr>
      <w:r>
        <w:rPr>
          <w:rFonts w:ascii="Arial" w:hAnsi="Arial"/>
          <w:b/>
          <w:color w:val="000000"/>
          <w:sz w:val="20"/>
        </w:rPr>
        <w:t>Washington, D.C. 20549</w:t>
      </w:r>
    </w:p>
    <w:p>
      <w:pPr>
        <w:pStyle w:val="TextBody"/>
        <w:bidi w:val="0"/>
        <w:spacing w:before="0" w:after="283"/>
        <w:jc w:val="center"/>
        <w:rPr>
          <w:color w:val="000000"/>
        </w:rPr>
      </w:pPr>
      <w:r>
        <w:rPr>
          <w:color w:val="000000"/>
        </w:rPr>
        <w:t> </w:t>
      </w:r>
    </w:p>
    <w:p>
      <w:pPr>
        <w:pStyle w:val="TextBody"/>
        <w:bidi w:val="0"/>
        <w:spacing w:before="0" w:after="283"/>
        <w:jc w:val="center"/>
        <w:rPr>
          <w:rFonts w:ascii="Arial" w:hAnsi="Arial"/>
          <w:b/>
          <w:color w:val="000000"/>
          <w:sz w:val="26"/>
        </w:rPr>
      </w:pPr>
      <w:r>
        <w:rPr>
          <w:rFonts w:ascii="Arial" w:hAnsi="Arial"/>
          <w:b/>
          <w:color w:val="000000"/>
          <w:sz w:val="26"/>
        </w:rPr>
        <w:t>SCHEDULE 14A</w:t>
      </w:r>
    </w:p>
    <w:p>
      <w:pPr>
        <w:pStyle w:val="TextBody"/>
        <w:bidi w:val="0"/>
        <w:spacing w:before="0" w:after="283"/>
        <w:jc w:val="center"/>
        <w:rPr>
          <w:rFonts w:ascii="Arial" w:hAnsi="Arial"/>
          <w:b w:val="false"/>
          <w:color w:val="000000"/>
          <w:sz w:val="18"/>
        </w:rPr>
      </w:pPr>
      <w:r>
        <w:rPr>
          <w:rFonts w:ascii="Arial" w:hAnsi="Arial"/>
          <w:b w:val="false"/>
          <w:color w:val="000000"/>
          <w:sz w:val="18"/>
        </w:rPr>
        <w:t>(Rule 14A-101)</w:t>
      </w:r>
    </w:p>
    <w:p>
      <w:pPr>
        <w:pStyle w:val="TextBody"/>
        <w:bidi w:val="0"/>
        <w:spacing w:before="110" w:after="283"/>
        <w:ind w:left="0" w:right="0" w:hanging="0"/>
        <w:jc w:val="center"/>
        <w:rPr>
          <w:rFonts w:ascii="Arial" w:hAnsi="Arial"/>
          <w:b/>
          <w:color w:val="000000"/>
          <w:sz w:val="20"/>
        </w:rPr>
      </w:pPr>
      <w:r>
        <w:rPr>
          <w:rFonts w:ascii="Arial" w:hAnsi="Arial"/>
          <w:b/>
          <w:color w:val="000000"/>
          <w:sz w:val="20"/>
        </w:rPr>
        <w:t xml:space="preserve">PROXY STATEMENT PURSUANT TO SECTION 14(a) OF THE </w:t>
      </w:r>
    </w:p>
    <w:p>
      <w:pPr>
        <w:pStyle w:val="TextBody"/>
        <w:bidi w:val="0"/>
        <w:spacing w:before="0" w:after="283"/>
        <w:jc w:val="center"/>
        <w:rPr>
          <w:rFonts w:ascii="Arial" w:hAnsi="Arial"/>
          <w:b/>
          <w:color w:val="000000"/>
          <w:sz w:val="20"/>
        </w:rPr>
      </w:pPr>
      <w:r>
        <w:rPr>
          <w:rFonts w:ascii="Arial" w:hAnsi="Arial"/>
          <w:b/>
          <w:color w:val="000000"/>
          <w:sz w:val="20"/>
        </w:rPr>
        <w:t xml:space="preserve">SECURITIES EXCHANGE ACT OF 1934 </w:t>
      </w:r>
    </w:p>
    <w:p>
      <w:pPr>
        <w:pStyle w:val="TextBody"/>
        <w:bidi w:val="0"/>
        <w:spacing w:before="150" w:after="283"/>
        <w:ind w:left="0" w:right="0" w:hanging="0"/>
        <w:jc w:val="left"/>
        <w:rPr>
          <w:rFonts w:ascii="Arial" w:hAnsi="Arial"/>
          <w:color w:val="000000"/>
          <w:sz w:val="18"/>
        </w:rPr>
      </w:pPr>
      <w:r>
        <w:rPr>
          <w:rFonts w:ascii="Arial" w:hAnsi="Arial"/>
          <w:color w:val="000000"/>
          <w:sz w:val="18"/>
        </w:rPr>
        <w:t xml:space="preserve">Filed by the Registrant ☒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Filed by a Party other than the Registrant  ☐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Check the appropriate box: </w:t>
      </w:r>
    </w:p>
    <w:p>
      <w:pPr>
        <w:pStyle w:val="TextBody"/>
        <w:bidi w:val="0"/>
        <w:spacing w:before="170" w:after="283"/>
        <w:ind w:left="0" w:right="0" w:hanging="0"/>
        <w:jc w:val="left"/>
        <w:rPr>
          <w:color w:val="000000"/>
        </w:rPr>
      </w:pPr>
      <w:r>
        <w:rPr>
          <w:color w:val="000000"/>
        </w:rPr>
        <w:t>  ☐  </w:t>
      </w:r>
      <w:r>
        <w:rPr>
          <w:rFonts w:ascii="Arial" w:hAnsi="Arial"/>
          <w:color w:val="000000"/>
          <w:sz w:val="18"/>
        </w:rPr>
        <w:t xml:space="preserve">Preliminary Proxy Statement </w:t>
      </w:r>
    </w:p>
    <w:p>
      <w:pPr>
        <w:pStyle w:val="TextBody"/>
        <w:bidi w:val="0"/>
        <w:spacing w:before="110" w:after="283"/>
        <w:ind w:left="0" w:right="0" w:hanging="0"/>
        <w:jc w:val="left"/>
        <w:rPr>
          <w:color w:val="000000"/>
        </w:rPr>
      </w:pPr>
      <w:r>
        <w:rPr>
          <w:color w:val="000000"/>
        </w:rPr>
        <w:t>  ☐  </w:t>
      </w:r>
      <w:r>
        <w:rPr>
          <w:rFonts w:ascii="Arial" w:hAnsi="Arial"/>
          <w:b/>
          <w:color w:val="000000"/>
          <w:sz w:val="18"/>
        </w:rPr>
        <w:t>Confidential, for Use of the Commission Only (as permitted by Rule 14a-6(e)(2))</w:t>
      </w:r>
      <w:r>
        <w:rPr>
          <w:rFonts w:ascii="Arial" w:hAnsi="Arial"/>
          <w:color w:val="000000"/>
          <w:sz w:val="18"/>
        </w:rPr>
        <w:t xml:space="preserve"> </w:t>
      </w:r>
    </w:p>
    <w:p>
      <w:pPr>
        <w:pStyle w:val="TextBody"/>
        <w:bidi w:val="0"/>
        <w:spacing w:before="110" w:after="283"/>
        <w:ind w:left="0" w:right="0" w:hanging="0"/>
        <w:jc w:val="left"/>
        <w:rPr>
          <w:color w:val="000000"/>
        </w:rPr>
      </w:pPr>
      <w:r>
        <w:rPr>
          <w:color w:val="000000"/>
        </w:rPr>
        <w:t> ☒  </w:t>
      </w:r>
      <w:r>
        <w:rPr>
          <w:rFonts w:ascii="Arial" w:hAnsi="Arial"/>
          <w:color w:val="000000"/>
          <w:sz w:val="18"/>
        </w:rPr>
        <w:t xml:space="preserve">Definitive Proxy Statement </w:t>
      </w:r>
    </w:p>
    <w:p>
      <w:pPr>
        <w:pStyle w:val="TextBody"/>
        <w:bidi w:val="0"/>
        <w:spacing w:before="110" w:after="283"/>
        <w:ind w:left="0" w:right="0" w:hanging="0"/>
        <w:jc w:val="left"/>
        <w:rPr>
          <w:color w:val="000000"/>
        </w:rPr>
      </w:pPr>
      <w:r>
        <w:rPr>
          <w:color w:val="000000"/>
        </w:rPr>
        <w:t>  ☐  </w:t>
      </w:r>
      <w:r>
        <w:rPr>
          <w:rFonts w:ascii="Arial" w:hAnsi="Arial"/>
          <w:color w:val="000000"/>
          <w:sz w:val="18"/>
        </w:rPr>
        <w:t xml:space="preserve">Definitive Additional Materials </w:t>
      </w:r>
    </w:p>
    <w:p>
      <w:pPr>
        <w:pStyle w:val="TextBody"/>
        <w:bidi w:val="0"/>
        <w:spacing w:before="110" w:after="283"/>
        <w:ind w:left="0" w:right="0" w:hanging="0"/>
        <w:jc w:val="left"/>
        <w:rPr>
          <w:color w:val="000000"/>
        </w:rPr>
      </w:pPr>
      <w:r>
        <w:rPr>
          <w:color w:val="000000"/>
        </w:rPr>
        <w:t>  ☐  </w:t>
      </w:r>
      <w:r>
        <w:rPr>
          <w:rFonts w:ascii="Arial" w:hAnsi="Arial"/>
          <w:color w:val="000000"/>
          <w:sz w:val="18"/>
        </w:rPr>
        <w:t xml:space="preserve">Soliciting Material under §240.14a-12 </w:t>
      </w:r>
    </w:p>
    <w:p>
      <w:pPr>
        <w:pStyle w:val="TextBody"/>
        <w:bidi w:val="0"/>
        <w:spacing w:before="250" w:after="283"/>
        <w:jc w:val="center"/>
        <w:rPr>
          <w:rFonts w:ascii="Arial" w:hAnsi="Arial"/>
          <w:b/>
          <w:color w:val="000000"/>
          <w:sz w:val="26"/>
        </w:rPr>
      </w:pPr>
      <w:r>
        <w:rPr>
          <w:rFonts w:ascii="Arial" w:hAnsi="Arial"/>
          <w:b/>
          <w:color w:val="000000"/>
          <w:sz w:val="26"/>
        </w:rPr>
        <w:t xml:space="preserve">ATHIRA PHARMA, INC. </w:t>
      </w:r>
    </w:p>
    <w:p>
      <w:pPr>
        <w:pStyle w:val="TextBody"/>
        <w:bidi w:val="0"/>
        <w:spacing w:before="50" w:after="283"/>
        <w:jc w:val="center"/>
        <w:rPr>
          <w:rFonts w:ascii="Arial" w:hAnsi="Arial"/>
          <w:b/>
          <w:color w:val="000000"/>
          <w:sz w:val="18"/>
        </w:rPr>
      </w:pPr>
      <w:r>
        <w:rPr>
          <w:rFonts w:ascii="Arial" w:hAnsi="Arial"/>
          <w:b/>
          <w:color w:val="000000"/>
          <w:sz w:val="18"/>
        </w:rPr>
        <w:t xml:space="preserve">(Name of Registrant as Specified in its Charter) </w:t>
      </w:r>
    </w:p>
    <w:p>
      <w:pPr>
        <w:pStyle w:val="TextBody"/>
        <w:bidi w:val="0"/>
        <w:spacing w:before="10" w:after="283"/>
        <w:jc w:val="center"/>
        <w:rPr>
          <w:rFonts w:ascii="Arial" w:hAnsi="Arial"/>
          <w:b/>
          <w:color w:val="000000"/>
          <w:sz w:val="20"/>
        </w:rPr>
      </w:pPr>
      <w:r>
        <w:rPr>
          <w:rFonts w:ascii="Arial" w:hAnsi="Arial"/>
          <w:b/>
          <w:color w:val="000000"/>
          <w:sz w:val="20"/>
        </w:rPr>
        <w:t xml:space="preserve">(Name of Person(s) Filing Proxy Statement, if other than the Registrant) </w:t>
      </w:r>
    </w:p>
    <w:p>
      <w:pPr>
        <w:pStyle w:val="TextBody"/>
        <w:bidi w:val="0"/>
        <w:spacing w:before="170" w:after="283"/>
        <w:ind w:left="0" w:right="0" w:hanging="0"/>
        <w:jc w:val="left"/>
        <w:rPr>
          <w:rFonts w:ascii="Arial" w:hAnsi="Arial"/>
          <w:color w:val="000000"/>
          <w:sz w:val="18"/>
        </w:rPr>
      </w:pPr>
      <w:r>
        <w:rPr>
          <w:rFonts w:ascii="Arial" w:hAnsi="Arial"/>
          <w:color w:val="000000"/>
          <w:sz w:val="18"/>
        </w:rPr>
        <w:t>Payment of Filing Fee (Check all boxes that apply):</w:t>
      </w:r>
    </w:p>
    <w:p>
      <w:pPr>
        <w:pStyle w:val="TextBody"/>
        <w:bidi w:val="0"/>
        <w:spacing w:before="170" w:after="283"/>
        <w:ind w:left="0" w:right="0" w:hanging="0"/>
        <w:jc w:val="left"/>
        <w:rPr>
          <w:color w:val="000000"/>
        </w:rPr>
      </w:pPr>
      <w:r>
        <w:rPr>
          <w:color w:val="000000"/>
        </w:rPr>
        <w:t> ☒  </w:t>
      </w:r>
      <w:r>
        <w:rPr>
          <w:rFonts w:ascii="Arial" w:hAnsi="Arial"/>
          <w:color w:val="000000"/>
          <w:sz w:val="18"/>
        </w:rPr>
        <w:t xml:space="preserve">No fee required </w:t>
      </w:r>
    </w:p>
    <w:p>
      <w:pPr>
        <w:pStyle w:val="TextBody"/>
        <w:bidi w:val="0"/>
        <w:spacing w:before="110" w:after="283"/>
        <w:ind w:left="0" w:right="0" w:hanging="0"/>
        <w:jc w:val="left"/>
        <w:rPr>
          <w:color w:val="000000"/>
        </w:rPr>
      </w:pPr>
      <w:r>
        <w:rPr>
          <w:color w:val="000000"/>
        </w:rPr>
        <w:t>  ☐  </w:t>
      </w:r>
      <w:r>
        <w:rPr>
          <w:rFonts w:ascii="Arial" w:hAnsi="Arial"/>
          <w:color w:val="000000"/>
          <w:sz w:val="18"/>
        </w:rPr>
        <w:t xml:space="preserve">Fee paid previously with preliminary materials </w:t>
      </w:r>
    </w:p>
    <w:p>
      <w:pPr>
        <w:pStyle w:val="TextBody"/>
        <w:bidi w:val="0"/>
        <w:spacing w:before="110" w:after="283"/>
        <w:ind w:left="0" w:right="0" w:hanging="0"/>
        <w:jc w:val="left"/>
        <w:rPr>
          <w:color w:val="000000"/>
        </w:rPr>
      </w:pPr>
      <w:r>
        <w:rPr>
          <w:color w:val="000000"/>
        </w:rPr>
        <w:t>  ☐  </w:t>
      </w:r>
      <w:r>
        <w:rPr>
          <w:rFonts w:ascii="Arial" w:hAnsi="Arial"/>
          <w:color w:val="000000"/>
          <w:sz w:val="18"/>
        </w:rPr>
        <w:t xml:space="preserve">Fee computed on table in exhibit required by Item 25(b) per Exchange Act Rules 14a-6(i)(1) and 0-11 </w:t>
      </w:r>
    </w:p>
    <w:p>
      <w:pPr>
        <w:pStyle w:val="HorizontalLine"/>
        <w:bidi w:val="0"/>
        <w:spacing w:before="200" w:after="200"/>
        <w:jc w:val="left"/>
        <w:rPr/>
      </w:pPr>
      <w:r>
        <w:rPr/>
      </w:r>
    </w:p>
    <w:p>
      <w:pPr>
        <w:pStyle w:val="TextBody"/>
        <w:bidi w:val="0"/>
        <w:jc w:val="left"/>
        <w:rPr/>
      </w:pPr>
      <w:hyperlink w:anchor="TOC">
        <w:bookmarkStart w:id="3" w:name="ny20044300x2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99" w:after="283"/>
        <w:ind w:left="0" w:right="0" w:hanging="0"/>
        <w:jc w:val="center"/>
        <w:rPr>
          <w:color w:val="000000"/>
        </w:rPr>
      </w:pPr>
      <w:r>
        <w:rPr>
          <w:color w:val="000000"/>
        </w:rPr>
        <w:drawing>
          <wp:inline distT="0" distB="0" distL="0" distR="0">
            <wp:extent cx="7467600" cy="10048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67600" cy="10048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4" w:name="ny20044300x2_def14a_102-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15621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6210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April 14, 2025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Dear Fellow Stockholders: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We are pleased to invite you to attend the 2025 annual meeting of stockholders (together with any postponement, adjournments or other delays thereof, the “Annual Meeting”) of Athira Pharma, Inc. (the “Company”). The Annual Meeting will be held on May 29, 2025, at 8:00 a.m., Pacific Time. The Annual Meeting will be conducted virtually via live audio webcast. You will be able to attend the Annual Meeting virtually by visiting www.virtualshareholdermeeting.com/ATHA2025, where you will be able to listen to the meeting live, submit questions and vote online.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The attached formal meeting notice and proxy statement contain details of the business to be conducted at the Annual Meeting.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Your vote is important. Whether or not you attend the Annual Meeting virtually, it is important that your shares be represented and voted at the Annual Meeting. Therefore, we urge you to vote and submit your proxy promptly via the internet, telephone or mail.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On behalf of our board of directors, we would like to express our appreciation for your continued support of and interest in the Company. </w:t>
      </w:r>
    </w:p>
    <w:p>
      <w:pPr>
        <w:pStyle w:val="TextBody"/>
        <w:bidi w:val="0"/>
        <w:spacing w:before="240" w:after="283"/>
        <w:ind w:left="0" w:right="0" w:hanging="0"/>
        <w:jc w:val="left"/>
        <w:rPr>
          <w:rFonts w:ascii="Arial" w:hAnsi="Arial"/>
          <w:color w:val="000000"/>
          <w:sz w:val="18"/>
        </w:rPr>
      </w:pPr>
      <w:r>
        <w:rPr>
          <w:rFonts w:ascii="Arial" w:hAnsi="Arial"/>
          <w:color w:val="000000"/>
          <w:sz w:val="18"/>
        </w:rPr>
        <w:t>Sincerely,</w:t>
      </w:r>
    </w:p>
    <w:p>
      <w:pPr>
        <w:pStyle w:val="TextBody"/>
        <w:bidi w:val="0"/>
        <w:spacing w:before="0" w:after="283"/>
        <w:ind w:left="0" w:right="0" w:hanging="0"/>
        <w:jc w:val="left"/>
        <w:rPr>
          <w:color w:val="000000"/>
        </w:rPr>
      </w:pPr>
      <w:r>
        <w:rPr>
          <w:color w:val="000000"/>
        </w:rPr>
        <w:t> </w:t>
      </w:r>
    </w:p>
    <w:p>
      <w:pPr>
        <w:pStyle w:val="TextBody"/>
        <w:bidi w:val="0"/>
        <w:spacing w:before="360" w:after="283"/>
        <w:ind w:left="0" w:right="0" w:hanging="0"/>
        <w:jc w:val="left"/>
        <w:rPr>
          <w:color w:val="000000"/>
        </w:rPr>
      </w:pPr>
      <w:r>
        <w:rPr>
          <w:color w:val="000000"/>
        </w:rPr>
        <w:drawing>
          <wp:inline distT="0" distB="0" distL="0" distR="0">
            <wp:extent cx="80010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0100" cy="371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xml:space="preserve">  </w:t>
      </w:r>
    </w:p>
    <w:p>
      <w:pPr>
        <w:pStyle w:val="TextBody"/>
        <w:bidi w:val="0"/>
        <w:spacing w:before="40" w:after="283"/>
        <w:ind w:left="0" w:right="0" w:hanging="0"/>
        <w:jc w:val="left"/>
        <w:rPr>
          <w:rFonts w:ascii="Arial" w:hAnsi="Arial"/>
          <w:b/>
          <w:color w:val="255993"/>
          <w:sz w:val="18"/>
        </w:rPr>
      </w:pPr>
      <w:r>
        <w:rPr>
          <w:rFonts w:ascii="Arial" w:hAnsi="Arial"/>
          <w:b/>
          <w:color w:val="255993"/>
          <w:sz w:val="18"/>
        </w:rPr>
        <w:t xml:space="preserve">Mark J. Litton, Ph.D.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President and Chief Executive Officer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Athira Pharma, Inc. </w:t>
      </w:r>
    </w:p>
    <w:p>
      <w:pPr>
        <w:pStyle w:val="HorizontalLine"/>
        <w:bidi w:val="0"/>
        <w:spacing w:before="200" w:after="200"/>
        <w:jc w:val="left"/>
        <w:rPr/>
      </w:pPr>
      <w:r>
        <w:rPr/>
      </w:r>
    </w:p>
    <w:p>
      <w:pPr>
        <w:pStyle w:val="TextBody"/>
        <w:bidi w:val="0"/>
        <w:jc w:val="left"/>
        <w:rPr/>
      </w:pPr>
      <w:hyperlink w:anchor="TOC">
        <w:bookmarkStart w:id="5" w:name="ny20044300x2_def14a_103-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color w:val="000000"/>
        </w:rPr>
      </w:pPr>
      <w:r>
        <w:rPr>
          <w:color w:val="000000"/>
        </w:rPr>
        <w:drawing>
          <wp:inline distT="0" distB="0" distL="0" distR="0">
            <wp:extent cx="1562100" cy="723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6210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Arial" w:hAnsi="Arial"/>
          <w:b/>
          <w:color w:val="F8991D"/>
          <w:sz w:val="22"/>
        </w:rPr>
      </w:pPr>
      <w:r>
        <w:rPr>
          <w:rFonts w:ascii="Arial" w:hAnsi="Arial"/>
          <w:b/>
          <w:color w:val="F8991D"/>
          <w:sz w:val="22"/>
        </w:rPr>
        <w:t>NOTICE OF 2025</w:t>
      </w:r>
    </w:p>
    <w:p>
      <w:pPr>
        <w:pStyle w:val="TextBody"/>
        <w:bidi w:val="0"/>
        <w:spacing w:before="80" w:after="283"/>
        <w:ind w:left="0" w:right="0" w:hanging="0"/>
        <w:jc w:val="left"/>
        <w:rPr>
          <w:rFonts w:ascii="Times;Georgia" w:hAnsi="Times;Georgia"/>
          <w:color w:val="255993"/>
          <w:sz w:val="64"/>
        </w:rPr>
      </w:pPr>
      <w:r>
        <w:rPr>
          <w:rFonts w:ascii="Times;Georgia" w:hAnsi="Times;Georgia"/>
          <w:color w:val="255993"/>
          <w:sz w:val="64"/>
        </w:rPr>
        <w:t xml:space="preserve">Annual Meeting </w:t>
      </w:r>
    </w:p>
    <w:p>
      <w:pPr>
        <w:pStyle w:val="TextBody"/>
        <w:bidi w:val="0"/>
        <w:spacing w:before="0" w:after="283"/>
        <w:ind w:left="0" w:right="0" w:hanging="0"/>
        <w:jc w:val="left"/>
        <w:rPr>
          <w:rFonts w:ascii="Times;Georgia" w:hAnsi="Times;Georgia"/>
          <w:color w:val="255993"/>
          <w:sz w:val="64"/>
        </w:rPr>
      </w:pPr>
      <w:r>
        <w:rPr>
          <w:rFonts w:ascii="Times;Georgia" w:hAnsi="Times;Georgia"/>
          <w:color w:val="255993"/>
          <w:sz w:val="64"/>
        </w:rPr>
        <w:t xml:space="preserve">of Stockholders </w:t>
      </w:r>
    </w:p>
    <w:p>
      <w:pPr>
        <w:pStyle w:val="HorizontalLine"/>
        <w:bidi w:val="0"/>
        <w:spacing w:before="200" w:after="200"/>
        <w:jc w:val="left"/>
        <w:rPr/>
      </w:pPr>
      <w:r>
        <w:rPr/>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1066800" cy="8175625"/>
                <wp:effectExtent l="0" t="0" r="0" b="0"/>
                <wp:wrapSquare wrapText="right"/>
                <wp:docPr id="5" name="Frame1"/>
                <a:graphic xmlns:a="http://schemas.openxmlformats.org/drawingml/2006/main">
                  <a:graphicData uri="http://schemas.microsoft.com/office/word/2010/wordprocessingShape">
                    <wps:wsp>
                      <wps:cNvSpPr txBox="1"/>
                      <wps:spPr>
                        <a:xfrm>
                          <a:off x="0" y="0"/>
                          <a:ext cx="1066800" cy="8175625"/>
                        </a:xfrm>
                        <a:prstGeom prst="rect"/>
                        <a:solidFill>
                          <a:srgbClr val="FFFFFF"/>
                        </a:solidFill>
                      </wps:spPr>
                      <wps:txbx>
                        <w:txbxContent>
                          <w:tbl>
                            <w:tblPr>
                              <w:tblW w:w="1100" w:type="dxa"/>
                              <w:jc w:val="left"/>
                              <w:tblInd w:w="0" w:type="dxa"/>
                              <w:tblLayout w:type="fixed"/>
                              <w:tblCellMar>
                                <w:top w:w="0" w:type="dxa"/>
                                <w:left w:w="0" w:type="dxa"/>
                                <w:bottom w:w="0" w:type="dxa"/>
                                <w:right w:w="0" w:type="dxa"/>
                              </w:tblCellMar>
                            </w:tblPr>
                            <w:tblGrid>
                              <w:gridCol w:w="1100"/>
                            </w:tblGrid>
                            <w:tr>
                              <w:trPr/>
                              <w:tc>
                                <w:tcPr>
                                  <w:tcW w:w="1100" w:type="dxa"/>
                                  <w:tcBorders/>
                                  <w:vAlign w:val="center"/>
                                </w:tcPr>
                                <w:p>
                                  <w:pPr>
                                    <w:pStyle w:val="TableContents"/>
                                    <w:bidi w:val="0"/>
                                    <w:spacing w:before="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Meeting Date: </w:t>
                                  </w:r>
                                </w:p>
                              </w:tc>
                            </w:tr>
                            <w:tr>
                              <w:trPr/>
                              <w:tc>
                                <w:tcPr>
                                  <w:tcW w:w="110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333375" cy="3143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3333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10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May 29, 2025</w:t>
                                  </w:r>
                                </w:p>
                              </w:tc>
                            </w:tr>
                            <w:tr>
                              <w:trPr/>
                              <w:tc>
                                <w:tcPr>
                                  <w:tcW w:w="1100" w:type="dxa"/>
                                  <w:tcBorders/>
                                  <w:vAlign w:val="center"/>
                                </w:tcPr>
                                <w:p>
                                  <w:pPr>
                                    <w:pStyle w:val="TableContents"/>
                                    <w:bidi w:val="0"/>
                                    <w:spacing w:before="0" w:after="0"/>
                                    <w:jc w:val="left"/>
                                    <w:rPr/>
                                  </w:pPr>
                                  <w:r>
                                    <w:rPr/>
                                    <w:t> </w:t>
                                  </w:r>
                                </w:p>
                              </w:tc>
                            </w:tr>
                          </w:tbl>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6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Meeting Time: </w:t>
                                  </w:r>
                                </w:p>
                              </w:tc>
                            </w:tr>
                            <w:tr>
                              <w:trPr/>
                              <w:tc>
                                <w:tcPr>
                                  <w:tcW w:w="101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295275" cy="33337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295275"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01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8:00 a.m.,</w:t>
                                  </w:r>
                                </w:p>
                                <w:p>
                                  <w:pPr>
                                    <w:pStyle w:val="TableContents"/>
                                    <w:bidi w:val="0"/>
                                    <w:spacing w:before="0" w:after="283"/>
                                    <w:ind w:left="0" w:right="0" w:hanging="0"/>
                                    <w:jc w:val="left"/>
                                    <w:rPr>
                                      <w:rFonts w:ascii="Arial" w:hAnsi="Arial"/>
                                      <w:color w:val="000000"/>
                                      <w:sz w:val="16"/>
                                    </w:rPr>
                                  </w:pPr>
                                  <w:r>
                                    <w:rPr>
                                      <w:rFonts w:ascii="Arial" w:hAnsi="Arial"/>
                                      <w:color w:val="000000"/>
                                      <w:sz w:val="16"/>
                                    </w:rPr>
                                    <w:t>Pacific Time</w:t>
                                  </w:r>
                                </w:p>
                              </w:tc>
                            </w:tr>
                            <w:tr>
                              <w:trPr/>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pPr>
                                  <w:r>
                                    <w:rPr/>
                                    <w:t> </w:t>
                                  </w:r>
                                </w:p>
                              </w:tc>
                            </w:tr>
                            <w:tr>
                              <w:trPr/>
                              <w:tc>
                                <w:tcPr>
                                  <w:tcW w:w="10205" w:type="dxa"/>
                                  <w:tcBorders/>
                                  <w:vAlign w:val="center"/>
                                </w:tcPr>
                                <w:p>
                                  <w:pPr>
                                    <w:pStyle w:val="TableContents"/>
                                    <w:bidi w:val="0"/>
                                    <w:spacing w:before="6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Meeting Location: </w:t>
                                  </w:r>
                                </w:p>
                              </w:tc>
                            </w:tr>
                            <w:tr>
                              <w:trPr/>
                              <w:tc>
                                <w:tcPr>
                                  <w:tcW w:w="10205"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228600" cy="33337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2286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0205"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The Annual Meeting will be conducted virtually via live audio webcast. You will be able to attend the Annual Meeting virtually by visiting www.virtualshareholder meeting.com/ATHA2025, where you will be able to listen to the meeting live, submit questions and vote online during the meeting.</w:t>
                                  </w:r>
                                </w:p>
                              </w:tc>
                            </w:tr>
                            <w:tr>
                              <w:trPr/>
                              <w:tc>
                                <w:tcPr>
                                  <w:tcW w:w="10205" w:type="dxa"/>
                                  <w:tcBorders/>
                                  <w:vAlign w:val="center"/>
                                </w:tcPr>
                                <w:p>
                                  <w:pPr>
                                    <w:pStyle w:val="TableContents"/>
                                    <w:bidi w:val="0"/>
                                    <w:spacing w:before="0" w:after="0"/>
                                    <w:jc w:val="left"/>
                                    <w:rPr/>
                                  </w:pPr>
                                  <w:r>
                                    <w:rPr/>
                                    <w:t> </w:t>
                                  </w:r>
                                </w:p>
                              </w:tc>
                            </w:tr>
                          </w:tbl>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6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Record Date: </w:t>
                                  </w:r>
                                </w:p>
                              </w:tc>
                            </w:tr>
                            <w:tr>
                              <w:trPr/>
                              <w:tc>
                                <w:tcPr>
                                  <w:tcW w:w="101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333375" cy="3143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3333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01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April 4, 2025</w:t>
                                  </w:r>
                                </w:p>
                              </w:tc>
                            </w:tr>
                            <w:tr>
                              <w:trPr/>
                              <w:tc>
                                <w:tcPr>
                                  <w:tcW w:w="101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84pt;height:643.75pt;mso-wrap-distance-left:0pt;mso-wrap-distance-right:0pt;mso-wrap-distance-top:0pt;mso-wrap-distance-bottom:0pt;margin-top:0pt;mso-position-vertical:top;mso-position-vertical-relative:text;margin-left:0pt;mso-position-horizontal:left;mso-position-horizontal-relative:text">
                <v:textbox>
                  <w:txbxContent>
                    <w:tbl>
                      <w:tblPr>
                        <w:tblW w:w="1100" w:type="dxa"/>
                        <w:jc w:val="left"/>
                        <w:tblInd w:w="0" w:type="dxa"/>
                        <w:tblLayout w:type="fixed"/>
                        <w:tblCellMar>
                          <w:top w:w="0" w:type="dxa"/>
                          <w:left w:w="0" w:type="dxa"/>
                          <w:bottom w:w="0" w:type="dxa"/>
                          <w:right w:w="0" w:type="dxa"/>
                        </w:tblCellMar>
                      </w:tblPr>
                      <w:tblGrid>
                        <w:gridCol w:w="1100"/>
                      </w:tblGrid>
                      <w:tr>
                        <w:trPr/>
                        <w:tc>
                          <w:tcPr>
                            <w:tcW w:w="1100" w:type="dxa"/>
                            <w:tcBorders/>
                            <w:vAlign w:val="center"/>
                          </w:tcPr>
                          <w:p>
                            <w:pPr>
                              <w:pStyle w:val="TableContents"/>
                              <w:bidi w:val="0"/>
                              <w:spacing w:before="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Meeting Date: </w:t>
                            </w:r>
                          </w:p>
                        </w:tc>
                      </w:tr>
                      <w:tr>
                        <w:trPr/>
                        <w:tc>
                          <w:tcPr>
                            <w:tcW w:w="110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333375" cy="3143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10"/>
                                          <a:stretch>
                                            <a:fillRect/>
                                          </a:stretch>
                                        </pic:blipFill>
                                        <pic:spPr bwMode="auto">
                                          <a:xfrm>
                                            <a:off x="0" y="0"/>
                                            <a:ext cx="3333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10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May 29, 2025</w:t>
                            </w:r>
                          </w:p>
                        </w:tc>
                      </w:tr>
                      <w:tr>
                        <w:trPr/>
                        <w:tc>
                          <w:tcPr>
                            <w:tcW w:w="1100" w:type="dxa"/>
                            <w:tcBorders/>
                            <w:vAlign w:val="center"/>
                          </w:tcPr>
                          <w:p>
                            <w:pPr>
                              <w:pStyle w:val="TableContents"/>
                              <w:bidi w:val="0"/>
                              <w:spacing w:before="0" w:after="0"/>
                              <w:jc w:val="left"/>
                              <w:rPr/>
                            </w:pPr>
                            <w:r>
                              <w:rPr/>
                              <w:t> </w:t>
                            </w:r>
                          </w:p>
                        </w:tc>
                      </w:tr>
                    </w:tbl>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6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Meeting Time: </w:t>
                            </w:r>
                          </w:p>
                        </w:tc>
                      </w:tr>
                      <w:tr>
                        <w:trPr/>
                        <w:tc>
                          <w:tcPr>
                            <w:tcW w:w="101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295275" cy="3333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11"/>
                                          <a:stretch>
                                            <a:fillRect/>
                                          </a:stretch>
                                        </pic:blipFill>
                                        <pic:spPr bwMode="auto">
                                          <a:xfrm>
                                            <a:off x="0" y="0"/>
                                            <a:ext cx="295275"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01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8:00 a.m.,</w:t>
                            </w:r>
                          </w:p>
                          <w:p>
                            <w:pPr>
                              <w:pStyle w:val="TableContents"/>
                              <w:bidi w:val="0"/>
                              <w:spacing w:before="0" w:after="283"/>
                              <w:ind w:left="0" w:right="0" w:hanging="0"/>
                              <w:jc w:val="left"/>
                              <w:rPr>
                                <w:rFonts w:ascii="Arial" w:hAnsi="Arial"/>
                                <w:color w:val="000000"/>
                                <w:sz w:val="16"/>
                              </w:rPr>
                            </w:pPr>
                            <w:r>
                              <w:rPr>
                                <w:rFonts w:ascii="Arial" w:hAnsi="Arial"/>
                                <w:color w:val="000000"/>
                                <w:sz w:val="16"/>
                              </w:rPr>
                              <w:t>Pacific Time</w:t>
                            </w:r>
                          </w:p>
                        </w:tc>
                      </w:tr>
                      <w:tr>
                        <w:trPr/>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pPr>
                            <w:r>
                              <w:rPr/>
                              <w:t> </w:t>
                            </w:r>
                          </w:p>
                        </w:tc>
                      </w:tr>
                      <w:tr>
                        <w:trPr/>
                        <w:tc>
                          <w:tcPr>
                            <w:tcW w:w="10205" w:type="dxa"/>
                            <w:tcBorders/>
                            <w:vAlign w:val="center"/>
                          </w:tcPr>
                          <w:p>
                            <w:pPr>
                              <w:pStyle w:val="TableContents"/>
                              <w:bidi w:val="0"/>
                              <w:spacing w:before="6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Meeting Location: </w:t>
                            </w:r>
                          </w:p>
                        </w:tc>
                      </w:tr>
                      <w:tr>
                        <w:trPr/>
                        <w:tc>
                          <w:tcPr>
                            <w:tcW w:w="10205"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228600" cy="3333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2"/>
                                          <a:stretch>
                                            <a:fillRect/>
                                          </a:stretch>
                                        </pic:blipFill>
                                        <pic:spPr bwMode="auto">
                                          <a:xfrm>
                                            <a:off x="0" y="0"/>
                                            <a:ext cx="2286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0205"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The Annual Meeting will be conducted virtually via live audio webcast. You will be able to attend the Annual Meeting virtually by visiting www.virtualshareholder meeting.com/ATHA2025, where you will be able to listen to the meeting live, submit questions and vote online during the meeting.</w:t>
                            </w:r>
                          </w:p>
                        </w:tc>
                      </w:tr>
                      <w:tr>
                        <w:trPr/>
                        <w:tc>
                          <w:tcPr>
                            <w:tcW w:w="10205" w:type="dxa"/>
                            <w:tcBorders/>
                            <w:vAlign w:val="center"/>
                          </w:tcPr>
                          <w:p>
                            <w:pPr>
                              <w:pStyle w:val="TableContents"/>
                              <w:bidi w:val="0"/>
                              <w:spacing w:before="0" w:after="0"/>
                              <w:jc w:val="left"/>
                              <w:rPr/>
                            </w:pPr>
                            <w:r>
                              <w:rPr/>
                              <w:t> </w:t>
                            </w:r>
                          </w:p>
                        </w:tc>
                      </w:tr>
                    </w:tbl>
                    <w:tbl>
                      <w:tblPr>
                        <w:tblW w:w="1010" w:type="dxa"/>
                        <w:jc w:val="left"/>
                        <w:tblInd w:w="0" w:type="dxa"/>
                        <w:tblLayout w:type="fixed"/>
                        <w:tblCellMar>
                          <w:top w:w="0" w:type="dxa"/>
                          <w:left w:w="0" w:type="dxa"/>
                          <w:bottom w:w="0" w:type="dxa"/>
                          <w:right w:w="0" w:type="dxa"/>
                        </w:tblCellMar>
                      </w:tblPr>
                      <w:tblGrid>
                        <w:gridCol w:w="1010"/>
                      </w:tblGrid>
                      <w:tr>
                        <w:trPr/>
                        <w:tc>
                          <w:tcPr>
                            <w:tcW w:w="1010" w:type="dxa"/>
                            <w:tcBorders/>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60" w:after="283"/>
                              <w:ind w:left="0" w:right="0" w:hanging="0"/>
                              <w:jc w:val="left"/>
                              <w:rPr>
                                <w:rFonts w:ascii="Arial" w:hAnsi="Arial"/>
                                <w:color w:val="000000"/>
                                <w:sz w:val="14"/>
                                <w:bdr w:val="single" w:sz="8" w:space="4" w:color="F8991D"/>
                              </w:rPr>
                            </w:pPr>
                            <w:r>
                              <w:rPr>
                                <w:rFonts w:ascii="Arial" w:hAnsi="Arial"/>
                                <w:color w:val="000000"/>
                                <w:sz w:val="14"/>
                                <w:bdr w:val="single" w:sz="8" w:space="4" w:color="F8991D"/>
                              </w:rPr>
                              <w:t xml:space="preserve">Record Date: </w:t>
                            </w:r>
                          </w:p>
                        </w:tc>
                      </w:tr>
                      <w:tr>
                        <w:trPr/>
                        <w:tc>
                          <w:tcPr>
                            <w:tcW w:w="101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333375" cy="3143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3"/>
                                          <a:stretch>
                                            <a:fillRect/>
                                          </a:stretch>
                                        </pic:blipFill>
                                        <pic:spPr bwMode="auto">
                                          <a:xfrm>
                                            <a:off x="0" y="0"/>
                                            <a:ext cx="3333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01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April 4, 2025</w:t>
                            </w:r>
                          </w:p>
                        </w:tc>
                      </w:tr>
                      <w:tr>
                        <w:trPr/>
                        <w:tc>
                          <w:tcPr>
                            <w:tcW w:w="1010"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41">
                <wp:simplePos x="0" y="0"/>
                <wp:positionH relativeFrom="column">
                  <wp:align>left</wp:align>
                </wp:positionH>
                <wp:positionV relativeFrom="line">
                  <wp:posOffset>635</wp:posOffset>
                </wp:positionV>
                <wp:extent cx="5410200" cy="8483600"/>
                <wp:effectExtent l="0" t="0" r="0" b="0"/>
                <wp:wrapSquare wrapText="right"/>
                <wp:docPr id="14" name="Frame2"/>
                <a:graphic xmlns:a="http://schemas.openxmlformats.org/drawingml/2006/main">
                  <a:graphicData uri="http://schemas.microsoft.com/office/word/2010/wordprocessingShape">
                    <wps:wsp>
                      <wps:cNvSpPr txBox="1"/>
                      <wps:spPr>
                        <a:xfrm>
                          <a:off x="0" y="0"/>
                          <a:ext cx="5410200" cy="8483600"/>
                        </a:xfrm>
                        <a:prstGeom prst="rect"/>
                        <a:solidFill>
                          <a:srgbClr val="FFFFFF"/>
                        </a:solidFill>
                      </wps:spPr>
                      <wps:txbx>
                        <w:txbxContent>
                          <w:p>
                            <w:pPr>
                              <w:pStyle w:val="TextBody"/>
                              <w:bidi w:val="0"/>
                              <w:spacing w:before="135" w:after="283"/>
                              <w:ind w:left="0" w:right="0" w:hanging="0"/>
                              <w:jc w:val="left"/>
                              <w:rPr>
                                <w:rFonts w:ascii="Arial" w:hAnsi="Arial"/>
                                <w:b/>
                                <w:color w:val="F8991D"/>
                                <w:sz w:val="20"/>
                              </w:rPr>
                            </w:pPr>
                            <w:r>
                              <w:rPr>
                                <w:rFonts w:ascii="Arial" w:hAnsi="Arial"/>
                                <w:b/>
                                <w:color w:val="F8991D"/>
                                <w:sz w:val="20"/>
                              </w:rPr>
                              <w:t>TO OUR STOCKHOLDERS,</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You are cordially invited to attend the annual meeting of stockholders virtually (together with any postponement, adjournments or other delays thereof, the “Annual Meeting”) of Athira Pharma, Inc. (the “Company”). </w:t>
                            </w:r>
                          </w:p>
                          <w:tbl>
                            <w:tblPr>
                              <w:tblW w:w="10205" w:type="dxa"/>
                              <w:jc w:val="left"/>
                              <w:tblInd w:w="0" w:type="dxa"/>
                              <w:tblLayout w:type="fixed"/>
                              <w:tblCellMar>
                                <w:top w:w="0" w:type="dxa"/>
                                <w:left w:w="0" w:type="dxa"/>
                                <w:bottom w:w="0" w:type="dxa"/>
                                <w:right w:w="0" w:type="dxa"/>
                              </w:tblCellMar>
                            </w:tblPr>
                            <w:tblGrid>
                              <w:gridCol w:w="461"/>
                              <w:gridCol w:w="9528"/>
                              <w:gridCol w:w="216"/>
                            </w:tblGrid>
                            <w:tr>
                              <w:trPr/>
                              <w:tc>
                                <w:tcPr>
                                  <w:tcW w:w="461" w:type="dxa"/>
                                  <w:tcBorders/>
                                  <w:shd w:fill="EBEBEB" w:val="clear"/>
                                  <w:vAlign w:val="center"/>
                                </w:tcPr>
                                <w:p>
                                  <w:pPr>
                                    <w:pStyle w:val="TableContents"/>
                                    <w:bidi w:val="0"/>
                                    <w:spacing w:before="0" w:after="0"/>
                                    <w:jc w:val="left"/>
                                    <w:rPr/>
                                  </w:pPr>
                                  <w:r>
                                    <w:rPr/>
                                    <w:t> </w:t>
                                  </w:r>
                                </w:p>
                              </w:tc>
                              <w:tc>
                                <w:tcPr>
                                  <w:tcW w:w="9528" w:type="dxa"/>
                                  <w:tcBorders/>
                                  <w:shd w:fill="EBEBEB" w:val="clear"/>
                                  <w:vAlign w:val="center"/>
                                </w:tcPr>
                                <w:p>
                                  <w:pPr>
                                    <w:pStyle w:val="TableContents"/>
                                    <w:bidi w:val="0"/>
                                    <w:spacing w:before="0" w:after="0"/>
                                    <w:jc w:val="left"/>
                                    <w:rPr/>
                                  </w:pPr>
                                  <w:r>
                                    <w:rPr/>
                                    <w:t> </w:t>
                                  </w:r>
                                </w:p>
                              </w:tc>
                              <w:tc>
                                <w:tcPr>
                                  <w:tcW w:w="216" w:type="dxa"/>
                                  <w:tcBorders/>
                                  <w:shd w:fill="EBEBEB" w:val="clear"/>
                                  <w:vAlign w:val="center"/>
                                </w:tcPr>
                                <w:p>
                                  <w:pPr>
                                    <w:pStyle w:val="TableContents"/>
                                    <w:bidi w:val="0"/>
                                    <w:spacing w:before="0" w:after="0"/>
                                    <w:jc w:val="left"/>
                                    <w:rPr/>
                                  </w:pPr>
                                  <w:r>
                                    <w:rPr/>
                                    <w:t> </w:t>
                                  </w:r>
                                </w:p>
                              </w:tc>
                            </w:tr>
                            <w:tr>
                              <w:trPr/>
                              <w:tc>
                                <w:tcPr>
                                  <w:tcW w:w="461" w:type="dxa"/>
                                  <w:tcBorders>
                                    <w:bottom w:val="single" w:sz="16" w:space="0" w:color="FFFFFF"/>
                                  </w:tcBorders>
                                  <w:shd w:fill="EBEBEB" w:val="clear"/>
                                  <w:tcMar>
                                    <w:bottom w:w="28" w:type="dxa"/>
                                  </w:tcMar>
                                  <w:vAlign w:val="center"/>
                                </w:tcPr>
                                <w:p>
                                  <w:pPr>
                                    <w:pStyle w:val="TableContents"/>
                                    <w:bidi w:val="0"/>
                                    <w:spacing w:before="100" w:after="283"/>
                                    <w:jc w:val="center"/>
                                    <w:rPr>
                                      <w:rFonts w:ascii="Times;Georgia" w:hAnsi="Times;Georgia"/>
                                      <w:color w:val="255993"/>
                                      <w:sz w:val="60"/>
                                    </w:rPr>
                                  </w:pPr>
                                  <w:r>
                                    <w:rPr>
                                      <w:rFonts w:ascii="Times;Georgia" w:hAnsi="Times;Georgia"/>
                                      <w:color w:val="255993"/>
                                      <w:sz w:val="60"/>
                                    </w:rPr>
                                    <w:t>1</w:t>
                                  </w:r>
                                </w:p>
                              </w:tc>
                              <w:tc>
                                <w:tcPr>
                                  <w:tcW w:w="9528" w:type="dxa"/>
                                  <w:tcBorders>
                                    <w:bottom w:val="single" w:sz="16" w:space="0" w:color="FFFFFF"/>
                                  </w:tcBorders>
                                  <w:shd w:fill="EBEBEB" w:val="clear"/>
                                  <w:tcMar>
                                    <w:bottom w:w="28"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elect three Class II directors of the Company, each to serve for a term of three years and until his respective successor is elected and qualified, or until his earlier death, resignation or removal.</w:t>
                                  </w:r>
                                </w:p>
                                <w:p>
                                  <w:pPr>
                                    <w:pStyle w:val="TableContents"/>
                                    <w:bidi w:val="0"/>
                                    <w:spacing w:before="0" w:after="283"/>
                                    <w:ind w:left="0" w:right="0" w:hanging="0"/>
                                    <w:jc w:val="left"/>
                                    <w:rPr>
                                      <w:color w:val="000000"/>
                                    </w:rPr>
                                  </w:pPr>
                                  <w:r>
                                    <w:rPr>
                                      <w:color w:val="000000"/>
                                    </w:rPr>
                                    <w:t> </w:t>
                                  </w:r>
                                </w:p>
                              </w:tc>
                              <w:tc>
                                <w:tcPr>
                                  <w:tcW w:w="216"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461" w:type="dxa"/>
                                  <w:tcBorders>
                                    <w:bottom w:val="single" w:sz="16" w:space="0" w:color="FFFFFF"/>
                                  </w:tcBorders>
                                  <w:shd w:fill="FAFAFA" w:val="clear"/>
                                  <w:tcMar>
                                    <w:bottom w:w="28" w:type="dxa"/>
                                  </w:tcMar>
                                  <w:vAlign w:val="center"/>
                                </w:tcPr>
                                <w:p>
                                  <w:pPr>
                                    <w:pStyle w:val="TableContents"/>
                                    <w:bidi w:val="0"/>
                                    <w:spacing w:before="100" w:after="283"/>
                                    <w:jc w:val="center"/>
                                    <w:rPr>
                                      <w:rFonts w:ascii="Times;Georgia" w:hAnsi="Times;Georgia"/>
                                      <w:color w:val="F8991D"/>
                                      <w:sz w:val="60"/>
                                    </w:rPr>
                                  </w:pPr>
                                  <w:r>
                                    <w:rPr>
                                      <w:rFonts w:ascii="Times;Georgia" w:hAnsi="Times;Georgia"/>
                                      <w:color w:val="F8991D"/>
                                      <w:sz w:val="60"/>
                                    </w:rPr>
                                    <w:t>2</w:t>
                                  </w:r>
                                  <w:r>
                                    <w:rPr>
                                      <w:rFonts w:ascii="Times;Georgia" w:hAnsi="Times;Georgia"/>
                                      <w:color w:val="000000"/>
                                      <w:sz w:val="60"/>
                                    </w:rPr>
                                    <w:t xml:space="preserve"> </w:t>
                                  </w:r>
                                </w:p>
                              </w:tc>
                              <w:tc>
                                <w:tcPr>
                                  <w:tcW w:w="9528" w:type="dxa"/>
                                  <w:tcBorders>
                                    <w:bottom w:val="single" w:sz="16" w:space="0" w:color="FFFFFF"/>
                                  </w:tcBorders>
                                  <w:shd w:fill="FAFAFA" w:val="clear"/>
                                  <w:tcMar>
                                    <w:bottom w:w="28"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To ratify the appointment of Ernst &amp; Young LLP as the Company’s independent registered public accounting firm for its fiscal year ending December 31, 2025. </w:t>
                                  </w:r>
                                </w:p>
                              </w:tc>
                              <w:tc>
                                <w:tcPr>
                                  <w:tcW w:w="216"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461" w:type="dxa"/>
                                  <w:tcBorders>
                                    <w:bottom w:val="single" w:sz="16" w:space="0" w:color="FFFFFF"/>
                                  </w:tcBorders>
                                  <w:shd w:fill="EBEBEB" w:val="clear"/>
                                  <w:tcMar>
                                    <w:bottom w:w="28" w:type="dxa"/>
                                  </w:tcMar>
                                  <w:vAlign w:val="center"/>
                                </w:tcPr>
                                <w:p>
                                  <w:pPr>
                                    <w:pStyle w:val="TableContents"/>
                                    <w:bidi w:val="0"/>
                                    <w:spacing w:before="100" w:after="283"/>
                                    <w:jc w:val="center"/>
                                    <w:rPr>
                                      <w:rFonts w:ascii="Times;Georgia" w:hAnsi="Times;Georgia"/>
                                      <w:color w:val="6CCAD0"/>
                                      <w:sz w:val="60"/>
                                    </w:rPr>
                                  </w:pPr>
                                  <w:r>
                                    <w:rPr>
                                      <w:rFonts w:ascii="Times;Georgia" w:hAnsi="Times;Georgia"/>
                                      <w:color w:val="6CCAD0"/>
                                      <w:sz w:val="60"/>
                                    </w:rPr>
                                    <w:t>3</w:t>
                                  </w:r>
                                  <w:r>
                                    <w:rPr>
                                      <w:rFonts w:ascii="Times;Georgia" w:hAnsi="Times;Georgia"/>
                                      <w:color w:val="000000"/>
                                      <w:sz w:val="60"/>
                                    </w:rPr>
                                    <w:t xml:space="preserve"> </w:t>
                                  </w:r>
                                </w:p>
                              </w:tc>
                              <w:tc>
                                <w:tcPr>
                                  <w:tcW w:w="9528" w:type="dxa"/>
                                  <w:tcBorders>
                                    <w:bottom w:val="single" w:sz="16" w:space="0" w:color="FFFFFF"/>
                                  </w:tcBorders>
                                  <w:shd w:fill="EBEBEB" w:val="clear"/>
                                  <w:tcMar>
                                    <w:bottom w:w="28"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approve proposed amendments to our amended and restated certificate of incorporation to effect a reverse stock split and reduce the total number of authorized shares of common stock.</w:t>
                                  </w:r>
                                </w:p>
                              </w:tc>
                              <w:tc>
                                <w:tcPr>
                                  <w:tcW w:w="216"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461" w:type="dxa"/>
                                  <w:tcBorders/>
                                  <w:shd w:fill="FAFAFA" w:val="clear"/>
                                  <w:vAlign w:val="center"/>
                                </w:tcPr>
                                <w:p>
                                  <w:pPr>
                                    <w:pStyle w:val="TableContents"/>
                                    <w:bidi w:val="0"/>
                                    <w:spacing w:before="100" w:after="283"/>
                                    <w:jc w:val="center"/>
                                    <w:rPr>
                                      <w:rFonts w:ascii="Times;Georgia" w:hAnsi="Times;Georgia"/>
                                      <w:color w:val="255993"/>
                                      <w:sz w:val="60"/>
                                    </w:rPr>
                                  </w:pPr>
                                  <w:r>
                                    <w:rPr>
                                      <w:rFonts w:ascii="Times;Georgia" w:hAnsi="Times;Georgia"/>
                                      <w:color w:val="255993"/>
                                      <w:sz w:val="60"/>
                                    </w:rPr>
                                    <w:t>4</w:t>
                                  </w:r>
                                  <w:r>
                                    <w:rPr>
                                      <w:rFonts w:ascii="Times;Georgia" w:hAnsi="Times;Georgia"/>
                                      <w:color w:val="000000"/>
                                      <w:sz w:val="60"/>
                                    </w:rPr>
                                    <w:t xml:space="preserve"> </w:t>
                                  </w:r>
                                </w:p>
                              </w:tc>
                              <w:tc>
                                <w:tcPr>
                                  <w:tcW w:w="9528" w:type="dxa"/>
                                  <w:tcBorders/>
                                  <w:shd w:fill="FAFAFA" w:val="cle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transact other business that may properly come before the Annual Meeting.</w:t>
                                  </w:r>
                                </w:p>
                              </w:tc>
                              <w:tc>
                                <w:tcPr>
                                  <w:tcW w:w="216" w:type="dxa"/>
                                  <w:tcBorders/>
                                  <w:shd w:fill="FAFAFA" w:val="clear"/>
                                  <w:vAlign w:val="center"/>
                                </w:tcPr>
                                <w:p>
                                  <w:pPr>
                                    <w:pStyle w:val="TableContents"/>
                                    <w:bidi w:val="0"/>
                                    <w:spacing w:before="0" w:after="0"/>
                                    <w:jc w:val="left"/>
                                    <w:rPr/>
                                  </w:pPr>
                                  <w:r>
                                    <w:rPr/>
                                    <w:t> </w:t>
                                  </w:r>
                                </w:p>
                              </w:tc>
                            </w:tr>
                            <w:tr>
                              <w:trPr/>
                              <w:tc>
                                <w:tcPr>
                                  <w:tcW w:w="461" w:type="dxa"/>
                                  <w:tcBorders/>
                                  <w:shd w:fill="FAFAFA" w:val="clear"/>
                                  <w:vAlign w:val="center"/>
                                </w:tcPr>
                                <w:p>
                                  <w:pPr>
                                    <w:pStyle w:val="TableContents"/>
                                    <w:bidi w:val="0"/>
                                    <w:spacing w:before="0" w:after="0"/>
                                    <w:jc w:val="left"/>
                                    <w:rPr/>
                                  </w:pPr>
                                  <w:r>
                                    <w:rPr/>
                                    <w:t> </w:t>
                                  </w:r>
                                </w:p>
                              </w:tc>
                              <w:tc>
                                <w:tcPr>
                                  <w:tcW w:w="9528" w:type="dxa"/>
                                  <w:tcBorders/>
                                  <w:shd w:fill="FAFAFA" w:val="clear"/>
                                  <w:vAlign w:val="center"/>
                                </w:tcPr>
                                <w:p>
                                  <w:pPr>
                                    <w:pStyle w:val="TableContents"/>
                                    <w:bidi w:val="0"/>
                                    <w:spacing w:before="0" w:after="0"/>
                                    <w:jc w:val="left"/>
                                    <w:rPr/>
                                  </w:pPr>
                                  <w:r>
                                    <w:rPr/>
                                    <w:t> </w:t>
                                  </w:r>
                                </w:p>
                              </w:tc>
                              <w:tc>
                                <w:tcPr>
                                  <w:tcW w:w="216" w:type="dxa"/>
                                  <w:tcBorders/>
                                  <w:shd w:fill="FAFAFA"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 w:hAnsi="Arial"/>
                                <w:color w:val="000000"/>
                                <w:sz w:val="18"/>
                              </w:rPr>
                            </w:pPr>
                            <w:r>
                              <w:rPr>
                                <w:rFonts w:ascii="Arial" w:hAnsi="Arial"/>
                                <w:color w:val="000000"/>
                                <w:sz w:val="18"/>
                              </w:rPr>
                              <w:t>The foregoing items of business are more fully described in the proxy statement accompanying this Notice of Internet Availability of Proxy Materials (the “Notice of Internet Availability”).</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The Notice of Internet Availability, containing instructions on how to access our proxy statement, notice of Annual Meeting, form of proxy and our annual report, is first being sent or given on or about April 14, 2025 to all stockholders entitled to vote at the Annual Meeting. The Notice of Internet Availability provides instructions on how to vote online or by telephone and includes instructions on how to receive a paper copy of proxy materials by mail. The proxy materials and our annual report can be accessed as of April 14, 2025 by visiting www.proxyvote.com. All you have to do is enter the control number located on your proxy card.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Only stockholders of record as of April 4, 2025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Whether or not you plan to attend the virtual Annual Meeting, we urge you to submit your proxy via the internet or telephone or by mail as soon as possible. </w:t>
                            </w:r>
                          </w:p>
                        </w:txbxContent>
                      </wps:txbx>
                      <wps:bodyPr anchor="t" lIns="0" tIns="0" rIns="0" bIns="0">
                        <a:noAutofit/>
                      </wps:bodyPr>
                    </wps:wsp>
                  </a:graphicData>
                </a:graphic>
              </wp:anchor>
            </w:drawing>
          </mc:Choice>
          <mc:Fallback>
            <w:pict>
              <v:rect style="position:absolute;rotation:-0;width:426pt;height:668pt;mso-wrap-distance-left:12pt;mso-wrap-distance-right:0pt;mso-wrap-distance-top:0pt;mso-wrap-distance-bottom:0pt;margin-top:0pt;mso-position-vertical:top;mso-position-vertical-relative:text;margin-left:96pt;mso-position-horizontal:left;mso-position-horizontal-relative:text">
                <v:textbox>
                  <w:txbxContent>
                    <w:p>
                      <w:pPr>
                        <w:pStyle w:val="TextBody"/>
                        <w:bidi w:val="0"/>
                        <w:spacing w:before="135" w:after="283"/>
                        <w:ind w:left="0" w:right="0" w:hanging="0"/>
                        <w:jc w:val="left"/>
                        <w:rPr>
                          <w:rFonts w:ascii="Arial" w:hAnsi="Arial"/>
                          <w:b/>
                          <w:color w:val="F8991D"/>
                          <w:sz w:val="20"/>
                        </w:rPr>
                      </w:pPr>
                      <w:r>
                        <w:rPr>
                          <w:rFonts w:ascii="Arial" w:hAnsi="Arial"/>
                          <w:b/>
                          <w:color w:val="F8991D"/>
                          <w:sz w:val="20"/>
                        </w:rPr>
                        <w:t>TO OUR STOCKHOLDERS,</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You are cordially invited to attend the annual meeting of stockholders virtually (together with any postponement, adjournments or other delays thereof, the “Annual Meeting”) of Athira Pharma, Inc. (the “Company”). </w:t>
                      </w:r>
                    </w:p>
                    <w:tbl>
                      <w:tblPr>
                        <w:tblW w:w="10205" w:type="dxa"/>
                        <w:jc w:val="left"/>
                        <w:tblInd w:w="0" w:type="dxa"/>
                        <w:tblLayout w:type="fixed"/>
                        <w:tblCellMar>
                          <w:top w:w="0" w:type="dxa"/>
                          <w:left w:w="0" w:type="dxa"/>
                          <w:bottom w:w="0" w:type="dxa"/>
                          <w:right w:w="0" w:type="dxa"/>
                        </w:tblCellMar>
                      </w:tblPr>
                      <w:tblGrid>
                        <w:gridCol w:w="461"/>
                        <w:gridCol w:w="9528"/>
                        <w:gridCol w:w="216"/>
                      </w:tblGrid>
                      <w:tr>
                        <w:trPr/>
                        <w:tc>
                          <w:tcPr>
                            <w:tcW w:w="461" w:type="dxa"/>
                            <w:tcBorders/>
                            <w:shd w:fill="EBEBEB" w:val="clear"/>
                            <w:vAlign w:val="center"/>
                          </w:tcPr>
                          <w:p>
                            <w:pPr>
                              <w:pStyle w:val="TableContents"/>
                              <w:bidi w:val="0"/>
                              <w:spacing w:before="0" w:after="0"/>
                              <w:jc w:val="left"/>
                              <w:rPr/>
                            </w:pPr>
                            <w:r>
                              <w:rPr/>
                              <w:t> </w:t>
                            </w:r>
                          </w:p>
                        </w:tc>
                        <w:tc>
                          <w:tcPr>
                            <w:tcW w:w="9528" w:type="dxa"/>
                            <w:tcBorders/>
                            <w:shd w:fill="EBEBEB" w:val="clear"/>
                            <w:vAlign w:val="center"/>
                          </w:tcPr>
                          <w:p>
                            <w:pPr>
                              <w:pStyle w:val="TableContents"/>
                              <w:bidi w:val="0"/>
                              <w:spacing w:before="0" w:after="0"/>
                              <w:jc w:val="left"/>
                              <w:rPr/>
                            </w:pPr>
                            <w:r>
                              <w:rPr/>
                              <w:t> </w:t>
                            </w:r>
                          </w:p>
                        </w:tc>
                        <w:tc>
                          <w:tcPr>
                            <w:tcW w:w="216" w:type="dxa"/>
                            <w:tcBorders/>
                            <w:shd w:fill="EBEBEB" w:val="clear"/>
                            <w:vAlign w:val="center"/>
                          </w:tcPr>
                          <w:p>
                            <w:pPr>
                              <w:pStyle w:val="TableContents"/>
                              <w:bidi w:val="0"/>
                              <w:spacing w:before="0" w:after="0"/>
                              <w:jc w:val="left"/>
                              <w:rPr/>
                            </w:pPr>
                            <w:r>
                              <w:rPr/>
                              <w:t> </w:t>
                            </w:r>
                          </w:p>
                        </w:tc>
                      </w:tr>
                      <w:tr>
                        <w:trPr/>
                        <w:tc>
                          <w:tcPr>
                            <w:tcW w:w="461" w:type="dxa"/>
                            <w:tcBorders>
                              <w:bottom w:val="single" w:sz="16" w:space="0" w:color="FFFFFF"/>
                            </w:tcBorders>
                            <w:shd w:fill="EBEBEB" w:val="clear"/>
                            <w:tcMar>
                              <w:bottom w:w="28" w:type="dxa"/>
                            </w:tcMar>
                            <w:vAlign w:val="center"/>
                          </w:tcPr>
                          <w:p>
                            <w:pPr>
                              <w:pStyle w:val="TableContents"/>
                              <w:bidi w:val="0"/>
                              <w:spacing w:before="100" w:after="283"/>
                              <w:jc w:val="center"/>
                              <w:rPr>
                                <w:rFonts w:ascii="Times;Georgia" w:hAnsi="Times;Georgia"/>
                                <w:color w:val="255993"/>
                                <w:sz w:val="60"/>
                              </w:rPr>
                            </w:pPr>
                            <w:r>
                              <w:rPr>
                                <w:rFonts w:ascii="Times;Georgia" w:hAnsi="Times;Georgia"/>
                                <w:color w:val="255993"/>
                                <w:sz w:val="60"/>
                              </w:rPr>
                              <w:t>1</w:t>
                            </w:r>
                          </w:p>
                        </w:tc>
                        <w:tc>
                          <w:tcPr>
                            <w:tcW w:w="9528" w:type="dxa"/>
                            <w:tcBorders>
                              <w:bottom w:val="single" w:sz="16" w:space="0" w:color="FFFFFF"/>
                            </w:tcBorders>
                            <w:shd w:fill="EBEBEB" w:val="clear"/>
                            <w:tcMar>
                              <w:bottom w:w="28"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elect three Class II directors of the Company, each to serve for a term of three years and until his respective successor is elected and qualified, or until his earlier death, resignation or removal.</w:t>
                            </w:r>
                          </w:p>
                          <w:p>
                            <w:pPr>
                              <w:pStyle w:val="TableContents"/>
                              <w:bidi w:val="0"/>
                              <w:spacing w:before="0" w:after="283"/>
                              <w:ind w:left="0" w:right="0" w:hanging="0"/>
                              <w:jc w:val="left"/>
                              <w:rPr>
                                <w:color w:val="000000"/>
                              </w:rPr>
                            </w:pPr>
                            <w:r>
                              <w:rPr>
                                <w:color w:val="000000"/>
                              </w:rPr>
                              <w:t> </w:t>
                            </w:r>
                          </w:p>
                        </w:tc>
                        <w:tc>
                          <w:tcPr>
                            <w:tcW w:w="216"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461" w:type="dxa"/>
                            <w:tcBorders>
                              <w:bottom w:val="single" w:sz="16" w:space="0" w:color="FFFFFF"/>
                            </w:tcBorders>
                            <w:shd w:fill="FAFAFA" w:val="clear"/>
                            <w:tcMar>
                              <w:bottom w:w="28" w:type="dxa"/>
                            </w:tcMar>
                            <w:vAlign w:val="center"/>
                          </w:tcPr>
                          <w:p>
                            <w:pPr>
                              <w:pStyle w:val="TableContents"/>
                              <w:bidi w:val="0"/>
                              <w:spacing w:before="100" w:after="283"/>
                              <w:jc w:val="center"/>
                              <w:rPr>
                                <w:rFonts w:ascii="Times;Georgia" w:hAnsi="Times;Georgia"/>
                                <w:color w:val="F8991D"/>
                                <w:sz w:val="60"/>
                              </w:rPr>
                            </w:pPr>
                            <w:r>
                              <w:rPr>
                                <w:rFonts w:ascii="Times;Georgia" w:hAnsi="Times;Georgia"/>
                                <w:color w:val="F8991D"/>
                                <w:sz w:val="60"/>
                              </w:rPr>
                              <w:t>2</w:t>
                            </w:r>
                            <w:r>
                              <w:rPr>
                                <w:rFonts w:ascii="Times;Georgia" w:hAnsi="Times;Georgia"/>
                                <w:color w:val="000000"/>
                                <w:sz w:val="60"/>
                              </w:rPr>
                              <w:t xml:space="preserve"> </w:t>
                            </w:r>
                          </w:p>
                        </w:tc>
                        <w:tc>
                          <w:tcPr>
                            <w:tcW w:w="9528" w:type="dxa"/>
                            <w:tcBorders>
                              <w:bottom w:val="single" w:sz="16" w:space="0" w:color="FFFFFF"/>
                            </w:tcBorders>
                            <w:shd w:fill="FAFAFA" w:val="clear"/>
                            <w:tcMar>
                              <w:bottom w:w="28"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To ratify the appointment of Ernst &amp; Young LLP as the Company’s independent registered public accounting firm for its fiscal year ending December 31, 2025. </w:t>
                            </w:r>
                          </w:p>
                        </w:tc>
                        <w:tc>
                          <w:tcPr>
                            <w:tcW w:w="216"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461" w:type="dxa"/>
                            <w:tcBorders>
                              <w:bottom w:val="single" w:sz="16" w:space="0" w:color="FFFFFF"/>
                            </w:tcBorders>
                            <w:shd w:fill="EBEBEB" w:val="clear"/>
                            <w:tcMar>
                              <w:bottom w:w="28" w:type="dxa"/>
                            </w:tcMar>
                            <w:vAlign w:val="center"/>
                          </w:tcPr>
                          <w:p>
                            <w:pPr>
                              <w:pStyle w:val="TableContents"/>
                              <w:bidi w:val="0"/>
                              <w:spacing w:before="100" w:after="283"/>
                              <w:jc w:val="center"/>
                              <w:rPr>
                                <w:rFonts w:ascii="Times;Georgia" w:hAnsi="Times;Georgia"/>
                                <w:color w:val="6CCAD0"/>
                                <w:sz w:val="60"/>
                              </w:rPr>
                            </w:pPr>
                            <w:r>
                              <w:rPr>
                                <w:rFonts w:ascii="Times;Georgia" w:hAnsi="Times;Georgia"/>
                                <w:color w:val="6CCAD0"/>
                                <w:sz w:val="60"/>
                              </w:rPr>
                              <w:t>3</w:t>
                            </w:r>
                            <w:r>
                              <w:rPr>
                                <w:rFonts w:ascii="Times;Georgia" w:hAnsi="Times;Georgia"/>
                                <w:color w:val="000000"/>
                                <w:sz w:val="60"/>
                              </w:rPr>
                              <w:t xml:space="preserve"> </w:t>
                            </w:r>
                          </w:p>
                        </w:tc>
                        <w:tc>
                          <w:tcPr>
                            <w:tcW w:w="9528" w:type="dxa"/>
                            <w:tcBorders>
                              <w:bottom w:val="single" w:sz="16" w:space="0" w:color="FFFFFF"/>
                            </w:tcBorders>
                            <w:shd w:fill="EBEBEB" w:val="clear"/>
                            <w:tcMar>
                              <w:bottom w:w="28"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approve proposed amendments to our amended and restated certificate of incorporation to effect a reverse stock split and reduce the total number of authorized shares of common stock.</w:t>
                            </w:r>
                          </w:p>
                        </w:tc>
                        <w:tc>
                          <w:tcPr>
                            <w:tcW w:w="216"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461" w:type="dxa"/>
                            <w:tcBorders/>
                            <w:shd w:fill="FAFAFA" w:val="clear"/>
                            <w:vAlign w:val="center"/>
                          </w:tcPr>
                          <w:p>
                            <w:pPr>
                              <w:pStyle w:val="TableContents"/>
                              <w:bidi w:val="0"/>
                              <w:spacing w:before="100" w:after="283"/>
                              <w:jc w:val="center"/>
                              <w:rPr>
                                <w:rFonts w:ascii="Times;Georgia" w:hAnsi="Times;Georgia"/>
                                <w:color w:val="255993"/>
                                <w:sz w:val="60"/>
                              </w:rPr>
                            </w:pPr>
                            <w:r>
                              <w:rPr>
                                <w:rFonts w:ascii="Times;Georgia" w:hAnsi="Times;Georgia"/>
                                <w:color w:val="255993"/>
                                <w:sz w:val="60"/>
                              </w:rPr>
                              <w:t>4</w:t>
                            </w:r>
                            <w:r>
                              <w:rPr>
                                <w:rFonts w:ascii="Times;Georgia" w:hAnsi="Times;Georgia"/>
                                <w:color w:val="000000"/>
                                <w:sz w:val="60"/>
                              </w:rPr>
                              <w:t xml:space="preserve"> </w:t>
                            </w:r>
                          </w:p>
                        </w:tc>
                        <w:tc>
                          <w:tcPr>
                            <w:tcW w:w="9528" w:type="dxa"/>
                            <w:tcBorders/>
                            <w:shd w:fill="FAFAFA" w:val="cle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transact other business that may properly come before the Annual Meeting.</w:t>
                            </w:r>
                          </w:p>
                        </w:tc>
                        <w:tc>
                          <w:tcPr>
                            <w:tcW w:w="216" w:type="dxa"/>
                            <w:tcBorders/>
                            <w:shd w:fill="FAFAFA" w:val="clear"/>
                            <w:vAlign w:val="center"/>
                          </w:tcPr>
                          <w:p>
                            <w:pPr>
                              <w:pStyle w:val="TableContents"/>
                              <w:bidi w:val="0"/>
                              <w:spacing w:before="0" w:after="0"/>
                              <w:jc w:val="left"/>
                              <w:rPr/>
                            </w:pPr>
                            <w:r>
                              <w:rPr/>
                              <w:t> </w:t>
                            </w:r>
                          </w:p>
                        </w:tc>
                      </w:tr>
                      <w:tr>
                        <w:trPr/>
                        <w:tc>
                          <w:tcPr>
                            <w:tcW w:w="461" w:type="dxa"/>
                            <w:tcBorders/>
                            <w:shd w:fill="FAFAFA" w:val="clear"/>
                            <w:vAlign w:val="center"/>
                          </w:tcPr>
                          <w:p>
                            <w:pPr>
                              <w:pStyle w:val="TableContents"/>
                              <w:bidi w:val="0"/>
                              <w:spacing w:before="0" w:after="0"/>
                              <w:jc w:val="left"/>
                              <w:rPr/>
                            </w:pPr>
                            <w:r>
                              <w:rPr/>
                              <w:t> </w:t>
                            </w:r>
                          </w:p>
                        </w:tc>
                        <w:tc>
                          <w:tcPr>
                            <w:tcW w:w="9528" w:type="dxa"/>
                            <w:tcBorders/>
                            <w:shd w:fill="FAFAFA" w:val="clear"/>
                            <w:vAlign w:val="center"/>
                          </w:tcPr>
                          <w:p>
                            <w:pPr>
                              <w:pStyle w:val="TableContents"/>
                              <w:bidi w:val="0"/>
                              <w:spacing w:before="0" w:after="0"/>
                              <w:jc w:val="left"/>
                              <w:rPr/>
                            </w:pPr>
                            <w:r>
                              <w:rPr/>
                              <w:t> </w:t>
                            </w:r>
                          </w:p>
                        </w:tc>
                        <w:tc>
                          <w:tcPr>
                            <w:tcW w:w="216" w:type="dxa"/>
                            <w:tcBorders/>
                            <w:shd w:fill="FAFAFA"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 w:hAnsi="Arial"/>
                          <w:color w:val="000000"/>
                          <w:sz w:val="18"/>
                        </w:rPr>
                      </w:pPr>
                      <w:r>
                        <w:rPr>
                          <w:rFonts w:ascii="Arial" w:hAnsi="Arial"/>
                          <w:color w:val="000000"/>
                          <w:sz w:val="18"/>
                        </w:rPr>
                        <w:t>The foregoing items of business are more fully described in the proxy statement accompanying this Notice of Internet Availability of Proxy Materials (the “Notice of Internet Availability”).</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The Notice of Internet Availability, containing instructions on how to access our proxy statement, notice of Annual Meeting, form of proxy and our annual report, is first being sent or given on or about April 14, 2025 to all stockholders entitled to vote at the Annual Meeting. The Notice of Internet Availability provides instructions on how to vote online or by telephone and includes instructions on how to receive a paper copy of proxy materials by mail. The proxy materials and our annual report can be accessed as of April 14, 2025 by visiting www.proxyvote.com. All you have to do is enter the control number located on your proxy card.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Only stockholders of record as of April 4, 2025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 </w:t>
                      </w:r>
                    </w:p>
                    <w:p>
                      <w:pPr>
                        <w:pStyle w:val="TextBody"/>
                        <w:bidi w:val="0"/>
                        <w:spacing w:before="60" w:after="283"/>
                        <w:ind w:left="0" w:right="0" w:hanging="0"/>
                        <w:jc w:val="left"/>
                        <w:rPr>
                          <w:rFonts w:ascii="Arial" w:hAnsi="Arial"/>
                          <w:color w:val="000000"/>
                          <w:sz w:val="18"/>
                        </w:rPr>
                      </w:pPr>
                      <w:r>
                        <w:rPr>
                          <w:rFonts w:ascii="Arial" w:hAnsi="Arial"/>
                          <w:color w:val="000000"/>
                          <w:sz w:val="18"/>
                        </w:rPr>
                        <w:t xml:space="preserve">Whether or not you plan to attend the virtual Annual Meeting, we urge you to submit your proxy via the internet or telephone or by mail as soon as possible. </w:t>
                      </w:r>
                    </w:p>
                  </w:txbxContent>
                </v:textbox>
                <w10:wrap type="square" side="right"/>
              </v:rect>
            </w:pict>
          </mc:Fallback>
        </mc:AlternateContent>
      </w:r>
    </w:p>
    <w:p>
      <w:pPr>
        <w:pStyle w:val="TextBody"/>
        <w:bidi w:val="0"/>
        <w:jc w:val="left"/>
        <w:rPr/>
      </w:pPr>
      <w:hyperlink w:anchor="TOC">
        <w:bookmarkStart w:id="6" w:name="ny20044300x2_def14a_103-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720" w:after="283"/>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283"/>
              <w:ind w:left="120" w:right="0" w:hanging="0"/>
              <w:jc w:val="left"/>
              <w:rPr>
                <w:rFonts w:ascii="Arial" w:hAnsi="Arial"/>
                <w:color w:val="000000"/>
                <w:sz w:val="16"/>
                <w:bdr w:val="single" w:sz="8" w:space="4" w:color="F8991D"/>
              </w:rPr>
            </w:pPr>
            <w:r>
              <w:rPr>
                <w:rFonts w:ascii="Arial" w:hAnsi="Arial"/>
                <w:color w:val="000000"/>
                <w:sz w:val="16"/>
                <w:bdr w:val="single" w:sz="8" w:space="4" w:color="F8991D"/>
              </w:rPr>
              <w:t xml:space="preserve">Your Vote Is Important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283"/>
              <w:ind w:left="120" w:right="0" w:hanging="0"/>
              <w:jc w:val="left"/>
              <w:rPr>
                <w:rFonts w:ascii="Arial" w:hAnsi="Arial"/>
                <w:color w:val="255993"/>
                <w:sz w:val="16"/>
              </w:rPr>
            </w:pPr>
            <w:r>
              <w:rPr>
                <w:rFonts w:ascii="Arial" w:hAnsi="Arial"/>
                <w:color w:val="255993"/>
                <w:sz w:val="16"/>
              </w:rPr>
              <w:t>Whether or not you plan to attend the virtual Annual Meeting, we urge you to submit your proxy or voting instructions via the Internet, telephone or mail as soon as possible.</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By order of the Board of Directors, </w:t>
      </w:r>
    </w:p>
    <w:p>
      <w:pPr>
        <w:pStyle w:val="TextBody"/>
        <w:bidi w:val="0"/>
        <w:spacing w:before="0" w:after="283"/>
        <w:ind w:left="0" w:right="0" w:hanging="0"/>
        <w:jc w:val="left"/>
        <w:rPr>
          <w:color w:val="000000"/>
        </w:rPr>
      </w:pPr>
      <w:r>
        <w:rPr>
          <w:color w:val="000000"/>
        </w:rPr>
        <w:t> </w:t>
      </w:r>
    </w:p>
    <w:p>
      <w:pPr>
        <w:pStyle w:val="TextBody"/>
        <w:bidi w:val="0"/>
        <w:spacing w:before="360" w:after="283"/>
        <w:ind w:left="0" w:right="0" w:hanging="0"/>
        <w:jc w:val="left"/>
        <w:rPr>
          <w:color w:val="000000"/>
        </w:rPr>
      </w:pPr>
      <w:r>
        <w:rPr>
          <w:color w:val="000000"/>
        </w:rPr>
        <w:drawing>
          <wp:inline distT="0" distB="0" distL="0" distR="0">
            <wp:extent cx="800100" cy="37147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4"/>
                    <a:stretch>
                      <a:fillRect/>
                    </a:stretch>
                  </pic:blipFill>
                  <pic:spPr bwMode="auto">
                    <a:xfrm>
                      <a:off x="0" y="0"/>
                      <a:ext cx="800100" cy="371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t> </w:t>
      </w:r>
    </w:p>
    <w:p>
      <w:pPr>
        <w:pStyle w:val="TextBody"/>
        <w:bidi w:val="0"/>
        <w:spacing w:before="40" w:after="283"/>
        <w:ind w:left="0" w:right="0" w:hanging="0"/>
        <w:jc w:val="left"/>
        <w:rPr>
          <w:rFonts w:ascii="Arial" w:hAnsi="Arial"/>
          <w:b/>
          <w:color w:val="255993"/>
          <w:sz w:val="18"/>
        </w:rPr>
      </w:pPr>
      <w:r>
        <w:rPr>
          <w:rFonts w:ascii="Arial" w:hAnsi="Arial"/>
          <w:b/>
          <w:color w:val="255993"/>
          <w:sz w:val="18"/>
        </w:rPr>
        <w:t>Mark J. Litton, Ph.D.</w:t>
      </w:r>
      <w:r>
        <w:rPr>
          <w:rFonts w:ascii="Arial" w:hAnsi="Arial"/>
          <w:b/>
          <w:color w:val="000000"/>
          <w:sz w:val="18"/>
        </w:rPr>
        <w:t xml:space="preserv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President and Chief Executive Officer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Athira Pharma, Inc.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Bothell, Washington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April 14, 2025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283"/>
              <w:ind w:left="120" w:right="0" w:hanging="0"/>
              <w:jc w:val="left"/>
              <w:rPr>
                <w:rFonts w:ascii="Arial" w:hAnsi="Arial"/>
                <w:b/>
                <w:color w:val="000000"/>
                <w:sz w:val="18"/>
                <w:bdr w:val="single" w:sz="8" w:space="4" w:color="F8991D"/>
              </w:rPr>
            </w:pPr>
            <w:r>
              <w:rPr>
                <w:rFonts w:ascii="Arial" w:hAnsi="Arial"/>
                <w:b/>
                <w:color w:val="000000"/>
                <w:sz w:val="18"/>
                <w:bdr w:val="single" w:sz="8" w:space="4" w:color="F8991D"/>
              </w:rPr>
              <w:t xml:space="preserve">Important Notice Regarding the availability of proxy materials for the Annual Meeting to be held on May 29, 2025.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283"/>
              <w:ind w:left="120" w:right="0" w:hanging="0"/>
              <w:jc w:val="left"/>
              <w:rPr>
                <w:rFonts w:ascii="Arial" w:hAnsi="Arial"/>
                <w:color w:val="255993"/>
                <w:sz w:val="16"/>
              </w:rPr>
            </w:pPr>
            <w:r>
              <w:rPr>
                <w:rFonts w:ascii="Arial" w:hAnsi="Arial"/>
                <w:color w:val="255993"/>
                <w:sz w:val="16"/>
              </w:rPr>
              <w:t xml:space="preserve">The proxy statement, the accompanying proxy card, and the Annual Report on Form 10-K for the fiscal year ended December 31, 2024 are available free of charge at www.proxyvote.com. Information on this website, other than this proxy statement, is not a part of this proxy statement. Please sign, date and promptly return the proxy card, or submit your proxy and voting instructions over the Internet or by telephone by following the instructions on the proxy card, so that you may be represented at the Annual Meeting.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283"/>
              <w:ind w:left="120" w:right="0" w:hanging="0"/>
              <w:jc w:val="left"/>
              <w:rPr>
                <w:rFonts w:ascii="Arial" w:hAnsi="Arial"/>
                <w:color w:val="255993"/>
                <w:sz w:val="16"/>
              </w:rPr>
            </w:pPr>
            <w:r>
              <w:rPr>
                <w:rFonts w:ascii="Arial" w:hAnsi="Arial"/>
                <w:color w:val="255993"/>
                <w:sz w:val="16"/>
              </w:rPr>
              <w:t>The accompanying proxy statement provides a detailed description of the business to be conducted at the Annual Meeting. We urge you to read the accompanying proxy statement, including the appendices, carefully and in their entirety.</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805"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44300x2_def1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 w:hAnsi="Arial"/>
          <w:b/>
          <w:color w:val="F8991D"/>
          <w:sz w:val="24"/>
        </w:rPr>
      </w:pPr>
      <w:r>
        <w:rPr>
          <w:rFonts w:ascii="Arial" w:hAnsi="Arial"/>
          <w:b/>
          <w:color w:val="F8991D"/>
          <w:sz w:val="24"/>
        </w:rPr>
        <w:t>2025 PROXY STATEMENT</w:t>
      </w:r>
    </w:p>
    <w:p>
      <w:pPr>
        <w:pStyle w:val="TextBody"/>
        <w:bidi w:val="0"/>
        <w:spacing w:before="90" w:after="283"/>
        <w:ind w:left="0" w:right="0" w:hanging="0"/>
        <w:jc w:val="left"/>
        <w:rPr>
          <w:rFonts w:ascii="Times;Georgia" w:hAnsi="Times;Georgia"/>
          <w:color w:val="255993"/>
          <w:sz w:val="64"/>
        </w:rPr>
      </w:pPr>
      <w:r>
        <w:rPr>
          <w:rFonts w:ascii="Times;Georgia" w:hAnsi="Times;Georgia"/>
          <w:color w:val="255993"/>
          <w:sz w:val="64"/>
        </w:rPr>
        <w:t>Table of Contents</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185"/>
        <w:gridCol w:w="9085"/>
        <w:gridCol w:w="170"/>
        <w:gridCol w:w="170"/>
        <w:gridCol w:w="380"/>
        <w:gridCol w:w="215"/>
      </w:tblGrid>
      <w:tr>
        <w:trPr/>
        <w:tc>
          <w:tcPr>
            <w:tcW w:w="185" w:type="dxa"/>
            <w:tcBorders/>
            <w:shd w:fill="EBEBEB" w:val="clear"/>
            <w:vAlign w:val="center"/>
          </w:tcPr>
          <w:p>
            <w:pPr>
              <w:pStyle w:val="TableContents"/>
              <w:bidi w:val="0"/>
              <w:spacing w:before="0" w:after="0"/>
              <w:jc w:val="left"/>
              <w:rPr/>
            </w:pPr>
            <w:r>
              <w:rPr/>
              <w:t> </w:t>
            </w:r>
          </w:p>
        </w:tc>
        <w:tc>
          <w:tcPr>
            <w:tcW w:w="908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380"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60" w:after="283"/>
              <w:ind w:left="70" w:right="0" w:hanging="0"/>
              <w:jc w:val="left"/>
              <w:rPr/>
            </w:pPr>
            <w:hyperlink w:anchor="tPSS">
              <w:r>
                <w:rPr>
                  <w:rStyle w:val="InternetLink"/>
                  <w:rFonts w:ascii="Arial" w:hAnsi="Arial"/>
                  <w:b/>
                  <w:color w:val="255993"/>
                  <w:sz w:val="18"/>
                </w:rPr>
                <w:t>PROXY STATEMENT SUMMARY</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60" w:after="283"/>
              <w:jc w:val="right"/>
              <w:rPr/>
            </w:pPr>
            <w:hyperlink w:anchor="tPSS">
              <w:r>
                <w:rPr>
                  <w:rStyle w:val="InternetLink"/>
                  <w:rFonts w:ascii="Times;Georgia" w:hAnsi="Times;Georgia"/>
                  <w:color w:val="255993"/>
                  <w:sz w:val="32"/>
                </w:rPr>
                <w:t>1</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QAA">
              <w:r>
                <w:rPr>
                  <w:rStyle w:val="InternetLink"/>
                  <w:rFonts w:ascii="Arial" w:hAnsi="Arial"/>
                  <w:b/>
                  <w:color w:val="255993"/>
                  <w:sz w:val="18"/>
                </w:rPr>
                <w:t>QUESTIONS AND ANSWERS ABOUT THE PROXY MATERIALS AND OUR ANNUAL MEETING</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QAA">
              <w:r>
                <w:rPr>
                  <w:rStyle w:val="InternetLink"/>
                  <w:rFonts w:ascii="Times;Georgia" w:hAnsi="Times;Georgia"/>
                  <w:color w:val="255993"/>
                  <w:sz w:val="32"/>
                </w:rPr>
                <w:t>2</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70" w:right="0" w:hanging="0"/>
              <w:jc w:val="left"/>
              <w:rPr/>
            </w:pPr>
            <w:hyperlink w:anchor="tBDCG">
              <w:r>
                <w:rPr>
                  <w:rStyle w:val="InternetLink"/>
                  <w:rFonts w:ascii="Arial" w:hAnsi="Arial"/>
                  <w:b/>
                  <w:color w:val="255993"/>
                  <w:sz w:val="18"/>
                </w:rPr>
                <w:t>BOARD OF DIRECTORS AND CORPORATE GOVERNANCE</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BDCG">
              <w:r>
                <w:rPr>
                  <w:rStyle w:val="InternetLink"/>
                  <w:rFonts w:ascii="Times;Georgia" w:hAnsi="Times;Georgia"/>
                  <w:color w:val="255993"/>
                  <w:sz w:val="32"/>
                </w:rPr>
                <w:t>9</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OTB">
              <w:r>
                <w:rPr>
                  <w:rStyle w:val="InternetLink"/>
                  <w:rFonts w:ascii="Arial" w:hAnsi="Arial"/>
                  <w:color w:val="000000"/>
                  <w:sz w:val="16"/>
                </w:rPr>
                <w:t>Composition of the Board of Directors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OTB">
              <w:r>
                <w:rPr>
                  <w:rStyle w:val="InternetLink"/>
                  <w:rFonts w:ascii="Times;Georgia" w:hAnsi="Times;Georgia"/>
                  <w:color w:val="255993"/>
                  <w:sz w:val="32"/>
                </w:rPr>
                <w:t>9</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NOFD">
              <w:r>
                <w:rPr>
                  <w:rStyle w:val="InternetLink"/>
                  <w:rFonts w:ascii="Arial" w:hAnsi="Arial"/>
                  <w:color w:val="000000"/>
                  <w:sz w:val="16"/>
                </w:rPr>
                <w:t>Nominees for Director</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NOFD">
              <w:r>
                <w:rPr>
                  <w:rStyle w:val="InternetLink"/>
                  <w:rFonts w:ascii="Times;Georgia" w:hAnsi="Times;Georgia"/>
                  <w:color w:val="255993"/>
                  <w:sz w:val="32"/>
                </w:rPr>
                <w:t>10</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ODI">
              <w:r>
                <w:rPr>
                  <w:rStyle w:val="InternetLink"/>
                  <w:rFonts w:ascii="Arial" w:hAnsi="Arial"/>
                  <w:color w:val="000000"/>
                  <w:sz w:val="16"/>
                </w:rPr>
                <w:t>Continuing Directors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ODI">
              <w:r>
                <w:rPr>
                  <w:rStyle w:val="InternetLink"/>
                  <w:rFonts w:ascii="Times;Georgia" w:hAnsi="Times;Georgia"/>
                  <w:color w:val="255993"/>
                  <w:sz w:val="32"/>
                </w:rPr>
                <w:t>11</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DIIN">
              <w:r>
                <w:rPr>
                  <w:rStyle w:val="InternetLink"/>
                  <w:rFonts w:ascii="Arial" w:hAnsi="Arial"/>
                  <w:color w:val="000000"/>
                  <w:sz w:val="16"/>
                </w:rPr>
                <w:t>Director Independence</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DIIN">
              <w:r>
                <w:rPr>
                  <w:rStyle w:val="InternetLink"/>
                  <w:rFonts w:ascii="Times;Georgia" w:hAnsi="Times;Georgia"/>
                  <w:color w:val="255993"/>
                  <w:sz w:val="32"/>
                </w:rPr>
                <w:t>14</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BLS">
              <w:r>
                <w:rPr>
                  <w:rStyle w:val="InternetLink"/>
                  <w:rFonts w:ascii="Arial" w:hAnsi="Arial"/>
                  <w:color w:val="000000"/>
                  <w:sz w:val="16"/>
                </w:rPr>
                <w:t>Board Leadership Structure</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BLS">
              <w:r>
                <w:rPr>
                  <w:rStyle w:val="InternetLink"/>
                  <w:rFonts w:ascii="Times;Georgia" w:hAnsi="Times;Georgia"/>
                  <w:color w:val="255993"/>
                  <w:sz w:val="32"/>
                </w:rPr>
                <w:t>14</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RBRO">
              <w:r>
                <w:rPr>
                  <w:rStyle w:val="InternetLink"/>
                  <w:rFonts w:ascii="Arial" w:hAnsi="Arial"/>
                  <w:color w:val="000000"/>
                  <w:sz w:val="16"/>
                </w:rPr>
                <w:t>Role of Board in Risk Oversight Process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RBRO">
              <w:r>
                <w:rPr>
                  <w:rStyle w:val="InternetLink"/>
                  <w:rFonts w:ascii="Times;Georgia" w:hAnsi="Times;Georgia"/>
                  <w:color w:val="255993"/>
                  <w:sz w:val="32"/>
                </w:rPr>
                <w:t>14</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ABSM">
              <w:r>
                <w:rPr>
                  <w:rStyle w:val="InternetLink"/>
                  <w:rFonts w:ascii="Arial" w:hAnsi="Arial"/>
                  <w:color w:val="000000"/>
                  <w:sz w:val="16"/>
                </w:rPr>
                <w:t>Attendance at Board and Stockholder Meetings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ABSM">
              <w:r>
                <w:rPr>
                  <w:rStyle w:val="InternetLink"/>
                  <w:rFonts w:ascii="Times;Georgia" w:hAnsi="Times;Georgia"/>
                  <w:color w:val="255993"/>
                  <w:sz w:val="32"/>
                </w:rPr>
                <w:t>15</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ESND">
              <w:r>
                <w:rPr>
                  <w:rStyle w:val="InternetLink"/>
                  <w:rFonts w:ascii="Arial" w:hAnsi="Arial"/>
                  <w:color w:val="000000"/>
                  <w:sz w:val="16"/>
                </w:rPr>
                <w:t>Executive Sessions of Non-Employee Directors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ESND">
              <w:r>
                <w:rPr>
                  <w:rStyle w:val="InternetLink"/>
                  <w:rFonts w:ascii="Times;Georgia" w:hAnsi="Times;Georgia"/>
                  <w:color w:val="255993"/>
                  <w:sz w:val="32"/>
                </w:rPr>
                <w:t>15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BODY">
              <w:r>
                <w:rPr>
                  <w:rStyle w:val="InternetLink"/>
                  <w:rFonts w:ascii="Arial" w:hAnsi="Arial"/>
                  <w:color w:val="000000"/>
                  <w:sz w:val="16"/>
                </w:rPr>
                <w:t>Board Diversity</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BODY">
              <w:r>
                <w:rPr>
                  <w:rStyle w:val="InternetLink"/>
                  <w:rFonts w:ascii="Times;Georgia" w:hAnsi="Times;Georgia"/>
                  <w:color w:val="255993"/>
                  <w:sz w:val="32"/>
                </w:rPr>
                <w:t>15</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BOCS">
              <w:r>
                <w:rPr>
                  <w:rStyle w:val="InternetLink"/>
                  <w:rFonts w:ascii="Arial" w:hAnsi="Arial"/>
                  <w:color w:val="000000"/>
                  <w:sz w:val="16"/>
                </w:rPr>
                <w:t>Board Committees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BOCS">
              <w:r>
                <w:rPr>
                  <w:rStyle w:val="InternetLink"/>
                  <w:rFonts w:ascii="Times;Georgia" w:hAnsi="Times;Georgia"/>
                  <w:color w:val="255993"/>
                  <w:sz w:val="32"/>
                </w:rPr>
                <w:t>15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EDN">
              <w:r>
                <w:rPr>
                  <w:rStyle w:val="InternetLink"/>
                  <w:rFonts w:ascii="Arial" w:hAnsi="Arial"/>
                  <w:color w:val="000000"/>
                  <w:sz w:val="16"/>
                </w:rPr>
                <w:t>Considerations in Evaluating Director Nominees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EDN">
              <w:r>
                <w:rPr>
                  <w:rStyle w:val="InternetLink"/>
                  <w:rFonts w:ascii="Times;Georgia" w:hAnsi="Times;Georgia"/>
                  <w:color w:val="255993"/>
                  <w:sz w:val="32"/>
                </w:rPr>
                <w:t>18</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SRNB">
              <w:r>
                <w:rPr>
                  <w:rStyle w:val="InternetLink"/>
                  <w:rFonts w:ascii="Arial" w:hAnsi="Arial"/>
                  <w:color w:val="000000"/>
                  <w:sz w:val="16"/>
                </w:rPr>
                <w:t>Stockholder Recommendations and Nominations to our Board of Directors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SRNB">
              <w:r>
                <w:rPr>
                  <w:rStyle w:val="InternetLink"/>
                  <w:rFonts w:ascii="Times;Georgia" w:hAnsi="Times;Georgia"/>
                  <w:color w:val="255993"/>
                  <w:sz w:val="32"/>
                </w:rPr>
                <w:t>18</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OBD">
              <w:r>
                <w:rPr>
                  <w:rStyle w:val="InternetLink"/>
                  <w:rFonts w:ascii="Arial" w:hAnsi="Arial"/>
                  <w:color w:val="000000"/>
                  <w:sz w:val="16"/>
                </w:rPr>
                <w:t>Communications with the Board of Directors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OBD">
              <w:r>
                <w:rPr>
                  <w:rStyle w:val="InternetLink"/>
                  <w:rFonts w:ascii="Times;Georgia" w:hAnsi="Times;Georgia"/>
                  <w:color w:val="255993"/>
                  <w:sz w:val="32"/>
                </w:rPr>
                <w:t>19</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ITP">
              <w:r>
                <w:rPr>
                  <w:rStyle w:val="InternetLink"/>
                  <w:color w:val="000000"/>
                </w:rPr>
                <w:t>​</w:t>
              </w:r>
            </w:hyperlink>
            <w:hyperlink w:anchor="tITP">
              <w:r>
                <w:rPr>
                  <w:rStyle w:val="InternetLink"/>
                  <w:rFonts w:ascii="Arial" w:hAnsi="Arial"/>
                  <w:color w:val="000000"/>
                  <w:sz w:val="16"/>
                </w:rPr>
                <w:t>Insider Trading Policy</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ITP">
              <w:r>
                <w:rPr>
                  <w:rStyle w:val="InternetLink"/>
                  <w:rFonts w:ascii="Times;Georgia" w:hAnsi="Times;Georgia"/>
                  <w:color w:val="255993"/>
                  <w:sz w:val="32"/>
                </w:rPr>
                <w:t>19</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BCE">
              <w:r>
                <w:rPr>
                  <w:rStyle w:val="InternetLink"/>
                  <w:rFonts w:ascii="Arial" w:hAnsi="Arial"/>
                  <w:color w:val="000000"/>
                  <w:sz w:val="16"/>
                </w:rPr>
                <w:t>Code of Business Conduct and Ethics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BCE">
              <w:r>
                <w:rPr>
                  <w:rStyle w:val="InternetLink"/>
                  <w:rFonts w:ascii="Times;Georgia" w:hAnsi="Times;Georgia"/>
                  <w:color w:val="255993"/>
                  <w:sz w:val="32"/>
                </w:rPr>
                <w:t>19</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ESGR">
              <w:r>
                <w:rPr>
                  <w:rStyle w:val="InternetLink"/>
                  <w:rFonts w:ascii="Arial" w:hAnsi="Arial"/>
                  <w:color w:val="000000"/>
                  <w:sz w:val="16"/>
                </w:rPr>
                <w:t>Environmental, Social and Governance (ESG) and Related Matters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ESGR">
              <w:r>
                <w:rPr>
                  <w:rStyle w:val="InternetLink"/>
                  <w:rFonts w:ascii="Times;Georgia" w:hAnsi="Times;Georgia"/>
                  <w:color w:val="255993"/>
                  <w:sz w:val="32"/>
                </w:rPr>
                <w:t>19</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DRCO">
              <w:r>
                <w:rPr>
                  <w:rStyle w:val="InternetLink"/>
                  <w:rFonts w:ascii="Arial" w:hAnsi="Arial"/>
                  <w:color w:val="000000"/>
                  <w:sz w:val="16"/>
                </w:rPr>
                <w:t>Director Compensation</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DRCO">
              <w:r>
                <w:rPr>
                  <w:rStyle w:val="InternetLink"/>
                  <w:rFonts w:ascii="Times;Georgia" w:hAnsi="Times;Georgia"/>
                  <w:color w:val="255993"/>
                  <w:sz w:val="32"/>
                </w:rPr>
                <w:t>20</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8991D" w:val="clear"/>
            <w:tcMar>
              <w:bottom w:w="53" w:type="dxa"/>
            </w:tcMar>
            <w:vAlign w:val="center"/>
          </w:tcPr>
          <w:p>
            <w:pPr>
              <w:pStyle w:val="TableContents"/>
              <w:bidi w:val="0"/>
              <w:spacing w:before="0" w:after="283"/>
              <w:ind w:left="70" w:right="0" w:hanging="0"/>
              <w:jc w:val="left"/>
              <w:rPr/>
            </w:pPr>
            <w:hyperlink w:anchor="tPROP1">
              <w:r>
                <w:rPr>
                  <w:rStyle w:val="InternetLink"/>
                  <w:rFonts w:ascii="Arial" w:hAnsi="Arial"/>
                  <w:b/>
                  <w:color w:val="FFFFFF"/>
                  <w:sz w:val="18"/>
                </w:rPr>
                <w:t>PROPOSAL NO. 1: ELECTION OF CLASS II DIRECTORS</w:t>
              </w:r>
            </w:hyperlink>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8991D" w:val="clear"/>
            <w:tcMar>
              <w:bottom w:w="53" w:type="dxa"/>
            </w:tcMar>
            <w:vAlign w:val="center"/>
          </w:tcPr>
          <w:p>
            <w:pPr>
              <w:pStyle w:val="TableContents"/>
              <w:bidi w:val="0"/>
              <w:spacing w:before="0" w:after="283"/>
              <w:jc w:val="right"/>
              <w:rPr/>
            </w:pPr>
            <w:hyperlink w:anchor="tPROP1">
              <w:r>
                <w:rPr>
                  <w:rStyle w:val="InternetLink"/>
                  <w:rFonts w:ascii="Times;Georgia" w:hAnsi="Times;Georgia"/>
                  <w:color w:val="FFFFFF"/>
                  <w:sz w:val="32"/>
                </w:rPr>
                <w:t>23</w:t>
              </w:r>
            </w:hyperlink>
          </w:p>
        </w:tc>
        <w:tc>
          <w:tcPr>
            <w:tcW w:w="21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NOMI">
              <w:r>
                <w:rPr>
                  <w:rStyle w:val="InternetLink"/>
                  <w:rFonts w:ascii="Arial" w:hAnsi="Arial"/>
                  <w:color w:val="000000"/>
                  <w:sz w:val="16"/>
                </w:rPr>
                <w:t>Nominees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NOMI">
              <w:r>
                <w:rPr>
                  <w:rStyle w:val="InternetLink"/>
                  <w:rFonts w:ascii="Times;Georgia" w:hAnsi="Times;Georgia"/>
                  <w:color w:val="255993"/>
                  <w:sz w:val="32"/>
                </w:rPr>
                <w:t>23</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VR">
              <w:r>
                <w:rPr>
                  <w:rStyle w:val="InternetLink"/>
                  <w:rFonts w:ascii="Arial" w:hAnsi="Arial"/>
                  <w:color w:val="000000"/>
                  <w:sz w:val="16"/>
                </w:rPr>
                <w:t xml:space="preserve">Vote Required </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VR">
              <w:r>
                <w:rPr>
                  <w:rStyle w:val="InternetLink"/>
                  <w:rFonts w:ascii="Times;Georgia" w:hAnsi="Times;Georgia"/>
                  <w:color w:val="255993"/>
                  <w:sz w:val="32"/>
                </w:rPr>
                <w:t>23</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BOR">
              <w:r>
                <w:rPr>
                  <w:rStyle w:val="InternetLink"/>
                  <w:rFonts w:ascii="Arial" w:hAnsi="Arial"/>
                  <w:color w:val="000000"/>
                  <w:sz w:val="16"/>
                </w:rPr>
                <w:t>Board Recommendation</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BOR">
              <w:r>
                <w:rPr>
                  <w:rStyle w:val="InternetLink"/>
                  <w:rFonts w:ascii="Times;Georgia" w:hAnsi="Times;Georgia"/>
                  <w:color w:val="255993"/>
                  <w:sz w:val="32"/>
                </w:rPr>
                <w:t>23</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8991D" w:val="clear"/>
            <w:tcMar>
              <w:bottom w:w="53" w:type="dxa"/>
            </w:tcMar>
            <w:vAlign w:val="center"/>
          </w:tcPr>
          <w:p>
            <w:pPr>
              <w:pStyle w:val="TableContents"/>
              <w:bidi w:val="0"/>
              <w:spacing w:before="0" w:after="283"/>
              <w:ind w:left="70" w:right="0" w:hanging="0"/>
              <w:jc w:val="left"/>
              <w:rPr/>
            </w:pPr>
            <w:hyperlink w:anchor="tPROP2">
              <w:r>
                <w:rPr>
                  <w:rStyle w:val="InternetLink"/>
                  <w:rFonts w:ascii="Arial" w:hAnsi="Arial"/>
                  <w:b/>
                  <w:color w:val="FFFFFF"/>
                  <w:sz w:val="18"/>
                </w:rPr>
                <w:t>PROPOSAL NO. 2: RATIFICATION OF APPOINTMENT OF INDEPENDENT REGISTERED PUBLIC ACCOUNTING FIRM</w:t>
              </w:r>
            </w:hyperlink>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8991D" w:val="clear"/>
            <w:tcMar>
              <w:bottom w:w="53" w:type="dxa"/>
            </w:tcMar>
            <w:vAlign w:val="center"/>
          </w:tcPr>
          <w:p>
            <w:pPr>
              <w:pStyle w:val="TableContents"/>
              <w:bidi w:val="0"/>
              <w:spacing w:before="0" w:after="283"/>
              <w:jc w:val="right"/>
              <w:rPr/>
            </w:pPr>
            <w:hyperlink w:anchor="tPROP2">
              <w:r>
                <w:rPr>
                  <w:rStyle w:val="InternetLink"/>
                  <w:rFonts w:ascii="Times;Georgia" w:hAnsi="Times;Georgia"/>
                  <w:color w:val="FFFFFF"/>
                  <w:sz w:val="32"/>
                </w:rPr>
                <w:t>24</w:t>
              </w:r>
            </w:hyperlink>
          </w:p>
        </w:tc>
        <w:tc>
          <w:tcPr>
            <w:tcW w:w="21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FPIR">
              <w:r>
                <w:rPr>
                  <w:rStyle w:val="InternetLink"/>
                  <w:rFonts w:ascii="Arial" w:hAnsi="Arial"/>
                  <w:color w:val="000000"/>
                  <w:sz w:val="16"/>
                </w:rPr>
                <w:t>Fees Paid to the Independent Registered Public Accounting Firm</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FPIR">
              <w:r>
                <w:rPr>
                  <w:rStyle w:val="InternetLink"/>
                  <w:rFonts w:ascii="Times;Georgia" w:hAnsi="Times;Georgia"/>
                  <w:color w:val="255993"/>
                  <w:sz w:val="32"/>
                </w:rPr>
                <w:t>24</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AUIN">
              <w:r>
                <w:rPr>
                  <w:rStyle w:val="InternetLink"/>
                  <w:rFonts w:ascii="Arial" w:hAnsi="Arial"/>
                  <w:color w:val="000000"/>
                  <w:sz w:val="16"/>
                </w:rPr>
                <w:t>Auditor Independence</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AUIN">
              <w:r>
                <w:rPr>
                  <w:rStyle w:val="InternetLink"/>
                  <w:rFonts w:ascii="Times;Georgia" w:hAnsi="Times;Georgia"/>
                  <w:color w:val="255993"/>
                  <w:sz w:val="32"/>
                </w:rPr>
                <w:t>25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9085" w:type="dxa"/>
            <w:tcBorders/>
            <w:shd w:fill="FAFAFA" w:val="clear"/>
            <w:vAlign w:val="center"/>
          </w:tcPr>
          <w:p>
            <w:pPr>
              <w:pStyle w:val="TableContents"/>
              <w:bidi w:val="0"/>
              <w:spacing w:before="0" w:after="283"/>
              <w:ind w:left="270" w:right="0" w:hanging="0"/>
              <w:jc w:val="left"/>
              <w:rPr/>
            </w:pPr>
            <w:hyperlink w:anchor="tAPAP">
              <w:r>
                <w:rPr>
                  <w:rStyle w:val="InternetLink"/>
                  <w:rFonts w:ascii="Arial" w:hAnsi="Arial"/>
                  <w:color w:val="000000"/>
                  <w:sz w:val="16"/>
                </w:rPr>
                <w:t>Audit Committee Policy on Pre-Approval of Audit and Permissible Non-Audit Services</w:t>
              </w:r>
            </w:hyperlink>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380" w:type="dxa"/>
            <w:tcBorders/>
            <w:shd w:fill="FAFAFA" w:val="clear"/>
            <w:vAlign w:val="center"/>
          </w:tcPr>
          <w:p>
            <w:pPr>
              <w:pStyle w:val="TableContents"/>
              <w:bidi w:val="0"/>
              <w:spacing w:before="0" w:after="283"/>
              <w:jc w:val="right"/>
              <w:rPr/>
            </w:pPr>
            <w:hyperlink w:anchor="tAPAP">
              <w:r>
                <w:rPr>
                  <w:rStyle w:val="InternetLink"/>
                  <w:rFonts w:ascii="Times;Georgia" w:hAnsi="Times;Georgia"/>
                  <w:color w:val="255993"/>
                  <w:sz w:val="32"/>
                </w:rPr>
                <w:t>25</w:t>
              </w:r>
            </w:hyperlink>
          </w:p>
        </w:tc>
        <w:tc>
          <w:tcPr>
            <w:tcW w:w="215" w:type="dxa"/>
            <w:tcBorders/>
            <w:shd w:fill="FAFAFA"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44300x2_def14a_104-toc_pg2"/>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9085"/>
        <w:gridCol w:w="170"/>
        <w:gridCol w:w="170"/>
        <w:gridCol w:w="380"/>
        <w:gridCol w:w="215"/>
      </w:tblGrid>
      <w:tr>
        <w:trPr/>
        <w:tc>
          <w:tcPr>
            <w:tcW w:w="185" w:type="dxa"/>
            <w:tcBorders/>
            <w:shd w:fill="EBEBEB" w:val="clear"/>
            <w:vAlign w:val="center"/>
          </w:tcPr>
          <w:p>
            <w:pPr>
              <w:pStyle w:val="TableContents"/>
              <w:bidi w:val="0"/>
              <w:spacing w:before="0" w:after="0"/>
              <w:jc w:val="left"/>
              <w:rPr/>
            </w:pPr>
            <w:r>
              <w:rPr/>
              <w:t> </w:t>
            </w:r>
          </w:p>
        </w:tc>
        <w:tc>
          <w:tcPr>
            <w:tcW w:w="908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380"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VR2">
              <w:r>
                <w:rPr>
                  <w:rStyle w:val="InternetLink"/>
                  <w:rFonts w:ascii="Arial" w:hAnsi="Arial"/>
                  <w:color w:val="000000"/>
                  <w:sz w:val="16"/>
                </w:rPr>
                <w:t xml:space="preserve">Vote Required </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VR2">
              <w:r>
                <w:rPr>
                  <w:rStyle w:val="InternetLink"/>
                  <w:rFonts w:ascii="Times;Georgia" w:hAnsi="Times;Georgia"/>
                  <w:color w:val="255993"/>
                  <w:sz w:val="32"/>
                </w:rPr>
                <w:t>25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BRN2">
              <w:r>
                <w:rPr>
                  <w:rStyle w:val="InternetLink"/>
                  <w:rFonts w:ascii="Arial" w:hAnsi="Arial"/>
                  <w:color w:val="000000"/>
                  <w:sz w:val="16"/>
                </w:rPr>
                <w:t>Board Recommendation</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BRN2">
              <w:r>
                <w:rPr>
                  <w:rStyle w:val="InternetLink"/>
                  <w:rFonts w:ascii="Times;Georgia" w:hAnsi="Times;Georgia"/>
                  <w:color w:val="255993"/>
                  <w:sz w:val="32"/>
                </w:rPr>
                <w:t>25</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70" w:right="0" w:hanging="0"/>
              <w:jc w:val="left"/>
              <w:rPr/>
            </w:pPr>
            <w:hyperlink w:anchor="tRAC">
              <w:r>
                <w:rPr>
                  <w:rStyle w:val="InternetLink"/>
                  <w:rFonts w:ascii="Arial" w:hAnsi="Arial"/>
                  <w:b/>
                  <w:color w:val="255993"/>
                  <w:sz w:val="18"/>
                </w:rPr>
                <w:t>REPORT OF THE AUDIT COMMITTEE</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RAC">
              <w:r>
                <w:rPr>
                  <w:rStyle w:val="InternetLink"/>
                  <w:rFonts w:ascii="Times;Georgia" w:hAnsi="Times;Georgia"/>
                  <w:color w:val="255993"/>
                  <w:sz w:val="32"/>
                </w:rPr>
                <w:t>26</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8991D" w:val="clear"/>
            <w:tcMar>
              <w:bottom w:w="53" w:type="dxa"/>
            </w:tcMar>
            <w:vAlign w:val="center"/>
          </w:tcPr>
          <w:p>
            <w:pPr>
              <w:pStyle w:val="TableContents"/>
              <w:bidi w:val="0"/>
              <w:spacing w:before="0" w:after="283"/>
              <w:ind w:left="250" w:right="0" w:hanging="180"/>
              <w:jc w:val="left"/>
              <w:rPr/>
            </w:pPr>
            <w:hyperlink w:anchor="tPROP3">
              <w:r>
                <w:rPr>
                  <w:rStyle w:val="InternetLink"/>
                  <w:rFonts w:ascii="Arial" w:hAnsi="Arial"/>
                  <w:b/>
                  <w:color w:val="FFFFFF"/>
                  <w:sz w:val="18"/>
                </w:rPr>
                <w:t>PROPOSAL NO. 3: APPROVAL OF PROPOSED AMENDMENTS TO OUR AMENDED AND RESTATED CERTIFICATE OF INCORPORATION TO EFFECT A REVERSE STOCK SPLIT AND REDUCE THE TOTAL NUMBER OF AUTHORIZED SHARES OF COMMON STOCK</w:t>
              </w:r>
            </w:hyperlink>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8991D" w:val="clear"/>
            <w:tcMar>
              <w:bottom w:w="53" w:type="dxa"/>
            </w:tcMar>
            <w:vAlign w:val="center"/>
          </w:tcPr>
          <w:p>
            <w:pPr>
              <w:pStyle w:val="TableContents"/>
              <w:bidi w:val="0"/>
              <w:spacing w:before="0" w:after="283"/>
              <w:jc w:val="right"/>
              <w:rPr/>
            </w:pPr>
            <w:hyperlink w:anchor="tPROP3">
              <w:r>
                <w:rPr>
                  <w:rStyle w:val="InternetLink"/>
                  <w:rFonts w:ascii="Times;Georgia" w:hAnsi="Times;Georgia"/>
                  <w:color w:val="FFFFFF"/>
                  <w:sz w:val="32"/>
                </w:rPr>
                <w:t>27</w:t>
              </w:r>
            </w:hyperlink>
          </w:p>
        </w:tc>
        <w:tc>
          <w:tcPr>
            <w:tcW w:w="21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PAA3">
              <w:r>
                <w:rPr>
                  <w:rStyle w:val="InternetLink"/>
                  <w:rFonts w:ascii="Arial" w:hAnsi="Arial"/>
                  <w:color w:val="000000"/>
                  <w:sz w:val="16"/>
                </w:rPr>
                <w:t>Proposed Amendments to the Amended and Restated Certificate of Incorporation</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PAA3">
              <w:r>
                <w:rPr>
                  <w:rStyle w:val="InternetLink"/>
                  <w:rFonts w:ascii="Times;Georgia" w:hAnsi="Times;Georgia"/>
                  <w:color w:val="255993"/>
                  <w:sz w:val="32"/>
                </w:rPr>
                <w:t>27</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RTR">
              <w:r>
                <w:rPr>
                  <w:rStyle w:val="InternetLink"/>
                  <w:color w:val="000000"/>
                </w:rPr>
                <w:t>​</w:t>
              </w:r>
            </w:hyperlink>
            <w:hyperlink w:anchor="tRTR">
              <w:r>
                <w:rPr>
                  <w:rStyle w:val="InternetLink"/>
                  <w:rFonts w:ascii="Arial" w:hAnsi="Arial"/>
                  <w:color w:val="000000"/>
                  <w:sz w:val="16"/>
                </w:rPr>
                <w:t>Reasons for the Reverse Stock Split</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RTR">
              <w:r>
                <w:rPr>
                  <w:rStyle w:val="InternetLink"/>
                  <w:rFonts w:ascii="Times;Georgia" w:hAnsi="Times;Georgia"/>
                  <w:color w:val="255993"/>
                  <w:sz w:val="32"/>
                </w:rPr>
                <w:t>27</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RFT">
              <w:r>
                <w:rPr>
                  <w:rStyle w:val="InternetLink"/>
                  <w:rFonts w:ascii="Arial" w:hAnsi="Arial"/>
                  <w:color w:val="000000"/>
                  <w:sz w:val="16"/>
                </w:rPr>
                <w:t xml:space="preserve">Reasons for the Reduction in the Authorized Number of Shares of Common Stock </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RFT">
              <w:r>
                <w:rPr>
                  <w:rStyle w:val="InternetLink"/>
                  <w:rFonts w:ascii="Times;Georgia" w:hAnsi="Times;Georgia"/>
                  <w:color w:val="255993"/>
                  <w:sz w:val="32"/>
                </w:rPr>
                <w:t>28</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RA">
              <w:r>
                <w:rPr>
                  <w:rStyle w:val="InternetLink"/>
                  <w:rFonts w:ascii="Arial" w:hAnsi="Arial"/>
                  <w:color w:val="000000"/>
                  <w:sz w:val="16"/>
                </w:rPr>
                <w:t>Certain Risks Associated with a Reverse Stock Split</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RA">
              <w:r>
                <w:rPr>
                  <w:rStyle w:val="InternetLink"/>
                  <w:rFonts w:ascii="Times;Georgia" w:hAnsi="Times;Georgia"/>
                  <w:color w:val="255993"/>
                  <w:sz w:val="32"/>
                </w:rPr>
                <w:t>29</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PTR">
              <w:r>
                <w:rPr>
                  <w:rStyle w:val="InternetLink"/>
                  <w:color w:val="000000"/>
                </w:rPr>
                <w:t>​</w:t>
              </w:r>
            </w:hyperlink>
            <w:hyperlink w:anchor="tPTR">
              <w:r>
                <w:rPr>
                  <w:rStyle w:val="InternetLink"/>
                  <w:rFonts w:ascii="Arial" w:hAnsi="Arial"/>
                  <w:color w:val="000000"/>
                  <w:sz w:val="16"/>
                </w:rPr>
                <w:t>Principal Effects of the Reverse Stock Split and the Authorized Share Reduction</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PTR">
              <w:r>
                <w:rPr>
                  <w:rStyle w:val="InternetLink"/>
                  <w:rFonts w:ascii="Times;Georgia" w:hAnsi="Times;Georgia"/>
                  <w:color w:val="255993"/>
                  <w:sz w:val="32"/>
                </w:rPr>
                <w:t>30</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EOE">
              <w:r>
                <w:rPr>
                  <w:rStyle w:val="InternetLink"/>
                  <w:rFonts w:ascii="Arial" w:hAnsi="Arial"/>
                  <w:color w:val="000000"/>
                  <w:sz w:val="16"/>
                </w:rPr>
                <w:t xml:space="preserve">Effect On Equity Compensation Plans, Outstanding Options and RSUs </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EOE">
              <w:r>
                <w:rPr>
                  <w:rStyle w:val="InternetLink"/>
                  <w:rFonts w:ascii="Times;Georgia" w:hAnsi="Times;Georgia"/>
                  <w:color w:val="255993"/>
                  <w:sz w:val="32"/>
                </w:rPr>
                <w:t>31</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AM">
              <w:r>
                <w:rPr>
                  <w:rStyle w:val="InternetLink"/>
                  <w:rFonts w:ascii="Arial" w:hAnsi="Arial"/>
                  <w:color w:val="000000"/>
                  <w:sz w:val="16"/>
                </w:rPr>
                <w:t>Accounting Matters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AM">
              <w:r>
                <w:rPr>
                  <w:rStyle w:val="InternetLink"/>
                  <w:rFonts w:ascii="Times;Georgia" w:hAnsi="Times;Georgia"/>
                  <w:color w:val="255993"/>
                  <w:sz w:val="32"/>
                </w:rPr>
                <w:t>31</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MOT">
              <w:r>
                <w:rPr>
                  <w:rStyle w:val="InternetLink"/>
                  <w:rFonts w:ascii="Arial" w:hAnsi="Arial"/>
                  <w:color w:val="000000"/>
                  <w:sz w:val="16"/>
                </w:rPr>
                <w:t>Mechanics of the Reverse Stock Split</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MOT">
              <w:r>
                <w:rPr>
                  <w:rStyle w:val="InternetLink"/>
                  <w:rFonts w:ascii="Times;Georgia" w:hAnsi="Times;Georgia"/>
                  <w:color w:val="255993"/>
                  <w:sz w:val="32"/>
                </w:rPr>
                <w:t>31</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PFI">
              <w:r>
                <w:rPr>
                  <w:rStyle w:val="InternetLink"/>
                  <w:rFonts w:ascii="Arial" w:hAnsi="Arial"/>
                  <w:color w:val="000000"/>
                  <w:sz w:val="16"/>
                </w:rPr>
                <w:t>Procedure for Implementing the Reverse Stock Split</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PFI">
              <w:r>
                <w:rPr>
                  <w:rStyle w:val="InternetLink"/>
                  <w:rFonts w:ascii="Times;Georgia" w:hAnsi="Times;Georgia"/>
                  <w:color w:val="255993"/>
                  <w:sz w:val="32"/>
                </w:rPr>
                <w:t>32</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NAR">
              <w:r>
                <w:rPr>
                  <w:rStyle w:val="InternetLink"/>
                  <w:rFonts w:ascii="Arial" w:hAnsi="Arial"/>
                  <w:color w:val="000000"/>
                  <w:sz w:val="16"/>
                </w:rPr>
                <w:t xml:space="preserve">No Appraisal Rights </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NAR">
              <w:r>
                <w:rPr>
                  <w:rStyle w:val="InternetLink"/>
                  <w:rFonts w:ascii="Times;Georgia" w:hAnsi="Times;Georgia"/>
                  <w:color w:val="255993"/>
                  <w:sz w:val="32"/>
                </w:rPr>
                <w:t>33</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MUS">
              <w:r>
                <w:rPr>
                  <w:rStyle w:val="InternetLink"/>
                  <w:rFonts w:ascii="Arial" w:hAnsi="Arial"/>
                  <w:color w:val="000000"/>
                  <w:sz w:val="16"/>
                </w:rPr>
                <w:t xml:space="preserve">Material U.S. Federal Income Tax Considerations of the Reverse Stock Split </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MUS">
              <w:r>
                <w:rPr>
                  <w:rStyle w:val="InternetLink"/>
                  <w:rFonts w:ascii="Times;Georgia" w:hAnsi="Times;Georgia"/>
                  <w:color w:val="255993"/>
                  <w:sz w:val="32"/>
                </w:rPr>
                <w:t>33</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VR3">
              <w:r>
                <w:rPr>
                  <w:rStyle w:val="InternetLink"/>
                  <w:rFonts w:ascii="Arial" w:hAnsi="Arial"/>
                  <w:color w:val="000000"/>
                  <w:sz w:val="16"/>
                </w:rPr>
                <w:t>Vote Required</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VR3">
              <w:r>
                <w:rPr>
                  <w:rStyle w:val="InternetLink"/>
                  <w:rFonts w:ascii="Times;Georgia" w:hAnsi="Times;Georgia"/>
                  <w:color w:val="255993"/>
                  <w:sz w:val="32"/>
                </w:rPr>
                <w:t>35</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BRN3">
              <w:r>
                <w:rPr>
                  <w:rStyle w:val="InternetLink"/>
                  <w:rFonts w:ascii="Arial" w:hAnsi="Arial"/>
                  <w:color w:val="000000"/>
                  <w:sz w:val="16"/>
                </w:rPr>
                <w:t>Board Recommendation</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BRN3">
              <w:r>
                <w:rPr>
                  <w:rStyle w:val="InternetLink"/>
                  <w:rFonts w:ascii="Times;Georgia" w:hAnsi="Times;Georgia"/>
                  <w:color w:val="255993"/>
                  <w:sz w:val="32"/>
                </w:rPr>
                <w:t>35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EXOF">
              <w:r>
                <w:rPr>
                  <w:rStyle w:val="InternetLink"/>
                  <w:rFonts w:ascii="Arial" w:hAnsi="Arial"/>
                  <w:b/>
                  <w:color w:val="255993"/>
                  <w:sz w:val="18"/>
                </w:rPr>
                <w:t>EXECUTIVE OFFICERS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EXOF">
              <w:r>
                <w:rPr>
                  <w:rStyle w:val="InternetLink"/>
                  <w:rFonts w:ascii="Times;Georgia" w:hAnsi="Times;Georgia"/>
                  <w:color w:val="255993"/>
                  <w:sz w:val="32"/>
                </w:rPr>
                <w:t>36</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EXOS">
              <w:r>
                <w:rPr>
                  <w:rStyle w:val="InternetLink"/>
                  <w:rFonts w:ascii="Arial" w:hAnsi="Arial"/>
                  <w:color w:val="000000"/>
                  <w:sz w:val="16"/>
                </w:rPr>
                <w:t>Executive Officers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EXOS">
              <w:r>
                <w:rPr>
                  <w:rStyle w:val="InternetLink"/>
                  <w:rFonts w:ascii="Times;Georgia" w:hAnsi="Times;Georgia"/>
                  <w:color w:val="255993"/>
                  <w:sz w:val="32"/>
                </w:rPr>
                <w:t>36</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EXCO">
              <w:r>
                <w:rPr>
                  <w:rStyle w:val="InternetLink"/>
                  <w:rFonts w:ascii="Arial" w:hAnsi="Arial"/>
                  <w:b/>
                  <w:color w:val="255993"/>
                  <w:sz w:val="18"/>
                </w:rPr>
                <w:t>EXECUTIVE COMPENSATION</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EXCO">
              <w:r>
                <w:rPr>
                  <w:rStyle w:val="InternetLink"/>
                  <w:rFonts w:ascii="Times;Georgia" w:hAnsi="Times;Georgia"/>
                  <w:color w:val="255993"/>
                  <w:sz w:val="32"/>
                </w:rPr>
                <w:t>39</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PPCD">
              <w:r>
                <w:rPr>
                  <w:rStyle w:val="InternetLink"/>
                  <w:rFonts w:ascii="Arial" w:hAnsi="Arial"/>
                  <w:color w:val="000000"/>
                  <w:sz w:val="16"/>
                </w:rPr>
                <w:t>Processes and Procedures for Compensation Decisions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PPCD">
              <w:r>
                <w:rPr>
                  <w:rStyle w:val="InternetLink"/>
                  <w:rFonts w:ascii="Times;Georgia" w:hAnsi="Times;Georgia"/>
                  <w:color w:val="255993"/>
                  <w:sz w:val="32"/>
                </w:rPr>
                <w:t>39</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EXCO">
              <w:r>
                <w:rPr>
                  <w:rStyle w:val="InternetLink"/>
                  <w:rFonts w:ascii="Arial" w:hAnsi="Arial"/>
                  <w:color w:val="000000"/>
                  <w:sz w:val="16"/>
                </w:rPr>
                <w:t>Executive Compensation</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EXCO">
              <w:r>
                <w:rPr>
                  <w:rStyle w:val="InternetLink"/>
                  <w:rFonts w:ascii="Times;Georgia" w:hAnsi="Times;Georgia"/>
                  <w:color w:val="255993"/>
                  <w:sz w:val="32"/>
                </w:rPr>
                <w:t>39</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SCT">
              <w:r>
                <w:rPr>
                  <w:rStyle w:val="InternetLink"/>
                  <w:rFonts w:ascii="Arial" w:hAnsi="Arial"/>
                  <w:color w:val="000000"/>
                  <w:sz w:val="16"/>
                </w:rPr>
                <w:t>2023-2024 Summary Compensation Table</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SCT">
              <w:r>
                <w:rPr>
                  <w:rStyle w:val="InternetLink"/>
                  <w:rFonts w:ascii="Times;Georgia" w:hAnsi="Times;Georgia"/>
                  <w:color w:val="255993"/>
                  <w:sz w:val="32"/>
                </w:rPr>
                <w:t>40</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OEAD">
              <w:r>
                <w:rPr>
                  <w:rStyle w:val="InternetLink"/>
                  <w:rFonts w:ascii="Arial" w:hAnsi="Arial"/>
                  <w:color w:val="000000"/>
                  <w:sz w:val="16"/>
                </w:rPr>
                <w:t>Outstanding Equity Awards at December 31, 2024</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OEAD">
              <w:r>
                <w:rPr>
                  <w:rStyle w:val="InternetLink"/>
                  <w:rFonts w:ascii="Times;Georgia" w:hAnsi="Times;Georgia"/>
                  <w:color w:val="255993"/>
                  <w:sz w:val="32"/>
                </w:rPr>
                <w:t>41</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EEA">
              <w:r>
                <w:rPr>
                  <w:rStyle w:val="InternetLink"/>
                  <w:rFonts w:ascii="Arial" w:hAnsi="Arial"/>
                  <w:color w:val="000000"/>
                  <w:sz w:val="16"/>
                </w:rPr>
                <w:t>Executive Employment Arrangements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EEA">
              <w:r>
                <w:rPr>
                  <w:rStyle w:val="InternetLink"/>
                  <w:rFonts w:ascii="Times;Georgia" w:hAnsi="Times;Georgia"/>
                  <w:color w:val="255993"/>
                  <w:sz w:val="32"/>
                </w:rPr>
                <w:t>42</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CCSA">
              <w:r>
                <w:rPr>
                  <w:rStyle w:val="InternetLink"/>
                  <w:rFonts w:ascii="Arial" w:hAnsi="Arial"/>
                  <w:color w:val="000000"/>
                  <w:sz w:val="16"/>
                </w:rPr>
                <w:t>Change in Control and Severance Agreements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CCSA">
              <w:r>
                <w:rPr>
                  <w:rStyle w:val="InternetLink"/>
                  <w:rFonts w:ascii="Times;Georgia" w:hAnsi="Times;Georgia"/>
                  <w:color w:val="255993"/>
                  <w:sz w:val="32"/>
                </w:rPr>
                <w:t>43</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EA">
              <w:r>
                <w:rPr>
                  <w:rStyle w:val="InternetLink"/>
                  <w:rFonts w:ascii="Arial" w:hAnsi="Arial"/>
                  <w:color w:val="000000"/>
                  <w:sz w:val="16"/>
                </w:rPr>
                <w:t>Equity Awards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EA">
              <w:r>
                <w:rPr>
                  <w:rStyle w:val="InternetLink"/>
                  <w:rFonts w:ascii="Times;Georgia" w:hAnsi="Times;Georgia"/>
                  <w:color w:val="255993"/>
                  <w:sz w:val="32"/>
                </w:rPr>
                <w:t>45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EIP1">
              <w:r>
                <w:rPr>
                  <w:rStyle w:val="InternetLink"/>
                  <w:rFonts w:ascii="Arial" w:hAnsi="Arial"/>
                  <w:color w:val="000000"/>
                  <w:sz w:val="16"/>
                </w:rPr>
                <w:t>Equity Incentive Plans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EIP1">
              <w:r>
                <w:rPr>
                  <w:rStyle w:val="InternetLink"/>
                  <w:rFonts w:ascii="Times;Georgia" w:hAnsi="Times;Georgia"/>
                  <w:color w:val="255993"/>
                  <w:sz w:val="32"/>
                </w:rPr>
                <w:t>46</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CP1">
              <w:r>
                <w:rPr>
                  <w:rStyle w:val="InternetLink"/>
                  <w:rFonts w:ascii="Arial" w:hAnsi="Arial"/>
                  <w:color w:val="000000"/>
                  <w:sz w:val="16"/>
                </w:rPr>
                <w:t>Clawback Policy</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CP1">
              <w:r>
                <w:rPr>
                  <w:rStyle w:val="InternetLink"/>
                  <w:rFonts w:ascii="Times;Georgia" w:hAnsi="Times;Georgia"/>
                  <w:color w:val="255993"/>
                  <w:sz w:val="32"/>
                </w:rPr>
                <w:t>46</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08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EICP">
              <w:r>
                <w:rPr>
                  <w:rStyle w:val="InternetLink"/>
                  <w:rFonts w:ascii="Arial" w:hAnsi="Arial"/>
                  <w:color w:val="000000"/>
                  <w:sz w:val="16"/>
                </w:rPr>
                <w:t>Executive Incentive Compensation Plan</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0"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EICP">
              <w:r>
                <w:rPr>
                  <w:rStyle w:val="InternetLink"/>
                  <w:rFonts w:ascii="Times;Georgia" w:hAnsi="Times;Georgia"/>
                  <w:color w:val="255993"/>
                  <w:sz w:val="32"/>
                </w:rPr>
                <w:t>47</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9085" w:type="dxa"/>
            <w:tcBorders/>
            <w:shd w:fill="EBEBEB" w:val="clear"/>
            <w:vAlign w:val="center"/>
          </w:tcPr>
          <w:p>
            <w:pPr>
              <w:pStyle w:val="TableContents"/>
              <w:bidi w:val="0"/>
              <w:spacing w:before="0" w:after="283"/>
              <w:ind w:left="270" w:right="0" w:hanging="0"/>
              <w:jc w:val="left"/>
              <w:rPr/>
            </w:pPr>
            <w:hyperlink w:anchor="tEGP">
              <w:r>
                <w:rPr>
                  <w:rStyle w:val="InternetLink"/>
                  <w:rFonts w:ascii="Arial" w:hAnsi="Arial"/>
                  <w:color w:val="000000"/>
                  <w:sz w:val="16"/>
                </w:rPr>
                <w:t xml:space="preserve">Equity Granting Practices </w:t>
              </w:r>
            </w:hyperlink>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380" w:type="dxa"/>
            <w:tcBorders/>
            <w:shd w:fill="EBEBEB" w:val="clear"/>
            <w:vAlign w:val="center"/>
          </w:tcPr>
          <w:p>
            <w:pPr>
              <w:pStyle w:val="TableContents"/>
              <w:bidi w:val="0"/>
              <w:spacing w:before="0" w:after="283"/>
              <w:jc w:val="right"/>
              <w:rPr/>
            </w:pPr>
            <w:hyperlink w:anchor="tEGP">
              <w:r>
                <w:rPr>
                  <w:rStyle w:val="InternetLink"/>
                  <w:rFonts w:ascii="Times;Georgia" w:hAnsi="Times;Georgia"/>
                  <w:color w:val="255993"/>
                  <w:sz w:val="32"/>
                </w:rPr>
                <w:t>48</w:t>
              </w:r>
            </w:hyperlink>
          </w:p>
        </w:tc>
        <w:tc>
          <w:tcPr>
            <w:tcW w:w="215" w:type="dxa"/>
            <w:tcBorders/>
            <w:shd w:fill="EBEBEB"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44300x2_def14a_104-toc_pg3"/>
        <w:bookmarkEnd w:id="11"/>
        <w:r>
          <w:rPr>
            <w:rStyle w:val="InternetLink"/>
            <w:rFonts w:ascii="Times New Roman;Times;Serif" w:hAnsi="Times New Roman;Times;Serif"/>
            <w:b/>
            <w:caps w:val="false"/>
            <w:smallCaps w:val="false"/>
            <w:color w:val="000000"/>
            <w:sz w:val="16"/>
          </w:rPr>
          <w:t>TABLE OF CONTENTS</w:t>
        </w:r>
      </w:hyperlink>
    </w:p>
    <w:tbl>
      <w:tblPr>
        <w:tblW w:w="8640" w:type="dxa"/>
        <w:jc w:val="left"/>
        <w:tblInd w:w="0" w:type="dxa"/>
        <w:tblLayout w:type="fixed"/>
        <w:tblCellMar>
          <w:top w:w="0" w:type="dxa"/>
          <w:left w:w="0" w:type="dxa"/>
          <w:bottom w:w="0" w:type="dxa"/>
          <w:right w:w="0" w:type="dxa"/>
        </w:tblCellMar>
      </w:tblPr>
      <w:tblGrid>
        <w:gridCol w:w="185"/>
        <w:gridCol w:w="7355"/>
        <w:gridCol w:w="170"/>
        <w:gridCol w:w="170"/>
        <w:gridCol w:w="545"/>
        <w:gridCol w:w="215"/>
      </w:tblGrid>
      <w:tr>
        <w:trPr/>
        <w:tc>
          <w:tcPr>
            <w:tcW w:w="185" w:type="dxa"/>
            <w:tcBorders/>
            <w:shd w:fill="FAFAFA" w:val="clear"/>
            <w:vAlign w:val="center"/>
          </w:tcPr>
          <w:p>
            <w:pPr>
              <w:pStyle w:val="TableContents"/>
              <w:bidi w:val="0"/>
              <w:spacing w:before="0" w:after="0"/>
              <w:jc w:val="left"/>
              <w:rPr/>
            </w:pPr>
            <w:r>
              <w:rPr/>
              <w:t> </w:t>
            </w:r>
          </w:p>
        </w:tc>
        <w:tc>
          <w:tcPr>
            <w:tcW w:w="735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545" w:type="dxa"/>
            <w:tcBorders/>
            <w:shd w:fill="FAFAFA" w:val="clear"/>
            <w:vAlign w:val="center"/>
          </w:tcPr>
          <w:p>
            <w:pPr>
              <w:pStyle w:val="TableContents"/>
              <w:bidi w:val="0"/>
              <w:spacing w:before="0" w:after="0"/>
              <w:jc w:val="left"/>
              <w:rPr/>
            </w:pPr>
            <w:r>
              <w:rPr/>
              <w:t> </w:t>
            </w:r>
          </w:p>
        </w:tc>
        <w:tc>
          <w:tcPr>
            <w:tcW w:w="215" w:type="dxa"/>
            <w:tcBorders/>
            <w:shd w:fill="FAFAFA" w:val="cle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SOCB">
              <w:r>
                <w:rPr>
                  <w:rStyle w:val="InternetLink"/>
                  <w:rFonts w:ascii="Arial" w:hAnsi="Arial"/>
                  <w:b/>
                  <w:color w:val="255993"/>
                  <w:sz w:val="18"/>
                </w:rPr>
                <w:t>SECURITY OWNERSHIP OF CERTAIN BENEFICIAL OWNERS AND MANAGEMENT</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SOCB">
              <w:r>
                <w:rPr>
                  <w:rStyle w:val="InternetLink"/>
                  <w:rFonts w:ascii="Times;Georgia" w:hAnsi="Times;Georgia"/>
                  <w:color w:val="255993"/>
                  <w:sz w:val="32"/>
                </w:rPr>
                <w:t>50</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EBEBEB" w:val="clear"/>
            <w:tcMar>
              <w:bottom w:w="53" w:type="dxa"/>
            </w:tcMar>
            <w:vAlign w:val="center"/>
          </w:tcPr>
          <w:p>
            <w:pPr>
              <w:pStyle w:val="TableContents"/>
              <w:bidi w:val="0"/>
              <w:spacing w:before="0" w:after="283"/>
              <w:ind w:left="70" w:right="0" w:hanging="0"/>
              <w:jc w:val="left"/>
              <w:rPr/>
            </w:pPr>
            <w:hyperlink w:anchor="tSAIU">
              <w:r>
                <w:rPr>
                  <w:rStyle w:val="InternetLink"/>
                  <w:rFonts w:ascii="Arial" w:hAnsi="Arial"/>
                  <w:b/>
                  <w:color w:val="255993"/>
                  <w:sz w:val="18"/>
                </w:rPr>
                <w:t>SECURITIES AUTHORIZED FOR ISSUANCE UNDER EQUITY COMPENSATION PLANS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SAIU">
              <w:r>
                <w:rPr>
                  <w:rStyle w:val="InternetLink"/>
                  <w:rFonts w:ascii="Times;Georgia" w:hAnsi="Times;Georgia"/>
                  <w:color w:val="255993"/>
                  <w:sz w:val="32"/>
                </w:rPr>
                <w:t>52</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RPT">
              <w:r>
                <w:rPr>
                  <w:rStyle w:val="InternetLink"/>
                  <w:rFonts w:ascii="Arial" w:hAnsi="Arial"/>
                  <w:b/>
                  <w:color w:val="255993"/>
                  <w:sz w:val="18"/>
                </w:rPr>
                <w:t>RELATED PERSON TRANSACTIONS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RPT">
              <w:r>
                <w:rPr>
                  <w:rStyle w:val="InternetLink"/>
                  <w:rFonts w:ascii="Times;Georgia" w:hAnsi="Times;Georgia"/>
                  <w:color w:val="255993"/>
                  <w:sz w:val="32"/>
                </w:rPr>
                <w:t>53</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RPTP">
              <w:r>
                <w:rPr>
                  <w:rStyle w:val="InternetLink"/>
                  <w:rFonts w:ascii="Arial" w:hAnsi="Arial"/>
                  <w:color w:val="000000"/>
                  <w:sz w:val="16"/>
                </w:rPr>
                <w:t>Related-Person Transactions Policy</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RPTP">
              <w:r>
                <w:rPr>
                  <w:rStyle w:val="InternetLink"/>
                  <w:rFonts w:ascii="Times;Georgia" w:hAnsi="Times;Georgia"/>
                  <w:color w:val="255993"/>
                  <w:sz w:val="32"/>
                </w:rPr>
                <w:t>53</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IRA">
              <w:r>
                <w:rPr>
                  <w:rStyle w:val="InternetLink"/>
                  <w:rFonts w:ascii="Arial" w:hAnsi="Arial"/>
                  <w:color w:val="000000"/>
                  <w:sz w:val="16"/>
                </w:rPr>
                <w:t>Investors’ Rights Agreement</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IRA">
              <w:r>
                <w:rPr>
                  <w:rStyle w:val="InternetLink"/>
                  <w:rFonts w:ascii="Times;Georgia" w:hAnsi="Times;Georgia"/>
                  <w:color w:val="255993"/>
                  <w:sz w:val="32"/>
                </w:rPr>
                <w:t>53</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OTTR">
              <w:r>
                <w:rPr>
                  <w:rStyle w:val="InternetLink"/>
                  <w:rFonts w:ascii="Arial" w:hAnsi="Arial"/>
                  <w:color w:val="000000"/>
                  <w:sz w:val="16"/>
                </w:rPr>
                <w:t>Other Transactions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OTTR">
              <w:r>
                <w:rPr>
                  <w:rStyle w:val="InternetLink"/>
                  <w:rFonts w:ascii="Times;Georgia" w:hAnsi="Times;Georgia"/>
                  <w:color w:val="255993"/>
                  <w:sz w:val="32"/>
                </w:rPr>
                <w:t>54</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OTMA">
              <w:r>
                <w:rPr>
                  <w:rStyle w:val="InternetLink"/>
                  <w:rFonts w:ascii="Arial" w:hAnsi="Arial"/>
                  <w:b/>
                  <w:color w:val="255993"/>
                  <w:sz w:val="18"/>
                </w:rPr>
                <w:t>OTHER MATTERS</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OTMA">
              <w:r>
                <w:rPr>
                  <w:rStyle w:val="InternetLink"/>
                  <w:rFonts w:ascii="Times;Georgia" w:hAnsi="Times;Georgia"/>
                  <w:color w:val="255993"/>
                  <w:sz w:val="32"/>
                </w:rPr>
                <w:t>55</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EBEBEB" w:val="clear"/>
            <w:tcMar>
              <w:bottom w:w="53" w:type="dxa"/>
            </w:tcMar>
            <w:vAlign w:val="center"/>
          </w:tcPr>
          <w:p>
            <w:pPr>
              <w:pStyle w:val="TableContents"/>
              <w:bidi w:val="0"/>
              <w:spacing w:before="0" w:after="283"/>
              <w:ind w:left="270" w:right="0" w:hanging="0"/>
              <w:jc w:val="left"/>
              <w:rPr/>
            </w:pPr>
            <w:hyperlink w:anchor="tABL">
              <w:r>
                <w:rPr>
                  <w:rStyle w:val="InternetLink"/>
                  <w:rFonts w:ascii="Arial" w:hAnsi="Arial"/>
                  <w:color w:val="000000"/>
                  <w:sz w:val="16"/>
                </w:rPr>
                <w:t>Availability of Bylaws</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ABL">
              <w:r>
                <w:rPr>
                  <w:rStyle w:val="InternetLink"/>
                  <w:rFonts w:ascii="Times;Georgia" w:hAnsi="Times;Georgia"/>
                  <w:color w:val="255993"/>
                  <w:sz w:val="32"/>
                </w:rPr>
                <w:t>55</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FAFAFA" w:val="clear"/>
            <w:tcMar>
              <w:bottom w:w="53" w:type="dxa"/>
            </w:tcMar>
            <w:vAlign w:val="center"/>
          </w:tcPr>
          <w:p>
            <w:pPr>
              <w:pStyle w:val="TableContents"/>
              <w:bidi w:val="0"/>
              <w:spacing w:before="0" w:after="283"/>
              <w:ind w:left="270" w:right="0" w:hanging="0"/>
              <w:jc w:val="left"/>
              <w:rPr/>
            </w:pPr>
            <w:hyperlink w:anchor="tANRE">
              <w:r>
                <w:rPr>
                  <w:rStyle w:val="InternetLink"/>
                  <w:rFonts w:ascii="Arial" w:hAnsi="Arial"/>
                  <w:color w:val="000000"/>
                  <w:sz w:val="16"/>
                </w:rPr>
                <w:t>2024 Annual Report</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ANRE">
              <w:r>
                <w:rPr>
                  <w:rStyle w:val="InternetLink"/>
                  <w:rFonts w:ascii="Times;Georgia" w:hAnsi="Times;Georgia"/>
                  <w:color w:val="255993"/>
                  <w:sz w:val="32"/>
                </w:rPr>
                <w:t>55</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EBEBEB" w:val="clear"/>
            <w:tcMar>
              <w:bottom w:w="53" w:type="dxa"/>
            </w:tcMar>
            <w:vAlign w:val="center"/>
          </w:tcPr>
          <w:p>
            <w:pPr>
              <w:pStyle w:val="TableContents"/>
              <w:bidi w:val="0"/>
              <w:spacing w:before="0" w:after="283"/>
              <w:ind w:left="70" w:right="0" w:hanging="0"/>
              <w:jc w:val="left"/>
              <w:rPr/>
            </w:pPr>
            <w:hyperlink w:anchor="tANNXA">
              <w:r>
                <w:rPr>
                  <w:rStyle w:val="InternetLink"/>
                  <w:rFonts w:ascii="Arial" w:hAnsi="Arial"/>
                  <w:b/>
                  <w:color w:val="255993"/>
                  <w:sz w:val="18"/>
                </w:rPr>
                <w:t>ANNEX A</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ANNXA">
              <w:r>
                <w:rPr>
                  <w:rStyle w:val="InternetLink"/>
                  <w:rFonts w:ascii="Times;Georgia" w:hAnsi="Times;Georgia"/>
                  <w:color w:val="255993"/>
                  <w:sz w:val="32"/>
                </w:rPr>
                <w:t>A-1</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FAFAFA" w:val="clear"/>
            <w:tcMar>
              <w:bottom w:w="53" w:type="dxa"/>
            </w:tcMar>
            <w:vAlign w:val="center"/>
          </w:tcPr>
          <w:p>
            <w:pPr>
              <w:pStyle w:val="TableContents"/>
              <w:bidi w:val="0"/>
              <w:spacing w:before="0" w:after="283"/>
              <w:ind w:left="70" w:right="0" w:hanging="0"/>
              <w:jc w:val="left"/>
              <w:rPr/>
            </w:pPr>
            <w:hyperlink w:anchor="tANNXB">
              <w:r>
                <w:rPr>
                  <w:rStyle w:val="InternetLink"/>
                  <w:rFonts w:ascii="Arial" w:hAnsi="Arial"/>
                  <w:b/>
                  <w:color w:val="255993"/>
                  <w:sz w:val="18"/>
                </w:rPr>
                <w:t>ANNEX B</w:t>
              </w:r>
            </w:hyperlink>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53" w:type="dxa"/>
            </w:tcMar>
            <w:vAlign w:val="center"/>
          </w:tcPr>
          <w:p>
            <w:pPr>
              <w:pStyle w:val="TableContents"/>
              <w:bidi w:val="0"/>
              <w:spacing w:before="0" w:after="283"/>
              <w:jc w:val="right"/>
              <w:rPr/>
            </w:pPr>
            <w:hyperlink w:anchor="tANNXB">
              <w:r>
                <w:rPr>
                  <w:rStyle w:val="InternetLink"/>
                  <w:rFonts w:ascii="Times;Georgia" w:hAnsi="Times;Georgia"/>
                  <w:color w:val="255993"/>
                  <w:sz w:val="32"/>
                </w:rPr>
                <w:t>B-1</w:t>
              </w:r>
            </w:hyperlink>
          </w:p>
        </w:tc>
        <w:tc>
          <w:tcPr>
            <w:tcW w:w="21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55" w:type="dxa"/>
            <w:tcBorders>
              <w:bottom w:val="single" w:sz="16" w:space="0" w:color="FFFFFF"/>
            </w:tcBorders>
            <w:shd w:fill="EBEBEB" w:val="clear"/>
            <w:tcMar>
              <w:bottom w:w="53" w:type="dxa"/>
            </w:tcMar>
            <w:vAlign w:val="center"/>
          </w:tcPr>
          <w:p>
            <w:pPr>
              <w:pStyle w:val="TableContents"/>
              <w:bidi w:val="0"/>
              <w:spacing w:before="0" w:after="283"/>
              <w:ind w:left="70" w:right="0" w:hanging="0"/>
              <w:jc w:val="left"/>
              <w:rPr/>
            </w:pPr>
            <w:hyperlink w:anchor="tANNXC">
              <w:r>
                <w:rPr>
                  <w:rStyle w:val="InternetLink"/>
                  <w:rFonts w:ascii="Arial" w:hAnsi="Arial"/>
                  <w:b/>
                  <w:color w:val="255993"/>
                  <w:sz w:val="18"/>
                </w:rPr>
                <w:t>ANNEX C</w:t>
              </w:r>
            </w:hyperlink>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53" w:type="dxa"/>
            </w:tcMar>
            <w:vAlign w:val="center"/>
          </w:tcPr>
          <w:p>
            <w:pPr>
              <w:pStyle w:val="TableContents"/>
              <w:bidi w:val="0"/>
              <w:spacing w:before="0" w:after="283"/>
              <w:jc w:val="right"/>
              <w:rPr/>
            </w:pPr>
            <w:hyperlink w:anchor="tANNXC">
              <w:r>
                <w:rPr>
                  <w:rStyle w:val="InternetLink"/>
                  <w:rFonts w:ascii="Times;Georgia" w:hAnsi="Times;Georgia"/>
                  <w:color w:val="255993"/>
                  <w:sz w:val="32"/>
                </w:rPr>
                <w:t>C-1</w:t>
              </w:r>
            </w:hyperlink>
          </w:p>
        </w:tc>
        <w:tc>
          <w:tcPr>
            <w:tcW w:w="21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7355" w:type="dxa"/>
            <w:tcBorders/>
            <w:shd w:fill="FAFAFA" w:val="clear"/>
            <w:vAlign w:val="center"/>
          </w:tcPr>
          <w:p>
            <w:pPr>
              <w:pStyle w:val="TableContents"/>
              <w:bidi w:val="0"/>
              <w:spacing w:before="0" w:after="283"/>
              <w:ind w:left="70" w:right="0" w:hanging="0"/>
              <w:jc w:val="left"/>
              <w:rPr/>
            </w:pPr>
            <w:hyperlink w:anchor="tANNXD">
              <w:r>
                <w:rPr>
                  <w:rStyle w:val="InternetLink"/>
                  <w:rFonts w:ascii="Arial" w:hAnsi="Arial"/>
                  <w:b/>
                  <w:color w:val="255993"/>
                  <w:sz w:val="18"/>
                </w:rPr>
                <w:t>ANNEX D</w:t>
              </w:r>
            </w:hyperlink>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545" w:type="dxa"/>
            <w:tcBorders/>
            <w:shd w:fill="FAFAFA" w:val="clear"/>
            <w:vAlign w:val="center"/>
          </w:tcPr>
          <w:p>
            <w:pPr>
              <w:pStyle w:val="TableContents"/>
              <w:bidi w:val="0"/>
              <w:spacing w:before="0" w:after="283"/>
              <w:ind w:left="0" w:right="0" w:hanging="0"/>
              <w:jc w:val="right"/>
              <w:rPr/>
            </w:pPr>
            <w:hyperlink w:anchor="tANNXD">
              <w:r>
                <w:rPr>
                  <w:rStyle w:val="InternetLink"/>
                  <w:rFonts w:ascii="Times;Georgia" w:hAnsi="Times;Georgia"/>
                  <w:color w:val="255993"/>
                  <w:sz w:val="32"/>
                </w:rPr>
                <w:t>D-1</w:t>
              </w:r>
            </w:hyperlink>
          </w:p>
        </w:tc>
        <w:tc>
          <w:tcPr>
            <w:tcW w:w="215" w:type="dxa"/>
            <w:tcBorders/>
            <w:shd w:fill="FAFAFA" w:val="cle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44300x2_def14a_105-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color w:val="000000"/>
        </w:rPr>
      </w:pPr>
      <w:r>
        <w:rPr>
          <w:color w:val="000000"/>
        </w:rPr>
        <w:drawing>
          <wp:inline distT="0" distB="0" distL="0" distR="0">
            <wp:extent cx="1562100" cy="7239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5"/>
                    <a:stretch>
                      <a:fillRect/>
                    </a:stretch>
                  </pic:blipFill>
                  <pic:spPr bwMode="auto">
                    <a:xfrm>
                      <a:off x="0" y="0"/>
                      <a:ext cx="156210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ind w:left="0" w:right="0" w:hanging="0"/>
        <w:jc w:val="left"/>
        <w:rPr>
          <w:rFonts w:ascii="Arial" w:hAnsi="Arial"/>
          <w:b/>
          <w:color w:val="F8991D"/>
          <w:sz w:val="24"/>
        </w:rPr>
      </w:pPr>
      <w:r>
        <w:rPr>
          <w:rFonts w:ascii="Arial" w:hAnsi="Arial"/>
          <w:b/>
          <w:color w:val="F8991D"/>
          <w:sz w:val="24"/>
        </w:rPr>
        <w:t xml:space="preserve">FOR 2025 ANNUAL MEETING </w:t>
      </w:r>
    </w:p>
    <w:p>
      <w:pPr>
        <w:pStyle w:val="TextBody"/>
        <w:bidi w:val="0"/>
        <w:spacing w:before="80" w:after="283"/>
        <w:ind w:left="0" w:right="0" w:hanging="0"/>
        <w:jc w:val="left"/>
        <w:rPr>
          <w:rFonts w:ascii="Times;Georgia" w:hAnsi="Times;Georgia"/>
          <w:color w:val="255993"/>
          <w:sz w:val="64"/>
        </w:rPr>
      </w:pPr>
      <w:bookmarkStart w:id="13" w:name="tPSS"/>
      <w:bookmarkEnd w:id="13"/>
      <w:r>
        <w:rPr>
          <w:rFonts w:ascii="Times;Georgia" w:hAnsi="Times;Georgia"/>
          <w:color w:val="255993"/>
          <w:sz w:val="64"/>
        </w:rPr>
        <w:t xml:space="preserve">Proxy Statement </w:t>
      </w:r>
    </w:p>
    <w:p>
      <w:pPr>
        <w:pStyle w:val="TextBody"/>
        <w:bidi w:val="0"/>
        <w:spacing w:before="0" w:after="400"/>
        <w:ind w:left="0" w:right="0" w:hanging="0"/>
        <w:jc w:val="left"/>
        <w:rPr>
          <w:rFonts w:ascii="Times;Georgia" w:hAnsi="Times;Georgia"/>
          <w:color w:val="255993"/>
          <w:sz w:val="64"/>
        </w:rPr>
      </w:pPr>
      <w:r>
        <w:rPr>
          <w:rFonts w:ascii="Times;Georgia" w:hAnsi="Times;Georgia"/>
          <w:color w:val="255993"/>
          <w:sz w:val="64"/>
        </w:rPr>
        <w:t xml:space="preserve">Summary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1066800" cy="6542405"/>
                <wp:effectExtent l="0" t="0" r="0" b="0"/>
                <wp:wrapSquare wrapText="right"/>
                <wp:docPr id="17" name="Frame3"/>
                <a:graphic xmlns:a="http://schemas.openxmlformats.org/drawingml/2006/main">
                  <a:graphicData uri="http://schemas.microsoft.com/office/word/2010/wordprocessingShape">
                    <wps:wsp>
                      <wps:cNvSpPr txBox="1"/>
                      <wps:spPr>
                        <a:xfrm>
                          <a:off x="0" y="0"/>
                          <a:ext cx="1066800" cy="6542405"/>
                        </a:xfrm>
                        <a:prstGeom prst="rect"/>
                        <a:solidFill>
                          <a:srgbClr val="FFFFFF"/>
                        </a:solidFill>
                      </wps:spPr>
                      <wps:txbx>
                        <w:txbxContent>
                          <w:tbl>
                            <w:tblPr>
                              <w:tblW w:w="1295" w:type="dxa"/>
                              <w:jc w:val="left"/>
                              <w:tblInd w:w="0" w:type="dxa"/>
                              <w:tblLayout w:type="fixed"/>
                              <w:tblCellMar>
                                <w:top w:w="0" w:type="dxa"/>
                                <w:left w:w="0" w:type="dxa"/>
                                <w:bottom w:w="0" w:type="dxa"/>
                                <w:right w:w="0" w:type="dxa"/>
                              </w:tblCellMar>
                            </w:tblPr>
                            <w:tblGrid>
                              <w:gridCol w:w="1295"/>
                            </w:tblGrid>
                            <w:tr>
                              <w:trPr/>
                              <w:tc>
                                <w:tcPr>
                                  <w:tcW w:w="1295" w:type="dxa"/>
                                  <w:tcBorders/>
                                  <w:vAlign w:val="center"/>
                                </w:tcPr>
                                <w:p>
                                  <w:pPr>
                                    <w:pStyle w:val="TableContents"/>
                                    <w:bidi w:val="0"/>
                                    <w:spacing w:before="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Meeting Date: </w:t>
                                  </w:r>
                                </w:p>
                              </w:tc>
                            </w:tr>
                            <w:tr>
                              <w:trPr/>
                              <w:tc>
                                <w:tcPr>
                                  <w:tcW w:w="1295"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333375" cy="31432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6"/>
                                                <a:stretch>
                                                  <a:fillRect/>
                                                </a:stretch>
                                              </pic:blipFill>
                                              <pic:spPr bwMode="auto">
                                                <a:xfrm>
                                                  <a:off x="0" y="0"/>
                                                  <a:ext cx="3333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295"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May 29, 2025</w:t>
                                  </w:r>
                                </w:p>
                              </w:tc>
                            </w:tr>
                            <w:tr>
                              <w:trPr/>
                              <w:tc>
                                <w:tcPr>
                                  <w:tcW w:w="1295" w:type="dxa"/>
                                  <w:tcBorders/>
                                  <w:vAlign w:val="center"/>
                                </w:tcPr>
                                <w:p>
                                  <w:pPr>
                                    <w:pStyle w:val="TableContents"/>
                                    <w:bidi w:val="0"/>
                                    <w:spacing w:before="0" w:after="0"/>
                                    <w:jc w:val="left"/>
                                    <w:rPr/>
                                  </w:pPr>
                                  <w:r>
                                    <w:rPr/>
                                    <w:t> </w:t>
                                  </w:r>
                                </w:p>
                              </w:tc>
                            </w:tr>
                          </w:tbl>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24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Meeting Time: </w:t>
                                  </w:r>
                                </w:p>
                              </w:tc>
                            </w:tr>
                            <w:tr>
                              <w:trPr/>
                              <w:tc>
                                <w:tcPr>
                                  <w:tcW w:w="131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295275" cy="3333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7"/>
                                                <a:stretch>
                                                  <a:fillRect/>
                                                </a:stretch>
                                              </pic:blipFill>
                                              <pic:spPr bwMode="auto">
                                                <a:xfrm>
                                                  <a:off x="0" y="0"/>
                                                  <a:ext cx="295275"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31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8:00 a.m., </w:t>
                                  </w:r>
                                </w:p>
                                <w:p>
                                  <w:pPr>
                                    <w:pStyle w:val="TableContents"/>
                                    <w:bidi w:val="0"/>
                                    <w:spacing w:before="0" w:after="283"/>
                                    <w:ind w:left="0" w:right="0" w:hanging="0"/>
                                    <w:jc w:val="left"/>
                                    <w:rPr>
                                      <w:rFonts w:ascii="Arial" w:hAnsi="Arial"/>
                                      <w:color w:val="000000"/>
                                      <w:sz w:val="16"/>
                                    </w:rPr>
                                  </w:pPr>
                                  <w:r>
                                    <w:rPr>
                                      <w:rFonts w:ascii="Arial" w:hAnsi="Arial"/>
                                      <w:color w:val="000000"/>
                                      <w:sz w:val="16"/>
                                    </w:rPr>
                                    <w:t>Pacific Time</w:t>
                                  </w:r>
                                </w:p>
                              </w:tc>
                            </w:tr>
                            <w:tr>
                              <w:trPr/>
                              <w:tc>
                                <w:tcPr>
                                  <w:tcW w:w="13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pPr>
                                  <w:r>
                                    <w:rPr/>
                                    <w:t> </w:t>
                                  </w:r>
                                </w:p>
                              </w:tc>
                            </w:tr>
                            <w:tr>
                              <w:trPr/>
                              <w:tc>
                                <w:tcPr>
                                  <w:tcW w:w="10205" w:type="dxa"/>
                                  <w:tcBorders/>
                                  <w:vAlign w:val="center"/>
                                </w:tcPr>
                                <w:p>
                                  <w:pPr>
                                    <w:pStyle w:val="TableContents"/>
                                    <w:bidi w:val="0"/>
                                    <w:spacing w:before="24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Meeting Location: </w:t>
                                  </w:r>
                                </w:p>
                              </w:tc>
                            </w:tr>
                            <w:tr>
                              <w:trPr/>
                              <w:tc>
                                <w:tcPr>
                                  <w:tcW w:w="1020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28600" cy="3333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8"/>
                                                <a:stretch>
                                                  <a:fillRect/>
                                                </a:stretch>
                                              </pic:blipFill>
                                              <pic:spPr bwMode="auto">
                                                <a:xfrm>
                                                  <a:off x="0" y="0"/>
                                                  <a:ext cx="2286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0205"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The Annual Meeting will be conducted virtually via live audio webcast. You will be able to attend the Annual Meeting virtually by visiting www.virtualshareholder meeting.com/ ATHA2025, where you will be able to listen to the meeting live, submit questions and vote online during the meeting.</w:t>
                                  </w:r>
                                </w:p>
                              </w:tc>
                            </w:tr>
                            <w:tr>
                              <w:trPr/>
                              <w:tc>
                                <w:tcPr>
                                  <w:tcW w:w="1020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84pt;height:515.15pt;mso-wrap-distance-left:0pt;mso-wrap-distance-right:0pt;mso-wrap-distance-top:0pt;mso-wrap-distance-bottom:0pt;margin-top:0pt;mso-position-vertical:top;mso-position-vertical-relative:text;margin-left:0pt;mso-position-horizontal:left;mso-position-horizontal-relative:text">
                <v:textbox>
                  <w:txbxContent>
                    <w:tbl>
                      <w:tblPr>
                        <w:tblW w:w="1295" w:type="dxa"/>
                        <w:jc w:val="left"/>
                        <w:tblInd w:w="0" w:type="dxa"/>
                        <w:tblLayout w:type="fixed"/>
                        <w:tblCellMar>
                          <w:top w:w="0" w:type="dxa"/>
                          <w:left w:w="0" w:type="dxa"/>
                          <w:bottom w:w="0" w:type="dxa"/>
                          <w:right w:w="0" w:type="dxa"/>
                        </w:tblCellMar>
                      </w:tblPr>
                      <w:tblGrid>
                        <w:gridCol w:w="1295"/>
                      </w:tblGrid>
                      <w:tr>
                        <w:trPr/>
                        <w:tc>
                          <w:tcPr>
                            <w:tcW w:w="1295" w:type="dxa"/>
                            <w:tcBorders/>
                            <w:vAlign w:val="center"/>
                          </w:tcPr>
                          <w:p>
                            <w:pPr>
                              <w:pStyle w:val="TableContents"/>
                              <w:bidi w:val="0"/>
                              <w:spacing w:before="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Meeting Date: </w:t>
                            </w:r>
                          </w:p>
                        </w:tc>
                      </w:tr>
                      <w:tr>
                        <w:trPr/>
                        <w:tc>
                          <w:tcPr>
                            <w:tcW w:w="1295"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333375" cy="314325"/>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9"/>
                                          <a:stretch>
                                            <a:fillRect/>
                                          </a:stretch>
                                        </pic:blipFill>
                                        <pic:spPr bwMode="auto">
                                          <a:xfrm>
                                            <a:off x="0" y="0"/>
                                            <a:ext cx="333375" cy="3143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295"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May 29, 2025</w:t>
                            </w:r>
                          </w:p>
                        </w:tc>
                      </w:tr>
                      <w:tr>
                        <w:trPr/>
                        <w:tc>
                          <w:tcPr>
                            <w:tcW w:w="1295" w:type="dxa"/>
                            <w:tcBorders/>
                            <w:vAlign w:val="center"/>
                          </w:tcPr>
                          <w:p>
                            <w:pPr>
                              <w:pStyle w:val="TableContents"/>
                              <w:bidi w:val="0"/>
                              <w:spacing w:before="0" w:after="0"/>
                              <w:jc w:val="left"/>
                              <w:rPr/>
                            </w:pPr>
                            <w:r>
                              <w:rPr/>
                              <w:t> </w:t>
                            </w:r>
                          </w:p>
                        </w:tc>
                      </w:tr>
                    </w:tbl>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24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Meeting Time: </w:t>
                            </w:r>
                          </w:p>
                        </w:tc>
                      </w:tr>
                      <w:tr>
                        <w:trPr/>
                        <w:tc>
                          <w:tcPr>
                            <w:tcW w:w="1310" w:type="dxa"/>
                            <w:tcBorders/>
                            <w:vAlign w:val="center"/>
                          </w:tcPr>
                          <w:p>
                            <w:pPr>
                              <w:pStyle w:val="TableContents"/>
                              <w:bidi w:val="0"/>
                              <w:spacing w:before="60" w:after="283"/>
                              <w:ind w:left="0" w:right="0" w:hanging="0"/>
                              <w:jc w:val="left"/>
                              <w:rPr>
                                <w:color w:val="000000"/>
                              </w:rPr>
                            </w:pPr>
                            <w:r>
                              <w:rPr>
                                <w:color w:val="000000"/>
                              </w:rPr>
                              <w:drawing>
                                <wp:inline distT="0" distB="0" distL="0" distR="0">
                                  <wp:extent cx="295275" cy="333375"/>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20"/>
                                          <a:stretch>
                                            <a:fillRect/>
                                          </a:stretch>
                                        </pic:blipFill>
                                        <pic:spPr bwMode="auto">
                                          <a:xfrm>
                                            <a:off x="0" y="0"/>
                                            <a:ext cx="295275"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310"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8:00 a.m., </w:t>
                            </w:r>
                          </w:p>
                          <w:p>
                            <w:pPr>
                              <w:pStyle w:val="TableContents"/>
                              <w:bidi w:val="0"/>
                              <w:spacing w:before="0" w:after="283"/>
                              <w:ind w:left="0" w:right="0" w:hanging="0"/>
                              <w:jc w:val="left"/>
                              <w:rPr>
                                <w:rFonts w:ascii="Arial" w:hAnsi="Arial"/>
                                <w:color w:val="000000"/>
                                <w:sz w:val="16"/>
                              </w:rPr>
                            </w:pPr>
                            <w:r>
                              <w:rPr>
                                <w:rFonts w:ascii="Arial" w:hAnsi="Arial"/>
                                <w:color w:val="000000"/>
                                <w:sz w:val="16"/>
                              </w:rPr>
                              <w:t>Pacific Time</w:t>
                            </w:r>
                          </w:p>
                        </w:tc>
                      </w:tr>
                      <w:tr>
                        <w:trPr/>
                        <w:tc>
                          <w:tcPr>
                            <w:tcW w:w="13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left"/>
                              <w:rPr/>
                            </w:pPr>
                            <w:r>
                              <w:rPr/>
                              <w:t> </w:t>
                            </w:r>
                          </w:p>
                        </w:tc>
                      </w:tr>
                      <w:tr>
                        <w:trPr/>
                        <w:tc>
                          <w:tcPr>
                            <w:tcW w:w="10205" w:type="dxa"/>
                            <w:tcBorders/>
                            <w:vAlign w:val="center"/>
                          </w:tcPr>
                          <w:p>
                            <w:pPr>
                              <w:pStyle w:val="TableContents"/>
                              <w:bidi w:val="0"/>
                              <w:spacing w:before="24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Meeting Location: </w:t>
                            </w:r>
                          </w:p>
                        </w:tc>
                      </w:tr>
                      <w:tr>
                        <w:trPr/>
                        <w:tc>
                          <w:tcPr>
                            <w:tcW w:w="1020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28600" cy="333375"/>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21"/>
                                          <a:stretch>
                                            <a:fillRect/>
                                          </a:stretch>
                                        </pic:blipFill>
                                        <pic:spPr bwMode="auto">
                                          <a:xfrm>
                                            <a:off x="0" y="0"/>
                                            <a:ext cx="2286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10205" w:type="dxa"/>
                            <w:tcBorders/>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The Annual Meeting will be conducted virtually via live audio webcast. You will be able to attend the Annual Meeting virtually by visiting www.virtualshareholder meeting.com/ ATHA2025, where you will be able to listen to the meeting live, submit questions and vote online during the meeting.</w:t>
                            </w:r>
                          </w:p>
                        </w:tc>
                      </w:tr>
                      <w:tr>
                        <w:trPr/>
                        <w:tc>
                          <w:tcPr>
                            <w:tcW w:w="1020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42">
                <wp:simplePos x="0" y="0"/>
                <wp:positionH relativeFrom="column">
                  <wp:align>left</wp:align>
                </wp:positionH>
                <wp:positionV relativeFrom="line">
                  <wp:posOffset>635</wp:posOffset>
                </wp:positionV>
                <wp:extent cx="5410200" cy="5092065"/>
                <wp:effectExtent l="0" t="0" r="0" b="0"/>
                <wp:wrapSquare wrapText="right"/>
                <wp:docPr id="24" name="Frame4"/>
                <a:graphic xmlns:a="http://schemas.openxmlformats.org/drawingml/2006/main">
                  <a:graphicData uri="http://schemas.microsoft.com/office/word/2010/wordprocessingShape">
                    <wps:wsp>
                      <wps:cNvSpPr txBox="1"/>
                      <wps:spPr>
                        <a:xfrm>
                          <a:off x="0" y="0"/>
                          <a:ext cx="5410200" cy="5092065"/>
                        </a:xfrm>
                        <a:prstGeom prst="rect"/>
                        <a:solidFill>
                          <a:srgbClr val="FFFFFF"/>
                        </a:solidFill>
                      </wps:spPr>
                      <wps:txbx>
                        <w:txbxContent>
                          <w:p>
                            <w:pPr>
                              <w:pStyle w:val="TextBody"/>
                              <w:bidi w:val="0"/>
                              <w:spacing w:before="0" w:after="283"/>
                              <w:ind w:left="0" w:right="0" w:hanging="0"/>
                              <w:jc w:val="left"/>
                              <w:rPr>
                                <w:rFonts w:ascii="Arial" w:hAnsi="Arial"/>
                                <w:b/>
                                <w:color w:val="F8991D"/>
                                <w:sz w:val="20"/>
                              </w:rPr>
                            </w:pPr>
                            <w:r>
                              <w:rPr>
                                <w:rFonts w:ascii="Arial" w:hAnsi="Arial"/>
                                <w:b/>
                                <w:color w:val="F8991D"/>
                                <w:sz w:val="20"/>
                              </w:rPr>
                              <w:t xml:space="preserve">VOTING MATTERS </w:t>
                            </w:r>
                          </w:p>
                          <w:tbl>
                            <w:tblPr>
                              <w:tblW w:w="10205" w:type="dxa"/>
                              <w:jc w:val="left"/>
                              <w:tblInd w:w="0" w:type="dxa"/>
                              <w:tblLayout w:type="fixed"/>
                              <w:tblCellMar>
                                <w:top w:w="0" w:type="dxa"/>
                                <w:left w:w="0" w:type="dxa"/>
                                <w:bottom w:w="120" w:type="dxa"/>
                                <w:right w:w="0" w:type="dxa"/>
                              </w:tblCellMar>
                            </w:tblPr>
                            <w:tblGrid>
                              <w:gridCol w:w="830"/>
                              <w:gridCol w:w="170"/>
                              <w:gridCol w:w="170"/>
                              <w:gridCol w:w="3356"/>
                              <w:gridCol w:w="170"/>
                              <w:gridCol w:w="170"/>
                              <w:gridCol w:w="3825"/>
                              <w:gridCol w:w="170"/>
                              <w:gridCol w:w="170"/>
                              <w:gridCol w:w="957"/>
                              <w:gridCol w:w="217"/>
                            </w:tblGrid>
                            <w:tr>
                              <w:trPr/>
                              <w:tc>
                                <w:tcPr>
                                  <w:tcW w:w="830" w:type="dxa"/>
                                  <w:tcBorders>
                                    <w:bottom w:val="single" w:sz="16" w:space="0" w:color="FFFFFF"/>
                                  </w:tcBorders>
                                  <w:shd w:fill="255993"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Proposal</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3356" w:type="dxa"/>
                                  <w:tcBorders>
                                    <w:bottom w:val="single" w:sz="16" w:space="0" w:color="FFFFFF"/>
                                  </w:tcBorders>
                                  <w:shd w:fill="255993" w:val="clear"/>
                                  <w:vAlign w:val="center"/>
                                </w:tcPr>
                                <w:p>
                                  <w:pPr>
                                    <w:pStyle w:val="TableContents"/>
                                    <w:bidi w:val="0"/>
                                    <w:spacing w:before="0" w:after="283"/>
                                    <w:jc w:val="center"/>
                                    <w:rPr>
                                      <w:color w:val="FFFFFF"/>
                                    </w:rPr>
                                  </w:pPr>
                                  <w:r>
                                    <w:rPr>
                                      <w:color w:val="FFFFFF"/>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3825" w:type="dxa"/>
                                  <w:tcBorders>
                                    <w:bottom w:val="single" w:sz="16" w:space="0" w:color="FFFFFF"/>
                                  </w:tcBorders>
                                  <w:shd w:fill="255993" w:val="clear"/>
                                  <w:vAlign w:val="center"/>
                                </w:tcPr>
                                <w:p>
                                  <w:pPr>
                                    <w:pStyle w:val="TableContents"/>
                                    <w:bidi w:val="0"/>
                                    <w:spacing w:before="0" w:after="283"/>
                                    <w:ind w:left="0" w:right="0" w:hanging="0"/>
                                    <w:jc w:val="left"/>
                                    <w:rPr>
                                      <w:rFonts w:ascii="Arial" w:hAnsi="Arial"/>
                                      <w:b/>
                                      <w:color w:val="FFFFFF"/>
                                      <w:sz w:val="18"/>
                                    </w:rPr>
                                  </w:pPr>
                                  <w:r>
                                    <w:rPr>
                                      <w:rFonts w:ascii="Arial" w:hAnsi="Arial"/>
                                      <w:b/>
                                      <w:color w:val="FFFFFF"/>
                                      <w:sz w:val="18"/>
                                    </w:rPr>
                                    <w:t>Board</w:t>
                                  </w:r>
                                </w:p>
                                <w:p>
                                  <w:pPr>
                                    <w:pStyle w:val="TableContents"/>
                                    <w:bidi w:val="0"/>
                                    <w:spacing w:before="0" w:after="283"/>
                                    <w:ind w:left="0" w:right="0" w:hanging="0"/>
                                    <w:jc w:val="left"/>
                                    <w:rPr>
                                      <w:rFonts w:ascii="Arial" w:hAnsi="Arial"/>
                                      <w:b/>
                                      <w:color w:val="FFFFFF"/>
                                      <w:sz w:val="18"/>
                                    </w:rPr>
                                  </w:pPr>
                                  <w:r>
                                    <w:rPr>
                                      <w:rFonts w:ascii="Arial" w:hAnsi="Arial"/>
                                      <w:b/>
                                      <w:color w:val="FFFFFF"/>
                                      <w:sz w:val="18"/>
                                    </w:rPr>
                                    <w:t>Recommendation</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957" w:type="dxa"/>
                                  <w:tcBorders>
                                    <w:bottom w:val="single" w:sz="16" w:space="0" w:color="FFFFFF"/>
                                  </w:tcBorders>
                                  <w:shd w:fill="255993"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Page</w:t>
                                  </w:r>
                                </w:p>
                                <w:p>
                                  <w:pPr>
                                    <w:pStyle w:val="TableContents"/>
                                    <w:bidi w:val="0"/>
                                    <w:spacing w:before="0" w:after="283"/>
                                    <w:jc w:val="center"/>
                                    <w:rPr>
                                      <w:rFonts w:ascii="Arial" w:hAnsi="Arial"/>
                                      <w:b/>
                                      <w:color w:val="FFFFFF"/>
                                      <w:sz w:val="18"/>
                                    </w:rPr>
                                  </w:pPr>
                                  <w:r>
                                    <w:rPr>
                                      <w:rFonts w:ascii="Arial" w:hAnsi="Arial"/>
                                      <w:b/>
                                      <w:color w:val="FFFFFF"/>
                                      <w:sz w:val="18"/>
                                    </w:rPr>
                                    <w:t xml:space="preserve">Reference </w:t>
                                  </w:r>
                                </w:p>
                              </w:tc>
                              <w:tc>
                                <w:tcPr>
                                  <w:tcW w:w="217"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r>
                            <w:tr>
                              <w:trPr/>
                              <w:tc>
                                <w:tcPr>
                                  <w:tcW w:w="830" w:type="dxa"/>
                                  <w:tcBorders>
                                    <w:bottom w:val="single" w:sz="16" w:space="0" w:color="FFFFFF"/>
                                  </w:tcBorders>
                                  <w:shd w:fill="EBEBEB" w:val="clear"/>
                                  <w:tcMar>
                                    <w:bottom w:w="123" w:type="dxa"/>
                                  </w:tcMar>
                                  <w:vAlign w:val="center"/>
                                </w:tcPr>
                                <w:p>
                                  <w:pPr>
                                    <w:pStyle w:val="TableContents"/>
                                    <w:bidi w:val="0"/>
                                    <w:spacing w:before="120" w:after="283"/>
                                    <w:jc w:val="center"/>
                                    <w:rPr>
                                      <w:rFonts w:ascii="Times;Georgia" w:hAnsi="Times;Georgia"/>
                                      <w:color w:val="255993"/>
                                      <w:sz w:val="64"/>
                                    </w:rPr>
                                  </w:pPr>
                                  <w:r>
                                    <w:rPr>
                                      <w:rFonts w:ascii="Times;Georgia" w:hAnsi="Times;Georgia"/>
                                      <w:color w:val="255993"/>
                                      <w:sz w:val="64"/>
                                    </w:rPr>
                                    <w:t>1</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356" w:type="dxa"/>
                                  <w:tcBorders>
                                    <w:bottom w:val="single" w:sz="16" w:space="0" w:color="FFFFFF"/>
                                  </w:tcBorders>
                                  <w:shd w:fill="EBEBEB" w:val="clear"/>
                                  <w:tcMar>
                                    <w:bottom w:w="12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elect three Class II directors of the Company, each to serve for a term of three years and until his respective successor is elected and qualified, or until his earlier death, resignation or removal.</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25" w:type="dxa"/>
                                  <w:tcBorders>
                                    <w:bottom w:val="single" w:sz="16" w:space="0" w:color="FFFFFF"/>
                                  </w:tcBorders>
                                  <w:shd w:fill="EBEBEB" w:val="clear"/>
                                  <w:tcMar>
                                    <w:bottom w:w="123" w:type="dxa"/>
                                  </w:tcMar>
                                  <w:vAlign w:val="center"/>
                                </w:tcPr>
                                <w:p>
                                  <w:pPr>
                                    <w:pStyle w:val="TableContents"/>
                                    <w:bidi w:val="0"/>
                                    <w:spacing w:before="0" w:after="283"/>
                                    <w:ind w:left="0" w:right="0" w:hanging="0"/>
                                    <w:jc w:val="left"/>
                                    <w:rPr>
                                      <w:color w:val="255993"/>
                                    </w:rPr>
                                  </w:pPr>
                                  <w:r>
                                    <w:rPr>
                                      <w:color w:val="255993"/>
                                    </w:rPr>
                                    <w:t>“</w:t>
                                  </w:r>
                                  <w:r>
                                    <w:rPr>
                                      <w:rFonts w:ascii="Arial" w:hAnsi="Arial"/>
                                      <w:b/>
                                      <w:color w:val="255993"/>
                                      <w:sz w:val="16"/>
                                    </w:rPr>
                                    <w:t xml:space="preserve">FOR” </w:t>
                                  </w:r>
                                  <w:r>
                                    <w:rPr>
                                      <w:rFonts w:ascii="Arial" w:hAnsi="Arial"/>
                                      <w:b w:val="false"/>
                                      <w:color w:val="000000"/>
                                      <w:sz w:val="16"/>
                                    </w:rPr>
                                    <w:t>the election of each Class II director nominee named</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57" w:type="dxa"/>
                                  <w:tcBorders>
                                    <w:bottom w:val="single" w:sz="16" w:space="0" w:color="FFFFFF"/>
                                  </w:tcBorders>
                                  <w:shd w:fill="EBEBEB" w:val="clear"/>
                                  <w:tcMar>
                                    <w:bottom w:w="123" w:type="dxa"/>
                                  </w:tcMar>
                                  <w:vAlign w:val="center"/>
                                </w:tcPr>
                                <w:p>
                                  <w:pPr>
                                    <w:pStyle w:val="TableContents"/>
                                    <w:bidi w:val="0"/>
                                    <w:spacing w:before="0" w:after="283"/>
                                    <w:jc w:val="center"/>
                                    <w:rPr/>
                                  </w:pPr>
                                  <w:hyperlink w:anchor="tPROP1">
                                    <w:r>
                                      <w:rPr>
                                        <w:rStyle w:val="InternetLink"/>
                                        <w:rFonts w:ascii="Arial" w:hAnsi="Arial"/>
                                        <w:color w:val="000000"/>
                                        <w:sz w:val="16"/>
                                      </w:rPr>
                                      <w:t>23</w:t>
                                    </w:r>
                                  </w:hyperlink>
                                </w:p>
                              </w:tc>
                              <w:tc>
                                <w:tcPr>
                                  <w:tcW w:w="217"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830" w:type="dxa"/>
                                  <w:tcBorders>
                                    <w:bottom w:val="single" w:sz="16" w:space="0" w:color="FFFFFF"/>
                                  </w:tcBorders>
                                  <w:shd w:fill="FAFAFA" w:val="clear"/>
                                  <w:tcMar>
                                    <w:bottom w:w="123" w:type="dxa"/>
                                  </w:tcMar>
                                  <w:vAlign w:val="center"/>
                                </w:tcPr>
                                <w:p>
                                  <w:pPr>
                                    <w:pStyle w:val="TableContents"/>
                                    <w:bidi w:val="0"/>
                                    <w:spacing w:before="120" w:after="283"/>
                                    <w:jc w:val="center"/>
                                    <w:rPr>
                                      <w:rFonts w:ascii="Times;Georgia" w:hAnsi="Times;Georgia"/>
                                      <w:color w:val="F8991D"/>
                                      <w:sz w:val="64"/>
                                    </w:rPr>
                                  </w:pPr>
                                  <w:r>
                                    <w:rPr>
                                      <w:rFonts w:ascii="Times;Georgia" w:hAnsi="Times;Georgia"/>
                                      <w:color w:val="F8991D"/>
                                      <w:sz w:val="64"/>
                                    </w:rPr>
                                    <w:t>2</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356" w:type="dxa"/>
                                  <w:tcBorders>
                                    <w:bottom w:val="single" w:sz="16" w:space="0" w:color="FFFFFF"/>
                                  </w:tcBorders>
                                  <w:shd w:fill="FAFAFA" w:val="clear"/>
                                  <w:tcMar>
                                    <w:bottom w:w="12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ratify the appointment of Ernst &amp; Young LLP as the Company’s independent registered public accounting firm for its fiscal year ending December 31, 2025.</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25" w:type="dxa"/>
                                  <w:tcBorders>
                                    <w:bottom w:val="single" w:sz="16" w:space="0" w:color="FFFFFF"/>
                                  </w:tcBorders>
                                  <w:shd w:fill="FAFAFA" w:val="clear"/>
                                  <w:tcMar>
                                    <w:bottom w:w="123" w:type="dxa"/>
                                  </w:tcMar>
                                  <w:vAlign w:val="center"/>
                                </w:tcPr>
                                <w:p>
                                  <w:pPr>
                                    <w:pStyle w:val="TableContents"/>
                                    <w:bidi w:val="0"/>
                                    <w:spacing w:before="0" w:after="283"/>
                                    <w:ind w:left="0" w:right="0" w:hanging="0"/>
                                    <w:jc w:val="left"/>
                                    <w:rPr>
                                      <w:color w:val="255993"/>
                                    </w:rPr>
                                  </w:pPr>
                                  <w:r>
                                    <w:rPr>
                                      <w:color w:val="255993"/>
                                    </w:rPr>
                                    <w:t>“</w:t>
                                  </w:r>
                                  <w:r>
                                    <w:rPr>
                                      <w:rFonts w:ascii="Arial" w:hAnsi="Arial"/>
                                      <w:b/>
                                      <w:color w:val="255993"/>
                                      <w:sz w:val="16"/>
                                    </w:rPr>
                                    <w:t xml:space="preserve">FOR” </w:t>
                                  </w:r>
                                  <w:r>
                                    <w:rPr>
                                      <w:rFonts w:ascii="Arial" w:hAnsi="Arial"/>
                                      <w:b w:val="false"/>
                                      <w:color w:val="000000"/>
                                      <w:sz w:val="16"/>
                                    </w:rPr>
                                    <w:t>the ratification of the appointment of Ernst &amp; Young LLP as our independent registered public accounting firm for our fiscal year ending December 31, 2025</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57" w:type="dxa"/>
                                  <w:tcBorders>
                                    <w:bottom w:val="single" w:sz="16" w:space="0" w:color="FFFFFF"/>
                                  </w:tcBorders>
                                  <w:shd w:fill="FAFAFA" w:val="clear"/>
                                  <w:tcMar>
                                    <w:bottom w:w="123" w:type="dxa"/>
                                  </w:tcMar>
                                  <w:vAlign w:val="center"/>
                                </w:tcPr>
                                <w:p>
                                  <w:pPr>
                                    <w:pStyle w:val="TableContents"/>
                                    <w:bidi w:val="0"/>
                                    <w:spacing w:before="0" w:after="283"/>
                                    <w:jc w:val="center"/>
                                    <w:rPr/>
                                  </w:pPr>
                                  <w:hyperlink w:anchor="tPROP2">
                                    <w:r>
                                      <w:rPr>
                                        <w:rStyle w:val="InternetLink"/>
                                        <w:rFonts w:ascii="Arial" w:hAnsi="Arial"/>
                                        <w:color w:val="000080"/>
                                        <w:sz w:val="16"/>
                                      </w:rPr>
                                      <w:t>24</w:t>
                                    </w:r>
                                  </w:hyperlink>
                                  <w:r>
                                    <w:rPr>
                                      <w:rFonts w:ascii="Arial" w:hAnsi="Arial"/>
                                      <w:color w:val="000000"/>
                                      <w:sz w:val="16"/>
                                    </w:rPr>
                                    <w:t xml:space="preserve"> </w:t>
                                  </w:r>
                                </w:p>
                              </w:tc>
                              <w:tc>
                                <w:tcPr>
                                  <w:tcW w:w="217"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830" w:type="dxa"/>
                                  <w:tcBorders/>
                                  <w:shd w:fill="EBEBEB" w:val="clear"/>
                                  <w:tcMar>
                                    <w:bottom w:w="0" w:type="dxa"/>
                                  </w:tcMar>
                                  <w:vAlign w:val="center"/>
                                </w:tcPr>
                                <w:p>
                                  <w:pPr>
                                    <w:pStyle w:val="TableContents"/>
                                    <w:bidi w:val="0"/>
                                    <w:spacing w:before="120" w:after="283"/>
                                    <w:jc w:val="center"/>
                                    <w:rPr>
                                      <w:rFonts w:ascii="Times;Georgia" w:hAnsi="Times;Georgia"/>
                                      <w:color w:val="6CCAD0"/>
                                      <w:sz w:val="64"/>
                                    </w:rPr>
                                  </w:pPr>
                                  <w:r>
                                    <w:rPr>
                                      <w:rFonts w:ascii="Times;Georgia" w:hAnsi="Times;Georgia"/>
                                      <w:color w:val="6CCAD0"/>
                                      <w:sz w:val="64"/>
                                    </w:rPr>
                                    <w:t>3</w:t>
                                  </w:r>
                                </w:p>
                              </w:tc>
                              <w:tc>
                                <w:tcPr>
                                  <w:tcW w:w="170" w:type="dxa"/>
                                  <w:tcBorders/>
                                  <w:shd w:fill="EBEBEB" w:val="clear"/>
                                  <w:tcMar>
                                    <w:bottom w:w="0" w:type="dxa"/>
                                  </w:tcMar>
                                  <w:vAlign w:val="center"/>
                                </w:tcPr>
                                <w:p>
                                  <w:pPr>
                                    <w:pStyle w:val="TableContents"/>
                                    <w:bidi w:val="0"/>
                                    <w:spacing w:before="0" w:after="0"/>
                                    <w:jc w:val="left"/>
                                    <w:rPr/>
                                  </w:pPr>
                                  <w:r>
                                    <w:rPr/>
                                    <w:t> </w:t>
                                  </w:r>
                                </w:p>
                              </w:tc>
                              <w:tc>
                                <w:tcPr>
                                  <w:tcW w:w="170" w:type="dxa"/>
                                  <w:tcBorders/>
                                  <w:shd w:fill="EBEBEB" w:val="clear"/>
                                  <w:tcMar>
                                    <w:bottom w:w="0" w:type="dxa"/>
                                  </w:tcMar>
                                  <w:vAlign w:val="center"/>
                                </w:tcPr>
                                <w:p>
                                  <w:pPr>
                                    <w:pStyle w:val="TableContents"/>
                                    <w:bidi w:val="0"/>
                                    <w:spacing w:before="0" w:after="0"/>
                                    <w:jc w:val="left"/>
                                    <w:rPr/>
                                  </w:pPr>
                                  <w:r>
                                    <w:rPr/>
                                    <w:t> </w:t>
                                  </w:r>
                                </w:p>
                              </w:tc>
                              <w:tc>
                                <w:tcPr>
                                  <w:tcW w:w="3356" w:type="dxa"/>
                                  <w:tcBorders/>
                                  <w:shd w:fill="EBEBEB" w:val="clear"/>
                                  <w:tcMar>
                                    <w:bottom w:w="0" w:type="dxa"/>
                                  </w:tcMar>
                                  <w:vAlign w:val="center"/>
                                </w:tcPr>
                                <w:p>
                                  <w:pPr>
                                    <w:pStyle w:val="TableContents"/>
                                    <w:bidi w:val="0"/>
                                    <w:spacing w:before="0" w:after="283"/>
                                    <w:ind w:left="0" w:right="0" w:hanging="0"/>
                                    <w:jc w:val="left"/>
                                    <w:rPr>
                                      <w:color w:val="000000"/>
                                    </w:rPr>
                                  </w:pPr>
                                  <w:r>
                                    <w:rPr>
                                      <w:color w:val="000000"/>
                                    </w:rPr>
                                    <w:t>​</w:t>
                                  </w:r>
                                  <w:r>
                                    <w:rPr>
                                      <w:rFonts w:ascii="Arial" w:hAnsi="Arial"/>
                                      <w:color w:val="000000"/>
                                      <w:sz w:val="16"/>
                                    </w:rPr>
                                    <w:t>To approve proposed amendments to our amended and restated certificate of incorporation to effect a reverse stock split and reduce the total number of authorized shares of common stock.</w:t>
                                  </w:r>
                                </w:p>
                              </w:tc>
                              <w:tc>
                                <w:tcPr>
                                  <w:tcW w:w="170" w:type="dxa"/>
                                  <w:tcBorders/>
                                  <w:shd w:fill="EBEBEB" w:val="clear"/>
                                  <w:tcMar>
                                    <w:bottom w:w="0" w:type="dxa"/>
                                  </w:tcMar>
                                  <w:vAlign w:val="center"/>
                                </w:tcPr>
                                <w:p>
                                  <w:pPr>
                                    <w:pStyle w:val="TableContents"/>
                                    <w:bidi w:val="0"/>
                                    <w:spacing w:before="0" w:after="0"/>
                                    <w:jc w:val="left"/>
                                    <w:rPr/>
                                  </w:pPr>
                                  <w:r>
                                    <w:rPr/>
                                    <w:t> </w:t>
                                  </w:r>
                                </w:p>
                              </w:tc>
                              <w:tc>
                                <w:tcPr>
                                  <w:tcW w:w="170" w:type="dxa"/>
                                  <w:tcBorders/>
                                  <w:shd w:fill="EBEBEB" w:val="clear"/>
                                  <w:tcMar>
                                    <w:bottom w:w="0" w:type="dxa"/>
                                  </w:tcMar>
                                  <w:vAlign w:val="center"/>
                                </w:tcPr>
                                <w:p>
                                  <w:pPr>
                                    <w:pStyle w:val="TableContents"/>
                                    <w:bidi w:val="0"/>
                                    <w:spacing w:before="0" w:after="0"/>
                                    <w:jc w:val="left"/>
                                    <w:rPr/>
                                  </w:pPr>
                                  <w:r>
                                    <w:rPr/>
                                    <w:t> </w:t>
                                  </w:r>
                                </w:p>
                              </w:tc>
                              <w:tc>
                                <w:tcPr>
                                  <w:tcW w:w="3825" w:type="dxa"/>
                                  <w:tcBorders/>
                                  <w:shd w:fill="EBEBEB" w:val="clear"/>
                                  <w:tcMar>
                                    <w:bottom w:w="0" w:type="dxa"/>
                                  </w:tcMar>
                                  <w:vAlign w:val="center"/>
                                </w:tcPr>
                                <w:p>
                                  <w:pPr>
                                    <w:pStyle w:val="TableContents"/>
                                    <w:bidi w:val="0"/>
                                    <w:spacing w:before="0" w:after="283"/>
                                    <w:ind w:left="0" w:right="0" w:hanging="0"/>
                                    <w:jc w:val="left"/>
                                    <w:rPr>
                                      <w:color w:val="255993"/>
                                    </w:rPr>
                                  </w:pPr>
                                  <w:r>
                                    <w:rPr>
                                      <w:color w:val="255993"/>
                                    </w:rPr>
                                    <w:t>“</w:t>
                                  </w:r>
                                  <w:r>
                                    <w:rPr>
                                      <w:rFonts w:ascii="Arial" w:hAnsi="Arial"/>
                                      <w:b/>
                                      <w:color w:val="255993"/>
                                      <w:sz w:val="16"/>
                                    </w:rPr>
                                    <w:t>FOR”</w:t>
                                  </w:r>
                                  <w:r>
                                    <w:rPr>
                                      <w:rFonts w:ascii="Arial" w:hAnsi="Arial"/>
                                      <w:b/>
                                      <w:color w:val="000000"/>
                                      <w:sz w:val="16"/>
                                    </w:rPr>
                                    <w:t xml:space="preserve"> </w:t>
                                  </w:r>
                                  <w:r>
                                    <w:rPr>
                                      <w:rFonts w:ascii="Arial" w:hAnsi="Arial"/>
                                      <w:b w:val="false"/>
                                      <w:color w:val="000000"/>
                                      <w:sz w:val="16"/>
                                    </w:rPr>
                                    <w:t>the approval of proposed amendments to our amended and restated certificate of incorporation to effect a reverse stock split and reduce the total number of authorized shares of common stock</w:t>
                                  </w:r>
                                </w:p>
                              </w:tc>
                              <w:tc>
                                <w:tcPr>
                                  <w:tcW w:w="170" w:type="dxa"/>
                                  <w:tcBorders/>
                                  <w:shd w:fill="EBEBEB" w:val="clear"/>
                                  <w:tcMar>
                                    <w:bottom w:w="0" w:type="dxa"/>
                                  </w:tcMar>
                                  <w:vAlign w:val="center"/>
                                </w:tcPr>
                                <w:p>
                                  <w:pPr>
                                    <w:pStyle w:val="TableContents"/>
                                    <w:bidi w:val="0"/>
                                    <w:spacing w:before="0" w:after="0"/>
                                    <w:jc w:val="left"/>
                                    <w:rPr/>
                                  </w:pPr>
                                  <w:r>
                                    <w:rPr/>
                                    <w:t> </w:t>
                                  </w:r>
                                </w:p>
                              </w:tc>
                              <w:tc>
                                <w:tcPr>
                                  <w:tcW w:w="170" w:type="dxa"/>
                                  <w:tcBorders/>
                                  <w:shd w:fill="EBEBEB" w:val="clear"/>
                                  <w:tcMar>
                                    <w:bottom w:w="0" w:type="dxa"/>
                                  </w:tcMar>
                                  <w:vAlign w:val="center"/>
                                </w:tcPr>
                                <w:p>
                                  <w:pPr>
                                    <w:pStyle w:val="TableContents"/>
                                    <w:bidi w:val="0"/>
                                    <w:spacing w:before="0" w:after="0"/>
                                    <w:jc w:val="left"/>
                                    <w:rPr/>
                                  </w:pPr>
                                  <w:r>
                                    <w:rPr/>
                                    <w:t> </w:t>
                                  </w:r>
                                </w:p>
                              </w:tc>
                              <w:tc>
                                <w:tcPr>
                                  <w:tcW w:w="957" w:type="dxa"/>
                                  <w:tcBorders/>
                                  <w:shd w:fill="EBEBEB" w:val="clear"/>
                                  <w:tcMar>
                                    <w:bottom w:w="0" w:type="dxa"/>
                                  </w:tcMar>
                                  <w:vAlign w:val="center"/>
                                </w:tcPr>
                                <w:p>
                                  <w:pPr>
                                    <w:pStyle w:val="TableContents"/>
                                    <w:bidi w:val="0"/>
                                    <w:spacing w:before="0" w:after="283"/>
                                    <w:jc w:val="center"/>
                                    <w:rPr/>
                                  </w:pPr>
                                  <w:hyperlink w:anchor="tPROP3">
                                    <w:r>
                                      <w:rPr>
                                        <w:rStyle w:val="InternetLink"/>
                                        <w:rFonts w:ascii="Arial" w:hAnsi="Arial"/>
                                        <w:color w:val="000000"/>
                                        <w:sz w:val="16"/>
                                      </w:rPr>
                                      <w:t>27</w:t>
                                    </w:r>
                                  </w:hyperlink>
                                </w:p>
                              </w:tc>
                              <w:tc>
                                <w:tcPr>
                                  <w:tcW w:w="217" w:type="dxa"/>
                                  <w:tcBorders/>
                                  <w:shd w:fill="EBEBEB" w:val="clear"/>
                                  <w:tcMar>
                                    <w:bottom w:w="0" w:type="dxa"/>
                                  </w:tcMar>
                                  <w:vAlign w:val="center"/>
                                </w:tcPr>
                                <w:p>
                                  <w:pPr>
                                    <w:pStyle w:val="TableContents"/>
                                    <w:bidi w:val="0"/>
                                    <w:spacing w:before="0" w:after="0"/>
                                    <w:jc w:val="left"/>
                                    <w:rPr/>
                                  </w:pPr>
                                  <w:r>
                                    <w:rPr/>
                                    <w:t> </w:t>
                                  </w:r>
                                </w:p>
                              </w:tc>
                            </w:tr>
                            <w:tr>
                              <w:trPr/>
                              <w:tc>
                                <w:tcPr>
                                  <w:tcW w:w="830" w:type="dxa"/>
                                  <w:tcBorders/>
                                  <w:shd w:fill="FAFAFA" w:val="clear"/>
                                  <w:tcMar>
                                    <w:bottom w:w="0" w:type="dxa"/>
                                  </w:tcMar>
                                  <w:vAlign w:val="center"/>
                                </w:tcPr>
                                <w:p>
                                  <w:pPr>
                                    <w:pStyle w:val="TableContents"/>
                                    <w:bidi w:val="0"/>
                                    <w:spacing w:before="120" w:after="283"/>
                                    <w:jc w:val="center"/>
                                    <w:rPr>
                                      <w:rFonts w:ascii="Times;Georgia" w:hAnsi="Times;Georgia"/>
                                      <w:color w:val="255993"/>
                                      <w:sz w:val="64"/>
                                    </w:rPr>
                                  </w:pPr>
                                  <w:r>
                                    <w:rPr>
                                      <w:rFonts w:ascii="Times;Georgia" w:hAnsi="Times;Georgia"/>
                                      <w:color w:val="255993"/>
                                      <w:sz w:val="64"/>
                                    </w:rPr>
                                    <w:t>4</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356" w:type="dxa"/>
                                  <w:tcBorders/>
                                  <w:shd w:fill="FAFAFA" w:val="clear"/>
                                  <w:tcMar>
                                    <w:bottom w:w="0"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vote on any other matters that may properly come before the Annual Meeting.</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825" w:type="dxa"/>
                                  <w:tcBorders/>
                                  <w:shd w:fill="FAFAFA"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957" w:type="dxa"/>
                                  <w:tcBorders/>
                                  <w:shd w:fill="FAFAFA" w:val="clear"/>
                                  <w:tcMar>
                                    <w:bottom w:w="0" w:type="dxa"/>
                                  </w:tcMar>
                                  <w:vAlign w:val="center"/>
                                </w:tcPr>
                                <w:p>
                                  <w:pPr>
                                    <w:pStyle w:val="TableContents"/>
                                    <w:bidi w:val="0"/>
                                    <w:spacing w:before="0" w:after="283"/>
                                    <w:jc w:val="center"/>
                                    <w:rPr>
                                      <w:color w:val="000000"/>
                                    </w:rPr>
                                  </w:pPr>
                                  <w:r>
                                    <w:rPr>
                                      <w:color w:val="000000"/>
                                    </w:rPr>
                                    <w:t>—</w:t>
                                  </w:r>
                                </w:p>
                              </w:tc>
                              <w:tc>
                                <w:tcPr>
                                  <w:tcW w:w="217" w:type="dxa"/>
                                  <w:tcBorders/>
                                  <w:shd w:fill="FAFAFA" w:val="clear"/>
                                  <w:tcMar>
                                    <w:bottom w:w="0" w:type="dxa"/>
                                  </w:tcMar>
                                  <w:vAlign w:val="center"/>
                                </w:tcPr>
                                <w:p>
                                  <w:pPr>
                                    <w:pStyle w:val="TableContents"/>
                                    <w:bidi w:val="0"/>
                                    <w:spacing w:before="0" w:after="0"/>
                                    <w:jc w:val="left"/>
                                    <w:rPr/>
                                  </w:pPr>
                                  <w:r>
                                    <w:rPr/>
                                    <w:t> </w:t>
                                  </w:r>
                                </w:p>
                              </w:tc>
                            </w:tr>
                            <w:tr>
                              <w:trPr/>
                              <w:tc>
                                <w:tcPr>
                                  <w:tcW w:w="83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356"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825"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957" w:type="dxa"/>
                                  <w:tcBorders/>
                                  <w:shd w:fill="FAFAFA" w:val="clear"/>
                                  <w:tcMar>
                                    <w:bottom w:w="0" w:type="dxa"/>
                                  </w:tcMar>
                                  <w:vAlign w:val="center"/>
                                </w:tcPr>
                                <w:p>
                                  <w:pPr>
                                    <w:pStyle w:val="TableContents"/>
                                    <w:bidi w:val="0"/>
                                    <w:spacing w:before="0" w:after="0"/>
                                    <w:jc w:val="left"/>
                                    <w:rPr/>
                                  </w:pPr>
                                  <w:r>
                                    <w:rPr/>
                                    <w:t> </w:t>
                                  </w:r>
                                </w:p>
                              </w:tc>
                              <w:tc>
                                <w:tcPr>
                                  <w:tcW w:w="217" w:type="dxa"/>
                                  <w:tcBorders/>
                                  <w:shd w:fill="FAFAFA" w:val="clear"/>
                                  <w:tcMar>
                                    <w:bottom w:w="0" w:type="dxa"/>
                                  </w:tcM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The Notice of Internet Availability of Proxy Materials (the “Notice of Internet Availability”) containing instructions on how to access this proxy statement, the accompanying notice of annual meeting and form of proxy, and our annual report, is first being sent or given on or about April 14, 2025 to all stockholders of record as of April 4, 2025.</w:t>
                            </w:r>
                          </w:p>
                        </w:txbxContent>
                      </wps:txbx>
                      <wps:bodyPr anchor="t" lIns="0" tIns="0" rIns="0" bIns="0">
                        <a:noAutofit/>
                      </wps:bodyPr>
                    </wps:wsp>
                  </a:graphicData>
                </a:graphic>
              </wp:anchor>
            </w:drawing>
          </mc:Choice>
          <mc:Fallback>
            <w:pict>
              <v:rect style="position:absolute;rotation:-0;width:426pt;height:400.95pt;mso-wrap-distance-left:12pt;mso-wrap-distance-right:0pt;mso-wrap-distance-top:0pt;mso-wrap-distance-bottom:0pt;margin-top:0pt;mso-position-vertical:top;mso-position-vertical-relative:text;margin-left:96pt;mso-position-horizontal:left;mso-position-horizontal-relative:text">
                <v:textbox>
                  <w:txbxContent>
                    <w:p>
                      <w:pPr>
                        <w:pStyle w:val="TextBody"/>
                        <w:bidi w:val="0"/>
                        <w:spacing w:before="0" w:after="283"/>
                        <w:ind w:left="0" w:right="0" w:hanging="0"/>
                        <w:jc w:val="left"/>
                        <w:rPr>
                          <w:rFonts w:ascii="Arial" w:hAnsi="Arial"/>
                          <w:b/>
                          <w:color w:val="F8991D"/>
                          <w:sz w:val="20"/>
                        </w:rPr>
                      </w:pPr>
                      <w:r>
                        <w:rPr>
                          <w:rFonts w:ascii="Arial" w:hAnsi="Arial"/>
                          <w:b/>
                          <w:color w:val="F8991D"/>
                          <w:sz w:val="20"/>
                        </w:rPr>
                        <w:t xml:space="preserve">VOTING MATTERS </w:t>
                      </w:r>
                    </w:p>
                    <w:tbl>
                      <w:tblPr>
                        <w:tblW w:w="10205" w:type="dxa"/>
                        <w:jc w:val="left"/>
                        <w:tblInd w:w="0" w:type="dxa"/>
                        <w:tblLayout w:type="fixed"/>
                        <w:tblCellMar>
                          <w:top w:w="0" w:type="dxa"/>
                          <w:left w:w="0" w:type="dxa"/>
                          <w:bottom w:w="120" w:type="dxa"/>
                          <w:right w:w="0" w:type="dxa"/>
                        </w:tblCellMar>
                      </w:tblPr>
                      <w:tblGrid>
                        <w:gridCol w:w="830"/>
                        <w:gridCol w:w="170"/>
                        <w:gridCol w:w="170"/>
                        <w:gridCol w:w="3356"/>
                        <w:gridCol w:w="170"/>
                        <w:gridCol w:w="170"/>
                        <w:gridCol w:w="3825"/>
                        <w:gridCol w:w="170"/>
                        <w:gridCol w:w="170"/>
                        <w:gridCol w:w="957"/>
                        <w:gridCol w:w="217"/>
                      </w:tblGrid>
                      <w:tr>
                        <w:trPr/>
                        <w:tc>
                          <w:tcPr>
                            <w:tcW w:w="830" w:type="dxa"/>
                            <w:tcBorders>
                              <w:bottom w:val="single" w:sz="16" w:space="0" w:color="FFFFFF"/>
                            </w:tcBorders>
                            <w:shd w:fill="255993"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Proposal</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3356" w:type="dxa"/>
                            <w:tcBorders>
                              <w:bottom w:val="single" w:sz="16" w:space="0" w:color="FFFFFF"/>
                            </w:tcBorders>
                            <w:shd w:fill="255993" w:val="clear"/>
                            <w:vAlign w:val="center"/>
                          </w:tcPr>
                          <w:p>
                            <w:pPr>
                              <w:pStyle w:val="TableContents"/>
                              <w:bidi w:val="0"/>
                              <w:spacing w:before="0" w:after="283"/>
                              <w:jc w:val="center"/>
                              <w:rPr>
                                <w:color w:val="FFFFFF"/>
                              </w:rPr>
                            </w:pPr>
                            <w:r>
                              <w:rPr>
                                <w:color w:val="FFFFFF"/>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3825" w:type="dxa"/>
                            <w:tcBorders>
                              <w:bottom w:val="single" w:sz="16" w:space="0" w:color="FFFFFF"/>
                            </w:tcBorders>
                            <w:shd w:fill="255993" w:val="clear"/>
                            <w:vAlign w:val="center"/>
                          </w:tcPr>
                          <w:p>
                            <w:pPr>
                              <w:pStyle w:val="TableContents"/>
                              <w:bidi w:val="0"/>
                              <w:spacing w:before="0" w:after="283"/>
                              <w:ind w:left="0" w:right="0" w:hanging="0"/>
                              <w:jc w:val="left"/>
                              <w:rPr>
                                <w:rFonts w:ascii="Arial" w:hAnsi="Arial"/>
                                <w:b/>
                                <w:color w:val="FFFFFF"/>
                                <w:sz w:val="18"/>
                              </w:rPr>
                            </w:pPr>
                            <w:r>
                              <w:rPr>
                                <w:rFonts w:ascii="Arial" w:hAnsi="Arial"/>
                                <w:b/>
                                <w:color w:val="FFFFFF"/>
                                <w:sz w:val="18"/>
                              </w:rPr>
                              <w:t>Board</w:t>
                            </w:r>
                          </w:p>
                          <w:p>
                            <w:pPr>
                              <w:pStyle w:val="TableContents"/>
                              <w:bidi w:val="0"/>
                              <w:spacing w:before="0" w:after="283"/>
                              <w:ind w:left="0" w:right="0" w:hanging="0"/>
                              <w:jc w:val="left"/>
                              <w:rPr>
                                <w:rFonts w:ascii="Arial" w:hAnsi="Arial"/>
                                <w:b/>
                                <w:color w:val="FFFFFF"/>
                                <w:sz w:val="18"/>
                              </w:rPr>
                            </w:pPr>
                            <w:r>
                              <w:rPr>
                                <w:rFonts w:ascii="Arial" w:hAnsi="Arial"/>
                                <w:b/>
                                <w:color w:val="FFFFFF"/>
                                <w:sz w:val="18"/>
                              </w:rPr>
                              <w:t>Recommendation</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957" w:type="dxa"/>
                            <w:tcBorders>
                              <w:bottom w:val="single" w:sz="16" w:space="0" w:color="FFFFFF"/>
                            </w:tcBorders>
                            <w:shd w:fill="255993" w:val="clear"/>
                            <w:vAlign w:val="center"/>
                          </w:tcPr>
                          <w:p>
                            <w:pPr>
                              <w:pStyle w:val="TableContents"/>
                              <w:bidi w:val="0"/>
                              <w:spacing w:before="0" w:after="283"/>
                              <w:jc w:val="center"/>
                              <w:rPr>
                                <w:rFonts w:ascii="Arial" w:hAnsi="Arial"/>
                                <w:b/>
                                <w:color w:val="FFFFFF"/>
                                <w:sz w:val="18"/>
                              </w:rPr>
                            </w:pPr>
                            <w:r>
                              <w:rPr>
                                <w:rFonts w:ascii="Arial" w:hAnsi="Arial"/>
                                <w:b/>
                                <w:color w:val="FFFFFF"/>
                                <w:sz w:val="18"/>
                              </w:rPr>
                              <w:t>Page</w:t>
                            </w:r>
                          </w:p>
                          <w:p>
                            <w:pPr>
                              <w:pStyle w:val="TableContents"/>
                              <w:bidi w:val="0"/>
                              <w:spacing w:before="0" w:after="283"/>
                              <w:jc w:val="center"/>
                              <w:rPr>
                                <w:rFonts w:ascii="Arial" w:hAnsi="Arial"/>
                                <w:b/>
                                <w:color w:val="FFFFFF"/>
                                <w:sz w:val="18"/>
                              </w:rPr>
                            </w:pPr>
                            <w:r>
                              <w:rPr>
                                <w:rFonts w:ascii="Arial" w:hAnsi="Arial"/>
                                <w:b/>
                                <w:color w:val="FFFFFF"/>
                                <w:sz w:val="18"/>
                              </w:rPr>
                              <w:t xml:space="preserve">Reference </w:t>
                            </w:r>
                          </w:p>
                        </w:tc>
                        <w:tc>
                          <w:tcPr>
                            <w:tcW w:w="217"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r>
                      <w:tr>
                        <w:trPr/>
                        <w:tc>
                          <w:tcPr>
                            <w:tcW w:w="830" w:type="dxa"/>
                            <w:tcBorders>
                              <w:bottom w:val="single" w:sz="16" w:space="0" w:color="FFFFFF"/>
                            </w:tcBorders>
                            <w:shd w:fill="EBEBEB" w:val="clear"/>
                            <w:tcMar>
                              <w:bottom w:w="123" w:type="dxa"/>
                            </w:tcMar>
                            <w:vAlign w:val="center"/>
                          </w:tcPr>
                          <w:p>
                            <w:pPr>
                              <w:pStyle w:val="TableContents"/>
                              <w:bidi w:val="0"/>
                              <w:spacing w:before="120" w:after="283"/>
                              <w:jc w:val="center"/>
                              <w:rPr>
                                <w:rFonts w:ascii="Times;Georgia" w:hAnsi="Times;Georgia"/>
                                <w:color w:val="255993"/>
                                <w:sz w:val="64"/>
                              </w:rPr>
                            </w:pPr>
                            <w:r>
                              <w:rPr>
                                <w:rFonts w:ascii="Times;Georgia" w:hAnsi="Times;Georgia"/>
                                <w:color w:val="255993"/>
                                <w:sz w:val="64"/>
                              </w:rPr>
                              <w:t>1</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356" w:type="dxa"/>
                            <w:tcBorders>
                              <w:bottom w:val="single" w:sz="16" w:space="0" w:color="FFFFFF"/>
                            </w:tcBorders>
                            <w:shd w:fill="EBEBEB" w:val="clear"/>
                            <w:tcMar>
                              <w:bottom w:w="12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elect three Class II directors of the Company, each to serve for a term of three years and until his respective successor is elected and qualified, or until his earlier death, resignation or removal.</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825" w:type="dxa"/>
                            <w:tcBorders>
                              <w:bottom w:val="single" w:sz="16" w:space="0" w:color="FFFFFF"/>
                            </w:tcBorders>
                            <w:shd w:fill="EBEBEB" w:val="clear"/>
                            <w:tcMar>
                              <w:bottom w:w="123" w:type="dxa"/>
                            </w:tcMar>
                            <w:vAlign w:val="center"/>
                          </w:tcPr>
                          <w:p>
                            <w:pPr>
                              <w:pStyle w:val="TableContents"/>
                              <w:bidi w:val="0"/>
                              <w:spacing w:before="0" w:after="283"/>
                              <w:ind w:left="0" w:right="0" w:hanging="0"/>
                              <w:jc w:val="left"/>
                              <w:rPr>
                                <w:color w:val="255993"/>
                              </w:rPr>
                            </w:pPr>
                            <w:r>
                              <w:rPr>
                                <w:color w:val="255993"/>
                              </w:rPr>
                              <w:t>“</w:t>
                            </w:r>
                            <w:r>
                              <w:rPr>
                                <w:rFonts w:ascii="Arial" w:hAnsi="Arial"/>
                                <w:b/>
                                <w:color w:val="255993"/>
                                <w:sz w:val="16"/>
                              </w:rPr>
                              <w:t xml:space="preserve">FOR” </w:t>
                            </w:r>
                            <w:r>
                              <w:rPr>
                                <w:rFonts w:ascii="Arial" w:hAnsi="Arial"/>
                                <w:b w:val="false"/>
                                <w:color w:val="000000"/>
                                <w:sz w:val="16"/>
                              </w:rPr>
                              <w:t>the election of each Class II director nominee named</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957" w:type="dxa"/>
                            <w:tcBorders>
                              <w:bottom w:val="single" w:sz="16" w:space="0" w:color="FFFFFF"/>
                            </w:tcBorders>
                            <w:shd w:fill="EBEBEB" w:val="clear"/>
                            <w:tcMar>
                              <w:bottom w:w="123" w:type="dxa"/>
                            </w:tcMar>
                            <w:vAlign w:val="center"/>
                          </w:tcPr>
                          <w:p>
                            <w:pPr>
                              <w:pStyle w:val="TableContents"/>
                              <w:bidi w:val="0"/>
                              <w:spacing w:before="0" w:after="283"/>
                              <w:jc w:val="center"/>
                              <w:rPr/>
                            </w:pPr>
                            <w:hyperlink w:anchor="tPROP1">
                              <w:r>
                                <w:rPr>
                                  <w:rStyle w:val="InternetLink"/>
                                  <w:rFonts w:ascii="Arial" w:hAnsi="Arial"/>
                                  <w:color w:val="000000"/>
                                  <w:sz w:val="16"/>
                                </w:rPr>
                                <w:t>23</w:t>
                              </w:r>
                            </w:hyperlink>
                          </w:p>
                        </w:tc>
                        <w:tc>
                          <w:tcPr>
                            <w:tcW w:w="217"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830" w:type="dxa"/>
                            <w:tcBorders>
                              <w:bottom w:val="single" w:sz="16" w:space="0" w:color="FFFFFF"/>
                            </w:tcBorders>
                            <w:shd w:fill="FAFAFA" w:val="clear"/>
                            <w:tcMar>
                              <w:bottom w:w="123" w:type="dxa"/>
                            </w:tcMar>
                            <w:vAlign w:val="center"/>
                          </w:tcPr>
                          <w:p>
                            <w:pPr>
                              <w:pStyle w:val="TableContents"/>
                              <w:bidi w:val="0"/>
                              <w:spacing w:before="120" w:after="283"/>
                              <w:jc w:val="center"/>
                              <w:rPr>
                                <w:rFonts w:ascii="Times;Georgia" w:hAnsi="Times;Georgia"/>
                                <w:color w:val="F8991D"/>
                                <w:sz w:val="64"/>
                              </w:rPr>
                            </w:pPr>
                            <w:r>
                              <w:rPr>
                                <w:rFonts w:ascii="Times;Georgia" w:hAnsi="Times;Georgia"/>
                                <w:color w:val="F8991D"/>
                                <w:sz w:val="64"/>
                              </w:rPr>
                              <w:t>2</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356" w:type="dxa"/>
                            <w:tcBorders>
                              <w:bottom w:val="single" w:sz="16" w:space="0" w:color="FFFFFF"/>
                            </w:tcBorders>
                            <w:shd w:fill="FAFAFA" w:val="clear"/>
                            <w:tcMar>
                              <w:bottom w:w="12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ratify the appointment of Ernst &amp; Young LLP as the Company’s independent registered public accounting firm for its fiscal year ending December 31, 2025.</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825" w:type="dxa"/>
                            <w:tcBorders>
                              <w:bottom w:val="single" w:sz="16" w:space="0" w:color="FFFFFF"/>
                            </w:tcBorders>
                            <w:shd w:fill="FAFAFA" w:val="clear"/>
                            <w:tcMar>
                              <w:bottom w:w="123" w:type="dxa"/>
                            </w:tcMar>
                            <w:vAlign w:val="center"/>
                          </w:tcPr>
                          <w:p>
                            <w:pPr>
                              <w:pStyle w:val="TableContents"/>
                              <w:bidi w:val="0"/>
                              <w:spacing w:before="0" w:after="283"/>
                              <w:ind w:left="0" w:right="0" w:hanging="0"/>
                              <w:jc w:val="left"/>
                              <w:rPr>
                                <w:color w:val="255993"/>
                              </w:rPr>
                            </w:pPr>
                            <w:r>
                              <w:rPr>
                                <w:color w:val="255993"/>
                              </w:rPr>
                              <w:t>“</w:t>
                            </w:r>
                            <w:r>
                              <w:rPr>
                                <w:rFonts w:ascii="Arial" w:hAnsi="Arial"/>
                                <w:b/>
                                <w:color w:val="255993"/>
                                <w:sz w:val="16"/>
                              </w:rPr>
                              <w:t xml:space="preserve">FOR” </w:t>
                            </w:r>
                            <w:r>
                              <w:rPr>
                                <w:rFonts w:ascii="Arial" w:hAnsi="Arial"/>
                                <w:b w:val="false"/>
                                <w:color w:val="000000"/>
                                <w:sz w:val="16"/>
                              </w:rPr>
                              <w:t>the ratification of the appointment of Ernst &amp; Young LLP as our independent registered public accounting firm for our fiscal year ending December 31, 2025</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957" w:type="dxa"/>
                            <w:tcBorders>
                              <w:bottom w:val="single" w:sz="16" w:space="0" w:color="FFFFFF"/>
                            </w:tcBorders>
                            <w:shd w:fill="FAFAFA" w:val="clear"/>
                            <w:tcMar>
                              <w:bottom w:w="123" w:type="dxa"/>
                            </w:tcMar>
                            <w:vAlign w:val="center"/>
                          </w:tcPr>
                          <w:p>
                            <w:pPr>
                              <w:pStyle w:val="TableContents"/>
                              <w:bidi w:val="0"/>
                              <w:spacing w:before="0" w:after="283"/>
                              <w:jc w:val="center"/>
                              <w:rPr/>
                            </w:pPr>
                            <w:hyperlink w:anchor="tPROP2">
                              <w:r>
                                <w:rPr>
                                  <w:rStyle w:val="InternetLink"/>
                                  <w:rFonts w:ascii="Arial" w:hAnsi="Arial"/>
                                  <w:color w:val="000080"/>
                                  <w:sz w:val="16"/>
                                </w:rPr>
                                <w:t>24</w:t>
                              </w:r>
                            </w:hyperlink>
                            <w:r>
                              <w:rPr>
                                <w:rFonts w:ascii="Arial" w:hAnsi="Arial"/>
                                <w:color w:val="000000"/>
                                <w:sz w:val="16"/>
                              </w:rPr>
                              <w:t xml:space="preserve"> </w:t>
                            </w:r>
                          </w:p>
                        </w:tc>
                        <w:tc>
                          <w:tcPr>
                            <w:tcW w:w="217"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830" w:type="dxa"/>
                            <w:tcBorders/>
                            <w:shd w:fill="EBEBEB" w:val="clear"/>
                            <w:tcMar>
                              <w:bottom w:w="0" w:type="dxa"/>
                            </w:tcMar>
                            <w:vAlign w:val="center"/>
                          </w:tcPr>
                          <w:p>
                            <w:pPr>
                              <w:pStyle w:val="TableContents"/>
                              <w:bidi w:val="0"/>
                              <w:spacing w:before="120" w:after="283"/>
                              <w:jc w:val="center"/>
                              <w:rPr>
                                <w:rFonts w:ascii="Times;Georgia" w:hAnsi="Times;Georgia"/>
                                <w:color w:val="6CCAD0"/>
                                <w:sz w:val="64"/>
                              </w:rPr>
                            </w:pPr>
                            <w:r>
                              <w:rPr>
                                <w:rFonts w:ascii="Times;Georgia" w:hAnsi="Times;Georgia"/>
                                <w:color w:val="6CCAD0"/>
                                <w:sz w:val="64"/>
                              </w:rPr>
                              <w:t>3</w:t>
                            </w:r>
                          </w:p>
                        </w:tc>
                        <w:tc>
                          <w:tcPr>
                            <w:tcW w:w="170" w:type="dxa"/>
                            <w:tcBorders/>
                            <w:shd w:fill="EBEBEB" w:val="clear"/>
                            <w:tcMar>
                              <w:bottom w:w="0" w:type="dxa"/>
                            </w:tcMar>
                            <w:vAlign w:val="center"/>
                          </w:tcPr>
                          <w:p>
                            <w:pPr>
                              <w:pStyle w:val="TableContents"/>
                              <w:bidi w:val="0"/>
                              <w:spacing w:before="0" w:after="0"/>
                              <w:jc w:val="left"/>
                              <w:rPr/>
                            </w:pPr>
                            <w:r>
                              <w:rPr/>
                              <w:t> </w:t>
                            </w:r>
                          </w:p>
                        </w:tc>
                        <w:tc>
                          <w:tcPr>
                            <w:tcW w:w="170" w:type="dxa"/>
                            <w:tcBorders/>
                            <w:shd w:fill="EBEBEB" w:val="clear"/>
                            <w:tcMar>
                              <w:bottom w:w="0" w:type="dxa"/>
                            </w:tcMar>
                            <w:vAlign w:val="center"/>
                          </w:tcPr>
                          <w:p>
                            <w:pPr>
                              <w:pStyle w:val="TableContents"/>
                              <w:bidi w:val="0"/>
                              <w:spacing w:before="0" w:after="0"/>
                              <w:jc w:val="left"/>
                              <w:rPr/>
                            </w:pPr>
                            <w:r>
                              <w:rPr/>
                              <w:t> </w:t>
                            </w:r>
                          </w:p>
                        </w:tc>
                        <w:tc>
                          <w:tcPr>
                            <w:tcW w:w="3356" w:type="dxa"/>
                            <w:tcBorders/>
                            <w:shd w:fill="EBEBEB" w:val="clear"/>
                            <w:tcMar>
                              <w:bottom w:w="0" w:type="dxa"/>
                            </w:tcMar>
                            <w:vAlign w:val="center"/>
                          </w:tcPr>
                          <w:p>
                            <w:pPr>
                              <w:pStyle w:val="TableContents"/>
                              <w:bidi w:val="0"/>
                              <w:spacing w:before="0" w:after="283"/>
                              <w:ind w:left="0" w:right="0" w:hanging="0"/>
                              <w:jc w:val="left"/>
                              <w:rPr>
                                <w:color w:val="000000"/>
                              </w:rPr>
                            </w:pPr>
                            <w:r>
                              <w:rPr>
                                <w:color w:val="000000"/>
                              </w:rPr>
                              <w:t>​</w:t>
                            </w:r>
                            <w:r>
                              <w:rPr>
                                <w:rFonts w:ascii="Arial" w:hAnsi="Arial"/>
                                <w:color w:val="000000"/>
                                <w:sz w:val="16"/>
                              </w:rPr>
                              <w:t>To approve proposed amendments to our amended and restated certificate of incorporation to effect a reverse stock split and reduce the total number of authorized shares of common stock.</w:t>
                            </w:r>
                          </w:p>
                        </w:tc>
                        <w:tc>
                          <w:tcPr>
                            <w:tcW w:w="170" w:type="dxa"/>
                            <w:tcBorders/>
                            <w:shd w:fill="EBEBEB" w:val="clear"/>
                            <w:tcMar>
                              <w:bottom w:w="0" w:type="dxa"/>
                            </w:tcMar>
                            <w:vAlign w:val="center"/>
                          </w:tcPr>
                          <w:p>
                            <w:pPr>
                              <w:pStyle w:val="TableContents"/>
                              <w:bidi w:val="0"/>
                              <w:spacing w:before="0" w:after="0"/>
                              <w:jc w:val="left"/>
                              <w:rPr/>
                            </w:pPr>
                            <w:r>
                              <w:rPr/>
                              <w:t> </w:t>
                            </w:r>
                          </w:p>
                        </w:tc>
                        <w:tc>
                          <w:tcPr>
                            <w:tcW w:w="170" w:type="dxa"/>
                            <w:tcBorders/>
                            <w:shd w:fill="EBEBEB" w:val="clear"/>
                            <w:tcMar>
                              <w:bottom w:w="0" w:type="dxa"/>
                            </w:tcMar>
                            <w:vAlign w:val="center"/>
                          </w:tcPr>
                          <w:p>
                            <w:pPr>
                              <w:pStyle w:val="TableContents"/>
                              <w:bidi w:val="0"/>
                              <w:spacing w:before="0" w:after="0"/>
                              <w:jc w:val="left"/>
                              <w:rPr/>
                            </w:pPr>
                            <w:r>
                              <w:rPr/>
                              <w:t> </w:t>
                            </w:r>
                          </w:p>
                        </w:tc>
                        <w:tc>
                          <w:tcPr>
                            <w:tcW w:w="3825" w:type="dxa"/>
                            <w:tcBorders/>
                            <w:shd w:fill="EBEBEB" w:val="clear"/>
                            <w:tcMar>
                              <w:bottom w:w="0" w:type="dxa"/>
                            </w:tcMar>
                            <w:vAlign w:val="center"/>
                          </w:tcPr>
                          <w:p>
                            <w:pPr>
                              <w:pStyle w:val="TableContents"/>
                              <w:bidi w:val="0"/>
                              <w:spacing w:before="0" w:after="283"/>
                              <w:ind w:left="0" w:right="0" w:hanging="0"/>
                              <w:jc w:val="left"/>
                              <w:rPr>
                                <w:color w:val="255993"/>
                              </w:rPr>
                            </w:pPr>
                            <w:r>
                              <w:rPr>
                                <w:color w:val="255993"/>
                              </w:rPr>
                              <w:t>“</w:t>
                            </w:r>
                            <w:r>
                              <w:rPr>
                                <w:rFonts w:ascii="Arial" w:hAnsi="Arial"/>
                                <w:b/>
                                <w:color w:val="255993"/>
                                <w:sz w:val="16"/>
                              </w:rPr>
                              <w:t>FOR”</w:t>
                            </w:r>
                            <w:r>
                              <w:rPr>
                                <w:rFonts w:ascii="Arial" w:hAnsi="Arial"/>
                                <w:b/>
                                <w:color w:val="000000"/>
                                <w:sz w:val="16"/>
                              </w:rPr>
                              <w:t xml:space="preserve"> </w:t>
                            </w:r>
                            <w:r>
                              <w:rPr>
                                <w:rFonts w:ascii="Arial" w:hAnsi="Arial"/>
                                <w:b w:val="false"/>
                                <w:color w:val="000000"/>
                                <w:sz w:val="16"/>
                              </w:rPr>
                              <w:t>the approval of proposed amendments to our amended and restated certificate of incorporation to effect a reverse stock split and reduce the total number of authorized shares of common stock</w:t>
                            </w:r>
                          </w:p>
                        </w:tc>
                        <w:tc>
                          <w:tcPr>
                            <w:tcW w:w="170" w:type="dxa"/>
                            <w:tcBorders/>
                            <w:shd w:fill="EBEBEB" w:val="clear"/>
                            <w:tcMar>
                              <w:bottom w:w="0" w:type="dxa"/>
                            </w:tcMar>
                            <w:vAlign w:val="center"/>
                          </w:tcPr>
                          <w:p>
                            <w:pPr>
                              <w:pStyle w:val="TableContents"/>
                              <w:bidi w:val="0"/>
                              <w:spacing w:before="0" w:after="0"/>
                              <w:jc w:val="left"/>
                              <w:rPr/>
                            </w:pPr>
                            <w:r>
                              <w:rPr/>
                              <w:t> </w:t>
                            </w:r>
                          </w:p>
                        </w:tc>
                        <w:tc>
                          <w:tcPr>
                            <w:tcW w:w="170" w:type="dxa"/>
                            <w:tcBorders/>
                            <w:shd w:fill="EBEBEB" w:val="clear"/>
                            <w:tcMar>
                              <w:bottom w:w="0" w:type="dxa"/>
                            </w:tcMar>
                            <w:vAlign w:val="center"/>
                          </w:tcPr>
                          <w:p>
                            <w:pPr>
                              <w:pStyle w:val="TableContents"/>
                              <w:bidi w:val="0"/>
                              <w:spacing w:before="0" w:after="0"/>
                              <w:jc w:val="left"/>
                              <w:rPr/>
                            </w:pPr>
                            <w:r>
                              <w:rPr/>
                              <w:t> </w:t>
                            </w:r>
                          </w:p>
                        </w:tc>
                        <w:tc>
                          <w:tcPr>
                            <w:tcW w:w="957" w:type="dxa"/>
                            <w:tcBorders/>
                            <w:shd w:fill="EBEBEB" w:val="clear"/>
                            <w:tcMar>
                              <w:bottom w:w="0" w:type="dxa"/>
                            </w:tcMar>
                            <w:vAlign w:val="center"/>
                          </w:tcPr>
                          <w:p>
                            <w:pPr>
                              <w:pStyle w:val="TableContents"/>
                              <w:bidi w:val="0"/>
                              <w:spacing w:before="0" w:after="283"/>
                              <w:jc w:val="center"/>
                              <w:rPr/>
                            </w:pPr>
                            <w:hyperlink w:anchor="tPROP3">
                              <w:r>
                                <w:rPr>
                                  <w:rStyle w:val="InternetLink"/>
                                  <w:rFonts w:ascii="Arial" w:hAnsi="Arial"/>
                                  <w:color w:val="000000"/>
                                  <w:sz w:val="16"/>
                                </w:rPr>
                                <w:t>27</w:t>
                              </w:r>
                            </w:hyperlink>
                          </w:p>
                        </w:tc>
                        <w:tc>
                          <w:tcPr>
                            <w:tcW w:w="217" w:type="dxa"/>
                            <w:tcBorders/>
                            <w:shd w:fill="EBEBEB" w:val="clear"/>
                            <w:tcMar>
                              <w:bottom w:w="0" w:type="dxa"/>
                            </w:tcMar>
                            <w:vAlign w:val="center"/>
                          </w:tcPr>
                          <w:p>
                            <w:pPr>
                              <w:pStyle w:val="TableContents"/>
                              <w:bidi w:val="0"/>
                              <w:spacing w:before="0" w:after="0"/>
                              <w:jc w:val="left"/>
                              <w:rPr/>
                            </w:pPr>
                            <w:r>
                              <w:rPr/>
                              <w:t> </w:t>
                            </w:r>
                          </w:p>
                        </w:tc>
                      </w:tr>
                      <w:tr>
                        <w:trPr/>
                        <w:tc>
                          <w:tcPr>
                            <w:tcW w:w="830" w:type="dxa"/>
                            <w:tcBorders/>
                            <w:shd w:fill="FAFAFA" w:val="clear"/>
                            <w:tcMar>
                              <w:bottom w:w="0" w:type="dxa"/>
                            </w:tcMar>
                            <w:vAlign w:val="center"/>
                          </w:tcPr>
                          <w:p>
                            <w:pPr>
                              <w:pStyle w:val="TableContents"/>
                              <w:bidi w:val="0"/>
                              <w:spacing w:before="120" w:after="283"/>
                              <w:jc w:val="center"/>
                              <w:rPr>
                                <w:rFonts w:ascii="Times;Georgia" w:hAnsi="Times;Georgia"/>
                                <w:color w:val="255993"/>
                                <w:sz w:val="64"/>
                              </w:rPr>
                            </w:pPr>
                            <w:r>
                              <w:rPr>
                                <w:rFonts w:ascii="Times;Georgia" w:hAnsi="Times;Georgia"/>
                                <w:color w:val="255993"/>
                                <w:sz w:val="64"/>
                              </w:rPr>
                              <w:t>4</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356" w:type="dxa"/>
                            <w:tcBorders/>
                            <w:shd w:fill="FAFAFA" w:val="clear"/>
                            <w:tcMar>
                              <w:bottom w:w="0"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To vote on any other matters that may properly come before the Annual Meeting.</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825" w:type="dxa"/>
                            <w:tcBorders/>
                            <w:shd w:fill="FAFAFA"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957" w:type="dxa"/>
                            <w:tcBorders/>
                            <w:shd w:fill="FAFAFA" w:val="clear"/>
                            <w:tcMar>
                              <w:bottom w:w="0" w:type="dxa"/>
                            </w:tcMar>
                            <w:vAlign w:val="center"/>
                          </w:tcPr>
                          <w:p>
                            <w:pPr>
                              <w:pStyle w:val="TableContents"/>
                              <w:bidi w:val="0"/>
                              <w:spacing w:before="0" w:after="283"/>
                              <w:jc w:val="center"/>
                              <w:rPr>
                                <w:color w:val="000000"/>
                              </w:rPr>
                            </w:pPr>
                            <w:r>
                              <w:rPr>
                                <w:color w:val="000000"/>
                              </w:rPr>
                              <w:t>—</w:t>
                            </w:r>
                          </w:p>
                        </w:tc>
                        <w:tc>
                          <w:tcPr>
                            <w:tcW w:w="217" w:type="dxa"/>
                            <w:tcBorders/>
                            <w:shd w:fill="FAFAFA" w:val="clear"/>
                            <w:tcMar>
                              <w:bottom w:w="0" w:type="dxa"/>
                            </w:tcMar>
                            <w:vAlign w:val="center"/>
                          </w:tcPr>
                          <w:p>
                            <w:pPr>
                              <w:pStyle w:val="TableContents"/>
                              <w:bidi w:val="0"/>
                              <w:spacing w:before="0" w:after="0"/>
                              <w:jc w:val="left"/>
                              <w:rPr/>
                            </w:pPr>
                            <w:r>
                              <w:rPr/>
                              <w:t> </w:t>
                            </w:r>
                          </w:p>
                        </w:tc>
                      </w:tr>
                      <w:tr>
                        <w:trPr/>
                        <w:tc>
                          <w:tcPr>
                            <w:tcW w:w="83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356"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3825"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170" w:type="dxa"/>
                            <w:tcBorders/>
                            <w:shd w:fill="FAFAFA" w:val="clear"/>
                            <w:tcMar>
                              <w:bottom w:w="0" w:type="dxa"/>
                            </w:tcMar>
                            <w:vAlign w:val="center"/>
                          </w:tcPr>
                          <w:p>
                            <w:pPr>
                              <w:pStyle w:val="TableContents"/>
                              <w:bidi w:val="0"/>
                              <w:spacing w:before="0" w:after="0"/>
                              <w:jc w:val="left"/>
                              <w:rPr/>
                            </w:pPr>
                            <w:r>
                              <w:rPr/>
                              <w:t> </w:t>
                            </w:r>
                          </w:p>
                        </w:tc>
                        <w:tc>
                          <w:tcPr>
                            <w:tcW w:w="957" w:type="dxa"/>
                            <w:tcBorders/>
                            <w:shd w:fill="FAFAFA" w:val="clear"/>
                            <w:tcMar>
                              <w:bottom w:w="0" w:type="dxa"/>
                            </w:tcMar>
                            <w:vAlign w:val="center"/>
                          </w:tcPr>
                          <w:p>
                            <w:pPr>
                              <w:pStyle w:val="TableContents"/>
                              <w:bidi w:val="0"/>
                              <w:spacing w:before="0" w:after="0"/>
                              <w:jc w:val="left"/>
                              <w:rPr/>
                            </w:pPr>
                            <w:r>
                              <w:rPr/>
                              <w:t> </w:t>
                            </w:r>
                          </w:p>
                        </w:tc>
                        <w:tc>
                          <w:tcPr>
                            <w:tcW w:w="217" w:type="dxa"/>
                            <w:tcBorders/>
                            <w:shd w:fill="FAFAFA" w:val="clear"/>
                            <w:tcMar>
                              <w:bottom w:w="0" w:type="dxa"/>
                            </w:tcMar>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The Notice of Internet Availability of Proxy Materials (the “Notice of Internet Availability”) containing instructions on how to access this proxy statement, the accompanying notice of annual meeting and form of proxy, and our annual report, is first being sent or given on or about April 14, 2025 to all stockholders of record as of April 4, 2025.</w:t>
                      </w:r>
                    </w:p>
                  </w:txbxContent>
                </v:textbox>
                <w10:wrap type="square" side="right"/>
              </v:rect>
            </w:pict>
          </mc:Fallback>
        </mc:AlternateContent>
      </w:r>
    </w:p>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4" w:name="ny20044300x2_def14a_105-prox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color w:val="000000"/>
        </w:rPr>
      </w:pPr>
      <w:r>
        <w:rPr>
          <w:color w:val="000000"/>
        </w:rPr>
        <w:drawing>
          <wp:inline distT="0" distB="0" distL="0" distR="0">
            <wp:extent cx="1562100" cy="7239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22"/>
                    <a:stretch>
                      <a:fillRect/>
                    </a:stretch>
                  </pic:blipFill>
                  <pic:spPr bwMode="auto">
                    <a:xfrm>
                      <a:off x="0" y="0"/>
                      <a:ext cx="156210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ind w:left="0" w:right="0" w:hanging="0"/>
        <w:jc w:val="left"/>
        <w:rPr>
          <w:rFonts w:ascii="Arial" w:hAnsi="Arial"/>
          <w:b/>
          <w:color w:val="F8991D"/>
          <w:sz w:val="24"/>
        </w:rPr>
      </w:pPr>
      <w:r>
        <w:rPr>
          <w:rFonts w:ascii="Arial" w:hAnsi="Arial"/>
          <w:b/>
          <w:color w:val="F8991D"/>
          <w:sz w:val="24"/>
        </w:rPr>
        <w:t xml:space="preserve">PROXY STATEMENT </w:t>
      </w:r>
    </w:p>
    <w:p>
      <w:pPr>
        <w:pStyle w:val="TextBody"/>
        <w:bidi w:val="0"/>
        <w:spacing w:before="80" w:after="283"/>
        <w:ind w:left="0" w:right="0" w:hanging="0"/>
        <w:jc w:val="left"/>
        <w:rPr>
          <w:rFonts w:ascii="Times;Georgia" w:hAnsi="Times;Georgia"/>
          <w:color w:val="255993"/>
          <w:sz w:val="64"/>
        </w:rPr>
      </w:pPr>
      <w:r>
        <w:rPr>
          <w:rFonts w:ascii="Times;Georgia" w:hAnsi="Times;Georgia"/>
          <w:color w:val="255993"/>
          <w:sz w:val="64"/>
        </w:rPr>
        <w:t xml:space="preserve">For 2025 Annual Meeting of Stockholders </w:t>
      </w:r>
    </w:p>
    <w:p>
      <w:pPr>
        <w:pStyle w:val="TextBody"/>
        <w:bidi w:val="0"/>
        <w:spacing w:before="380" w:after="283"/>
        <w:ind w:left="0" w:right="0" w:hanging="0"/>
        <w:jc w:val="left"/>
        <w:rPr>
          <w:rFonts w:ascii="Arial" w:hAnsi="Arial"/>
          <w:b/>
          <w:color w:val="000000"/>
          <w:sz w:val="18"/>
        </w:rPr>
      </w:pPr>
      <w:r>
        <w:rPr>
          <w:rFonts w:ascii="Arial" w:hAnsi="Arial"/>
          <w:b/>
          <w:color w:val="000000"/>
          <w:sz w:val="18"/>
        </w:rPr>
        <w:t xml:space="preserve">To be Held at 8:00 a.m., Pacific Time, on May 29, 2025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board of directors of Athira Pharma, Inc., a Delaware corporation (“we,” “us,” “our,” the “Company” or “Athira”), is soliciting proxies to be used at our 2025 annual meeting of stockholders (together with any postponement, adjournment or continuation thereof, the “Annual Meeting”). The Annual Meeting will be held on May 29, 2025, at 8:00 a.m., Pacific Time. The Annual Meeting will be conducted virtually via live audio webcast. You will be able to attend the Annual Meeting virtually by visiting www.virtualshareholdermeeting.com/ATHA2025, where you will be able to listen to the meeting live, submit questions and vote online during the meeting.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Notice of Internet Availability of Proxy Materials (the “Notice of Internet Availability”), containing instructions on how to access this proxy statement, the accompanying notice of annual meeting and form of proxy, and our annual report, is first being sent or given on or about April 14, 2025 to all stockholders of record as of April 4, 2025. The proxy materials and our annual report can be accessed as of April 14, 2025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information provided in the “question and answer” format below is for your convenience only and is merely a summary of the information contained in this proxy statement. You should read this entire proxy statement carefully. </w:t>
      </w:r>
    </w:p>
    <w:p>
      <w:pPr>
        <w:pStyle w:val="TextBody"/>
        <w:bidi w:val="0"/>
        <w:spacing w:before="280" w:after="283"/>
        <w:ind w:left="0" w:right="0" w:hanging="0"/>
        <w:jc w:val="left"/>
        <w:rPr>
          <w:rFonts w:ascii="Arial" w:hAnsi="Arial"/>
          <w:b/>
          <w:color w:val="F8991D"/>
          <w:sz w:val="20"/>
        </w:rPr>
      </w:pPr>
      <w:bookmarkStart w:id="15" w:name="tQAA"/>
      <w:bookmarkEnd w:id="15"/>
      <w:r>
        <w:rPr>
          <w:rFonts w:ascii="Arial" w:hAnsi="Arial"/>
          <w:b/>
          <w:color w:val="F8991D"/>
          <w:sz w:val="20"/>
        </w:rPr>
        <w:t>QUESTIONS AND ANSWERS ABOUT THE PROXY MATERIALS AND OUR ANNUAL MEETING</w:t>
      </w:r>
    </w:p>
    <w:p>
      <w:pPr>
        <w:pStyle w:val="TextBody"/>
        <w:bidi w:val="0"/>
        <w:spacing w:before="160" w:after="283"/>
        <w:ind w:left="0" w:right="0" w:hanging="0"/>
        <w:jc w:val="left"/>
        <w:rPr>
          <w:rFonts w:ascii="Arial" w:hAnsi="Arial"/>
          <w:b/>
          <w:color w:val="255993"/>
          <w:sz w:val="18"/>
        </w:rPr>
      </w:pPr>
      <w:r>
        <w:rPr>
          <w:rFonts w:ascii="Arial" w:hAnsi="Arial"/>
          <w:b/>
          <w:color w:val="255993"/>
          <w:sz w:val="18"/>
        </w:rPr>
        <w:t xml:space="preserve">WHY AM I RECEIVING THESE MATERIALS?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This proxy statement and the accompanying proxy card are furnished in connection with the solicitation of proxies by our board of directors for use at the Annual Meeting. </w:t>
      </w:r>
    </w:p>
    <w:p>
      <w:pPr>
        <w:pStyle w:val="TextBody"/>
        <w:bidi w:val="0"/>
        <w:spacing w:before="160" w:after="283"/>
        <w:ind w:left="0" w:right="0" w:hanging="0"/>
        <w:jc w:val="left"/>
        <w:rPr>
          <w:rFonts w:ascii="Arial" w:hAnsi="Arial"/>
          <w:b/>
          <w:color w:val="255993"/>
          <w:sz w:val="18"/>
        </w:rPr>
      </w:pPr>
      <w:r>
        <w:rPr>
          <w:rFonts w:ascii="Arial" w:hAnsi="Arial"/>
          <w:b/>
          <w:color w:val="255993"/>
          <w:sz w:val="18"/>
        </w:rPr>
        <w:t xml:space="preserve">Your vote is very important. </w:t>
      </w:r>
      <w:r>
        <w:rPr>
          <w:rFonts w:ascii="Arial" w:hAnsi="Arial"/>
          <w:b w:val="false"/>
          <w:color w:val="000000"/>
          <w:sz w:val="18"/>
        </w:rPr>
        <w:t xml:space="preserve">Whether or not you attend the virtual Annual Meeting, it is important that your shares be represented and voted at the Annual Meeting. Therefore, we urge you to vote and submit your proxy promptly via the internet, telephone or mail. Voting your shares by proxy ensures that if you are unable to attend the Annual Meeting, your shares will be voted at the Annual Meeting. Voting now will not limit your right to change your vote or to attend the Annual Meeting. </w:t>
      </w:r>
    </w:p>
    <w:p>
      <w:pPr>
        <w:pStyle w:val="TextBody"/>
        <w:bidi w:val="0"/>
        <w:spacing w:before="320" w:after="283"/>
        <w:ind w:left="0" w:right="0" w:hanging="0"/>
        <w:jc w:val="left"/>
        <w:rPr>
          <w:rFonts w:ascii="Arial" w:hAnsi="Arial"/>
          <w:b/>
          <w:color w:val="255993"/>
          <w:sz w:val="18"/>
        </w:rPr>
      </w:pPr>
      <w:r>
        <w:rPr>
          <w:rFonts w:ascii="Arial" w:hAnsi="Arial"/>
          <w:b/>
          <w:color w:val="255993"/>
          <w:sz w:val="18"/>
        </w:rPr>
        <w:t xml:space="preserve">WHAT PROPOSALS WILL BE VOTED ON AT THE ANNUAL MEETING? </w:t>
      </w:r>
    </w:p>
    <w:p>
      <w:pPr>
        <w:pStyle w:val="TextBody"/>
        <w:bidi w:val="0"/>
        <w:spacing w:before="150" w:after="283"/>
        <w:ind w:left="0" w:right="0" w:hanging="0"/>
        <w:jc w:val="left"/>
        <w:rPr>
          <w:rFonts w:ascii="Arial" w:hAnsi="Arial"/>
          <w:color w:val="000000"/>
          <w:sz w:val="18"/>
        </w:rPr>
      </w:pPr>
      <w:r>
        <w:rPr>
          <w:rFonts w:ascii="Arial" w:hAnsi="Arial"/>
          <w:color w:val="000000"/>
          <w:sz w:val="18"/>
        </w:rPr>
        <w:t xml:space="preserve">The following proposals will be voted on at the Annual Meeting: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1</w:t>
            </w:r>
            <w:r>
              <w:rPr>
                <w:rFonts w:ascii="Arial" w:hAnsi="Arial"/>
                <w:color w:val="000000"/>
                <w:sz w:val="18"/>
              </w:rPr>
              <w:t xml:space="preserve">: the election of three nominees as Class II directors of the Company, each to hold office for a term of three years and until his respective successor is elected and qualified, or until his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2</w:t>
            </w:r>
            <w:r>
              <w:rPr>
                <w:rFonts w:ascii="Arial" w:hAnsi="Arial"/>
                <w:color w:val="000000"/>
                <w:sz w:val="18"/>
              </w:rPr>
              <w:t xml:space="preserve">: the ratification of the appointment of Ernst &amp; Young LLP as the Company’s independent registered public accounting firm for its fiscal year ending December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3</w:t>
            </w:r>
            <w:r>
              <w:rPr>
                <w:rFonts w:ascii="Arial" w:hAnsi="Arial"/>
                <w:color w:val="000000"/>
                <w:sz w:val="18"/>
              </w:rPr>
              <w:t>: the approval of proposed amendments to our amended and restated certificate of incorporation to effect a reverse stock split and reduce the total number of authorized shares of common stock.</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4</w:t>
            </w:r>
            <w:r>
              <w:rPr>
                <w:rFonts w:ascii="Arial" w:hAnsi="Arial"/>
                <w:color w:val="000000"/>
                <w:sz w:val="18"/>
              </w:rPr>
              <w:t xml:space="preserve">: any other business that may properly come before the Annual Meeting or any adjournments or postponements thereof. </w:t>
            </w:r>
          </w:p>
        </w:tc>
      </w:tr>
    </w:tbl>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6" w:name="ny20044300x2_def14a_105-prox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For 2025 Annual Meeting of Stockholders</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As of the date of this proxy statement, our management and board of directors were not aware of any other matters to be presented at the Annual Meeting.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HOW DOES THE BOARD OF DIRECTORS RECOMMEND THAT I VOTE ON THESE PROPOSALS?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recommends that you vote your shares: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color w:val="255993"/>
              </w:rPr>
            </w:pPr>
            <w:r>
              <w:rPr>
                <w:color w:val="255993"/>
              </w:rPr>
              <w:t>“</w:t>
            </w:r>
            <w:r>
              <w:rPr>
                <w:rFonts w:ascii="Arial" w:hAnsi="Arial"/>
                <w:b/>
                <w:color w:val="255993"/>
                <w:sz w:val="18"/>
              </w:rPr>
              <w:t xml:space="preserve">FOR” </w:t>
            </w:r>
            <w:r>
              <w:rPr>
                <w:rFonts w:ascii="Arial" w:hAnsi="Arial"/>
                <w:color w:val="000000"/>
                <w:sz w:val="18"/>
              </w:rPr>
              <w:t xml:space="preserve">the election of each Class II director nominee named in this proxy statement (Proposal No. 1) (which nominees are Joseph Edelman, John M. Fluke, Jr., and Grant Pickering).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color w:val="255993"/>
              </w:rPr>
            </w:pPr>
            <w:r>
              <w:rPr>
                <w:color w:val="255993"/>
              </w:rPr>
              <w:t>“</w:t>
            </w:r>
            <w:r>
              <w:rPr>
                <w:rFonts w:ascii="Arial" w:hAnsi="Arial"/>
                <w:b/>
                <w:color w:val="255993"/>
                <w:sz w:val="18"/>
              </w:rPr>
              <w:t xml:space="preserve">FOR” </w:t>
            </w:r>
            <w:r>
              <w:rPr>
                <w:rFonts w:ascii="Arial" w:hAnsi="Arial"/>
                <w:color w:val="000000"/>
                <w:sz w:val="18"/>
              </w:rPr>
              <w:t xml:space="preserve">the ratification of the appointment of Ernst &amp; Young LLP as our independent registered public accounting firm for our fiscal year ending December 31, 2025 (Proposal No. 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color w:val="255993"/>
              </w:rPr>
            </w:pPr>
            <w:r>
              <w:rPr>
                <w:color w:val="255993"/>
              </w:rPr>
              <w:t>“</w:t>
            </w:r>
            <w:r>
              <w:rPr>
                <w:rFonts w:ascii="Arial" w:hAnsi="Arial"/>
                <w:b/>
                <w:color w:val="255993"/>
                <w:sz w:val="18"/>
              </w:rPr>
              <w:t xml:space="preserve">FOR” </w:t>
            </w:r>
            <w:r>
              <w:rPr>
                <w:rFonts w:ascii="Arial" w:hAnsi="Arial"/>
                <w:color w:val="000000"/>
                <w:sz w:val="18"/>
              </w:rPr>
              <w:t>the approval of proposed amendments to our amended and restated certificate of incorporation to effect a reverse stock split and reduce the total number of authorized shares of common stock (Proposal No. 3).</w:t>
            </w:r>
          </w:p>
        </w:tc>
      </w:tr>
    </w:tbl>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WHO IS ENTITLED TO VOTE AT THE ANNUAL MEETING?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Holders of our common stock as of the close of business on April 4, 2025, the record date for the Annual Meeting, may vote at the Annual Meeting. As of the record date, there were 39,042,445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Stockholders of Record</w:t>
      </w:r>
      <w:r>
        <w:rPr>
          <w:rFonts w:ascii="Arial" w:hAnsi="Arial"/>
          <w:i w:val="false"/>
          <w:caps w:val="false"/>
          <w:smallCaps w:val="false"/>
          <w:color w:val="000000"/>
          <w:sz w:val="18"/>
        </w:rPr>
        <w:t xml:space="preserve">. If your shares are registered directly in your name with our transfer agent, Computershare Inc., then you are considered the stockholder of record with respect to those shares, and this Notice of Internet Availability was sent directly to you by us. As a stockholder of record, you have the right to grant your proxy directly to the individuals listed on the proxy card or to vote by ballot at the Annual Meeting. Throughout this proxy statement, we refer to these holders as “stockholders of record.” Only stockholders of record as of April 4, 2025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Street Name Stockholders</w:t>
      </w:r>
      <w:r>
        <w:rPr>
          <w:rFonts w:ascii="Arial" w:hAnsi="Arial"/>
          <w:i w:val="false"/>
          <w:caps w:val="false"/>
          <w:smallCaps w:val="false"/>
          <w:color w:val="000000"/>
          <w:sz w:val="18"/>
        </w:rPr>
        <w:t xml:space="preserve">. If your shares are held in a brokerage account or by a broker, bank or other nominee, then you are 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Annual Meeting. However, since a beneficial owner is not the stockholder of record, you may not vote your shares directly at the Annual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HOW MANY VOTES ARE NEEDED FOR APPROVAL OF EACH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1</w:t>
            </w:r>
            <w:r>
              <w:rPr>
                <w:rFonts w:ascii="Arial" w:hAnsi="Arial"/>
                <w:color w:val="000000"/>
                <w:sz w:val="18"/>
              </w:rPr>
              <w:t xml:space="preserve">: Each director is elected by a plurality of the voting power of the shares present or represented by proxy at the Annual Meeting and entitled to vote on the election of directors. A plurality means that the nominees with the largest number of </w:t>
            </w:r>
            <w:r>
              <w:rPr>
                <w:rFonts w:ascii="Arial" w:hAnsi="Arial"/>
                <w:b/>
                <w:color w:val="255993"/>
                <w:sz w:val="18"/>
              </w:rPr>
              <w:t xml:space="preserve">FOR </w:t>
            </w:r>
            <w:r>
              <w:rPr>
                <w:rFonts w:ascii="Arial" w:hAnsi="Arial"/>
                <w:color w:val="000000"/>
                <w:sz w:val="18"/>
              </w:rPr>
              <w:t xml:space="preserve">votes are elected as directors. Because the outcome of this proposal will be determined by a plurality vote, any shares not voted </w:t>
            </w:r>
            <w:r>
              <w:rPr>
                <w:rFonts w:ascii="Arial" w:hAnsi="Arial"/>
                <w:b/>
                <w:color w:val="255993"/>
                <w:sz w:val="18"/>
              </w:rPr>
              <w:t xml:space="preserve">FOR </w:t>
            </w:r>
            <w:r>
              <w:rPr>
                <w:rFonts w:ascii="Arial" w:hAnsi="Arial"/>
                <w:color w:val="000000"/>
                <w:sz w:val="18"/>
              </w:rPr>
              <w:t xml:space="preserve">a particular nominee, whether as a result of a </w:t>
            </w:r>
            <w:r>
              <w:rPr>
                <w:rFonts w:ascii="Arial" w:hAnsi="Arial"/>
                <w:b/>
                <w:color w:val="255993"/>
                <w:sz w:val="18"/>
              </w:rPr>
              <w:t xml:space="preserve">WITHHOLD </w:t>
            </w:r>
            <w:r>
              <w:rPr>
                <w:rFonts w:ascii="Arial" w:hAnsi="Arial"/>
                <w:color w:val="000000"/>
                <w:sz w:val="18"/>
              </w:rPr>
              <w:t xml:space="preserve">vote or a broker non-vote, will have no effect on the outcome of the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2</w:t>
            </w:r>
            <w:r>
              <w:rPr>
                <w:rFonts w:ascii="Arial" w:hAnsi="Arial"/>
                <w:color w:val="000000"/>
                <w:sz w:val="18"/>
              </w:rPr>
              <w:t xml:space="preserve">: The ratification of the appointment of Ernst &amp; Young LLP as our independent registered public accounting firm for our fiscal year ending December 31, 2025 requires the affirmative vote of a majority of the voting power of the shares cast, affirmatively or negatively. You may vote </w:t>
            </w:r>
            <w:r>
              <w:rPr>
                <w:rFonts w:ascii="Arial" w:hAnsi="Arial"/>
                <w:b/>
                <w:color w:val="255993"/>
                <w:sz w:val="18"/>
              </w:rPr>
              <w:t xml:space="preserve">FOR </w:t>
            </w:r>
            <w:r>
              <w:rPr>
                <w:rFonts w:ascii="Arial" w:hAnsi="Arial"/>
                <w:color w:val="000000"/>
                <w:sz w:val="18"/>
              </w:rPr>
              <w:t xml:space="preserve">or </w:t>
            </w:r>
            <w:r>
              <w:rPr>
                <w:rFonts w:ascii="Arial" w:hAnsi="Arial"/>
                <w:b/>
                <w:color w:val="255993"/>
                <w:sz w:val="18"/>
              </w:rPr>
              <w:t xml:space="preserve">AGAINST </w:t>
            </w:r>
            <w:r>
              <w:rPr>
                <w:rFonts w:ascii="Arial" w:hAnsi="Arial"/>
                <w:color w:val="000000"/>
                <w:sz w:val="18"/>
              </w:rPr>
              <w:t xml:space="preserve">this proposal, or you may indicate that you wish to </w:t>
            </w:r>
            <w:r>
              <w:rPr>
                <w:rFonts w:ascii="Arial" w:hAnsi="Arial"/>
                <w:b/>
                <w:color w:val="255993"/>
                <w:sz w:val="18"/>
              </w:rPr>
              <w:t xml:space="preserve">ABSTAIN </w:t>
            </w:r>
            <w:r>
              <w:rPr>
                <w:rFonts w:ascii="Arial" w:hAnsi="Arial"/>
                <w:color w:val="000000"/>
                <w:sz w:val="18"/>
              </w:rPr>
              <w:t xml:space="preserve">from voting </w:t>
            </w:r>
          </w:p>
        </w:tc>
      </w:tr>
    </w:tbl>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7" w:name="ny20044300x2_def14a_105-proxy_pg4"/>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For 2025 Annual Meeting of Stockholders</w:t>
      </w:r>
    </w:p>
    <w:p>
      <w:pPr>
        <w:pStyle w:val="TextBody"/>
        <w:bidi w:val="0"/>
        <w:spacing w:before="120" w:after="283"/>
        <w:ind w:left="160" w:right="0" w:hanging="0"/>
        <w:jc w:val="left"/>
        <w:rPr>
          <w:rFonts w:ascii="Arial" w:hAnsi="Arial"/>
          <w:color w:val="000000"/>
          <w:sz w:val="18"/>
        </w:rPr>
      </w:pPr>
      <w:r>
        <w:rPr>
          <w:rFonts w:ascii="Arial" w:hAnsi="Arial"/>
          <w:color w:val="000000"/>
          <w:sz w:val="18"/>
        </w:rPr>
        <w:t xml:space="preserve">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255993"/>
                <w:sz w:val="18"/>
              </w:rPr>
            </w:pPr>
            <w:r>
              <w:rPr>
                <w:rFonts w:ascii="Arial" w:hAnsi="Arial"/>
                <w:b/>
                <w:color w:val="255993"/>
                <w:sz w:val="18"/>
              </w:rPr>
              <w:t>Proposal No. 3</w:t>
            </w:r>
            <w:r>
              <w:rPr>
                <w:rFonts w:ascii="Arial" w:hAnsi="Arial"/>
                <w:color w:val="000000"/>
                <w:sz w:val="18"/>
              </w:rPr>
              <w:t xml:space="preserve">: The approval of proposed amendments to our amended and restated certificate of incorporation to effect a reverse stock split and reduce the total number of authorized shares of common stock must receive the affirmative vote of a majority of the voting power of the shares cast, affirmatively or negatively, in accordance with Section 242(d)(2) of the Delaware General Corporation Law (the “DGCL”). You may vote </w:t>
            </w:r>
            <w:r>
              <w:rPr>
                <w:rFonts w:ascii="Arial" w:hAnsi="Arial"/>
                <w:b/>
                <w:color w:val="255993"/>
                <w:sz w:val="18"/>
              </w:rPr>
              <w:t>FOR</w:t>
            </w:r>
            <w:r>
              <w:rPr>
                <w:rFonts w:ascii="Arial" w:hAnsi="Arial"/>
                <w:color w:val="000000"/>
                <w:sz w:val="18"/>
              </w:rPr>
              <w:t xml:space="preserve"> or </w:t>
            </w:r>
            <w:r>
              <w:rPr>
                <w:rFonts w:ascii="Arial" w:hAnsi="Arial"/>
                <w:b/>
                <w:color w:val="255993"/>
                <w:sz w:val="18"/>
              </w:rPr>
              <w:t>AGAINST</w:t>
            </w:r>
            <w:r>
              <w:rPr>
                <w:rFonts w:ascii="Arial" w:hAnsi="Arial"/>
                <w:color w:val="000000"/>
                <w:sz w:val="18"/>
              </w:rPr>
              <w:t xml:space="preserve"> this proposal, or you may indicate that you wish to </w:t>
            </w:r>
            <w:r>
              <w:rPr>
                <w:rFonts w:ascii="Arial" w:hAnsi="Arial"/>
                <w:b/>
                <w:color w:val="255993"/>
                <w:sz w:val="18"/>
              </w:rPr>
              <w:t>ABSTAIN</w:t>
            </w:r>
            <w:r>
              <w:rPr>
                <w:rFonts w:ascii="Arial" w:hAnsi="Arial"/>
                <w:color w:val="000000"/>
                <w:sz w:val="18"/>
              </w:rPr>
              <w:t xml:space="preserve"> from voting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tc>
      </w:tr>
    </w:tbl>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WHAT IS THE QUORUM REQUIREMENT FOR THE ANNUAL MEETING?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A quorum is the minimum number of shares required to be present or represented at the Annual Meeting for the meeting to be properly held under our amended and restated bylaws (the “Bylaws”) and Delaware law. The presence, including virtually or by proxy, of a majority of the voting power of the capital stock of the Company issued and outstanding and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HOW DO I VOTE AND WHAT ARE THE VOTING DEADLINES?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Stockholder of Record</w:t>
      </w:r>
      <w:r>
        <w:rPr>
          <w:rFonts w:ascii="Arial" w:hAnsi="Arial"/>
          <w:i w:val="false"/>
          <w:caps w:val="false"/>
          <w:smallCaps w:val="false"/>
          <w:color w:val="000000"/>
          <w:sz w:val="18"/>
        </w:rPr>
        <w:t xml:space="preserve">. If you are a stockholder of record, you may vote in one of the following ways: </w:t>
      </w:r>
    </w:p>
    <w:p>
      <w:pPr>
        <w:pStyle w:val="TextBody"/>
        <w:bidi w:val="0"/>
        <w:spacing w:before="290" w:after="283"/>
        <w:ind w:left="0" w:right="0" w:hanging="0"/>
        <w:jc w:val="left"/>
        <w:rPr>
          <w:rFonts w:ascii="Arial" w:hAnsi="Arial"/>
          <w:b/>
          <w:color w:val="F8991D"/>
          <w:sz w:val="20"/>
        </w:rPr>
      </w:pPr>
      <w:r>
        <w:rPr>
          <w:rFonts w:ascii="Arial" w:hAnsi="Arial"/>
          <w:b/>
          <w:color w:val="F8991D"/>
          <w:sz w:val="20"/>
        </w:rPr>
        <w:t>WAYS TO VOTE:</w:t>
      </w:r>
    </w:p>
    <w:tbl>
      <w:tblPr>
        <w:tblW w:w="10205" w:type="dxa"/>
        <w:jc w:val="left"/>
        <w:tblInd w:w="0" w:type="dxa"/>
        <w:tblLayout w:type="fixed"/>
        <w:tblCellMar>
          <w:top w:w="0" w:type="dxa"/>
          <w:left w:w="0" w:type="dxa"/>
          <w:bottom w:w="0" w:type="dxa"/>
          <w:right w:w="0" w:type="dxa"/>
        </w:tblCellMar>
      </w:tblPr>
      <w:tblGrid>
        <w:gridCol w:w="2055"/>
        <w:gridCol w:w="170"/>
        <w:gridCol w:w="170"/>
        <w:gridCol w:w="1512"/>
        <w:gridCol w:w="170"/>
        <w:gridCol w:w="170"/>
        <w:gridCol w:w="3950"/>
        <w:gridCol w:w="170"/>
        <w:gridCol w:w="170"/>
        <w:gridCol w:w="1668"/>
      </w:tblGrid>
      <w:tr>
        <w:trPr/>
        <w:tc>
          <w:tcPr>
            <w:tcW w:w="2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8" w:type="dxa"/>
            <w:tcBorders/>
            <w:vAlign w:val="center"/>
          </w:tcPr>
          <w:p>
            <w:pPr>
              <w:pStyle w:val="TableContents"/>
              <w:bidi w:val="0"/>
              <w:spacing w:before="0" w:after="0"/>
              <w:jc w:val="left"/>
              <w:rPr/>
            </w:pPr>
            <w:r>
              <w:rPr/>
              <w:t> </w:t>
            </w:r>
          </w:p>
        </w:tc>
      </w:tr>
      <w:tr>
        <w:trPr/>
        <w:tc>
          <w:tcPr>
            <w:tcW w:w="2055" w:type="dxa"/>
            <w:tcBorders/>
            <w:vAlign w:val="center"/>
          </w:tcPr>
          <w:p>
            <w:pPr>
              <w:pStyle w:val="TableContents"/>
              <w:bidi w:val="0"/>
              <w:spacing w:before="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Online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By 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Virtually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8" w:type="dxa"/>
            <w:tcBorders/>
            <w:vAlign w:val="center"/>
          </w:tcPr>
          <w:p>
            <w:pPr>
              <w:pStyle w:val="TableContents"/>
              <w:bidi w:val="0"/>
              <w:spacing w:before="0" w:after="283"/>
              <w:ind w:left="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By Mail </w:t>
            </w:r>
          </w:p>
        </w:tc>
      </w:tr>
      <w:tr>
        <w:trPr/>
        <w:tc>
          <w:tcPr>
            <w:tcW w:w="20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04800" cy="3048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23"/>
                          <a:stretch>
                            <a:fillRect/>
                          </a:stretch>
                        </pic:blipFill>
                        <pic:spPr bwMode="auto">
                          <a:xfrm>
                            <a:off x="0" y="0"/>
                            <a:ext cx="304800" cy="304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80" w:after="283"/>
              <w:ind w:left="0" w:right="0" w:hanging="0"/>
              <w:jc w:val="left"/>
              <w:rPr>
                <w:rFonts w:ascii="Arial" w:hAnsi="Arial"/>
                <w:color w:val="000000"/>
                <w:sz w:val="16"/>
              </w:rPr>
            </w:pPr>
            <w:r>
              <w:rPr>
                <w:rFonts w:ascii="Arial" w:hAnsi="Arial"/>
                <w:color w:val="000000"/>
                <w:sz w:val="16"/>
              </w:rPr>
              <w:t>By internet following the instructions using the control number provided on your proxy card.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04800" cy="3048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4"/>
                          <a:stretch>
                            <a:fillRect/>
                          </a:stretch>
                        </pic:blipFill>
                        <pic:spPr bwMode="auto">
                          <a:xfrm>
                            <a:off x="0" y="0"/>
                            <a:ext cx="304800" cy="304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80" w:after="283"/>
              <w:ind w:left="0" w:right="0" w:hanging="0"/>
              <w:jc w:val="left"/>
              <w:rPr>
                <w:rFonts w:ascii="Arial" w:hAnsi="Arial"/>
                <w:color w:val="000000"/>
                <w:sz w:val="16"/>
              </w:rPr>
            </w:pPr>
            <w:r>
              <w:rPr>
                <w:rFonts w:ascii="Arial" w:hAnsi="Arial"/>
                <w:color w:val="000000"/>
                <w:sz w:val="16"/>
              </w:rPr>
              <w:t>By telephone using the numbers provided on your proxy card.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14325" cy="3048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25"/>
                          <a:stretch>
                            <a:fillRect/>
                          </a:stretch>
                        </pic:blipFill>
                        <pic:spPr bwMode="auto">
                          <a:xfrm>
                            <a:off x="0" y="0"/>
                            <a:ext cx="314325" cy="304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80" w:after="283"/>
              <w:ind w:left="0" w:right="0" w:hanging="0"/>
              <w:jc w:val="left"/>
              <w:rPr>
                <w:rFonts w:ascii="Arial" w:hAnsi="Arial"/>
                <w:color w:val="000000"/>
                <w:sz w:val="16"/>
              </w:rPr>
            </w:pPr>
            <w:r>
              <w:rPr>
                <w:rFonts w:ascii="Arial" w:hAnsi="Arial"/>
                <w:color w:val="000000"/>
                <w:sz w:val="16"/>
              </w:rPr>
              <w:t>By attending the Annual Meeting virtually by visiting www.virtualshareholdermeeting. com/ATHA2025, where you can vote during the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8"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342900" cy="219075"/>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26"/>
                          <a:stretch>
                            <a:fillRect/>
                          </a:stretch>
                        </pic:blipFill>
                        <pic:spPr bwMode="auto">
                          <a:xfrm>
                            <a:off x="0" y="0"/>
                            <a:ext cx="342900" cy="219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p>
            <w:pPr>
              <w:pStyle w:val="TableContents"/>
              <w:bidi w:val="0"/>
              <w:spacing w:before="200" w:after="283"/>
              <w:ind w:left="0" w:right="0" w:hanging="0"/>
              <w:jc w:val="left"/>
              <w:rPr>
                <w:rFonts w:ascii="Arial" w:hAnsi="Arial"/>
                <w:color w:val="000000"/>
                <w:sz w:val="16"/>
              </w:rPr>
            </w:pPr>
            <w:r>
              <w:rPr>
                <w:rFonts w:ascii="Arial" w:hAnsi="Arial"/>
                <w:color w:val="000000"/>
                <w:sz w:val="16"/>
              </w:rPr>
              <w:t xml:space="preserve">By signing, dating and returning your proxy card following </w:t>
            </w:r>
          </w:p>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the instructions on your proxy card. Your proxy card must be </w:t>
            </w:r>
          </w:p>
          <w:p>
            <w:pPr>
              <w:pStyle w:val="TableContents"/>
              <w:bidi w:val="0"/>
              <w:spacing w:before="0" w:after="283"/>
              <w:ind w:left="0" w:right="0" w:hanging="0"/>
              <w:jc w:val="left"/>
              <w:rPr>
                <w:rFonts w:ascii="Arial" w:hAnsi="Arial"/>
                <w:color w:val="000000"/>
                <w:sz w:val="16"/>
              </w:rPr>
            </w:pPr>
            <w:r>
              <w:rPr>
                <w:rFonts w:ascii="Arial" w:hAnsi="Arial"/>
                <w:color w:val="000000"/>
                <w:sz w:val="16"/>
              </w:rPr>
              <w:t>received prior to the Annual Meeting.</w:t>
            </w:r>
          </w:p>
        </w:tc>
      </w:tr>
      <w:tr>
        <w:trPr/>
        <w:tc>
          <w:tcPr>
            <w:tcW w:w="2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68" w:type="dxa"/>
            <w:tcBorders/>
            <w:vAlign w:val="center"/>
          </w:tcPr>
          <w:p>
            <w:pPr>
              <w:pStyle w:val="TableContents"/>
              <w:bidi w:val="0"/>
              <w:spacing w:before="0" w:after="0"/>
              <w:jc w:val="left"/>
              <w:rPr/>
            </w:pPr>
            <w:r>
              <w:rPr/>
              <w:t> </w:t>
            </w:r>
          </w:p>
        </w:tc>
      </w:tr>
    </w:tbl>
    <w:p>
      <w:pPr>
        <w:pStyle w:val="TextBody"/>
        <w:bidi w:val="0"/>
        <w:spacing w:before="160" w:after="283"/>
        <w:ind w:left="0" w:right="0" w:hanging="0"/>
        <w:jc w:val="left"/>
        <w:rPr>
          <w:rFonts w:ascii="Arial" w:hAnsi="Arial"/>
          <w:i/>
          <w:color w:val="000000"/>
          <w:sz w:val="18"/>
        </w:rPr>
      </w:pPr>
      <w:r>
        <w:rPr>
          <w:rFonts w:ascii="Arial" w:hAnsi="Arial"/>
          <w:i/>
          <w:color w:val="000000"/>
          <w:sz w:val="18"/>
        </w:rPr>
        <w:t>Street Name Stockholders</w:t>
      </w:r>
      <w:r>
        <w:rPr>
          <w:rFonts w:ascii="Arial" w:hAnsi="Arial"/>
          <w:i w:val="false"/>
          <w:caps w:val="false"/>
          <w:smallCaps w:val="false"/>
          <w:color w:val="000000"/>
          <w:sz w:val="18"/>
        </w:rPr>
        <w:t xml:space="preserve">. If you are a street name stockholder, then you will receive voting instructions from your broker, bank or 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hAnsi="Arial"/>
          <w:b/>
          <w:i w:val="false"/>
          <w:caps w:val="false"/>
          <w:smallCaps w:val="false"/>
          <w:color w:val="255993"/>
          <w:sz w:val="18"/>
        </w:rPr>
        <w:t>As discussed above, if you are a street name stockholder, then you may not vote your shares by ballot at the Annual Meeting unless you obtain a “legal proxy” from your broker, bank or other nominee.</w:t>
      </w:r>
      <w:r>
        <w:rPr>
          <w:rFonts w:ascii="Arial" w:hAnsi="Arial"/>
          <w:i/>
          <w:caps w:val="false"/>
          <w:smallCaps w:val="false"/>
          <w:color w:val="000000"/>
          <w:sz w:val="18"/>
        </w:rPr>
        <w:t xml:space="preserve"> </w:t>
      </w:r>
    </w:p>
    <w:p>
      <w:pPr>
        <w:pStyle w:val="TextBody"/>
        <w:bidi w:val="0"/>
        <w:spacing w:before="240" w:after="283"/>
        <w:ind w:left="0" w:right="0" w:hanging="0"/>
        <w:jc w:val="left"/>
        <w:rPr>
          <w:rFonts w:ascii="Arial" w:hAnsi="Arial"/>
          <w:b/>
          <w:color w:val="255993"/>
          <w:sz w:val="18"/>
        </w:rPr>
      </w:pPr>
      <w:r>
        <w:rPr>
          <w:rFonts w:ascii="Arial" w:hAnsi="Arial"/>
          <w:b/>
          <w:color w:val="255993"/>
          <w:sz w:val="18"/>
        </w:rPr>
        <w:t xml:space="preserve">WHAT IF I DO NOT SPECIFY HOW MY SHARES ARE TO BE VOTED OR FAIL TO PROVIDE TIMELY DIRECTIONS TO MY BROKER, BANK OR OTHER NOMINEE? </w:t>
      </w:r>
    </w:p>
    <w:p>
      <w:pPr>
        <w:pStyle w:val="TextBody"/>
        <w:bidi w:val="0"/>
        <w:spacing w:before="120" w:after="283"/>
        <w:ind w:left="0" w:right="0" w:hanging="0"/>
        <w:jc w:val="left"/>
        <w:rPr>
          <w:rFonts w:ascii="Arial" w:hAnsi="Arial"/>
          <w:i/>
          <w:color w:val="000000"/>
          <w:sz w:val="18"/>
        </w:rPr>
      </w:pPr>
      <w:r>
        <w:rPr>
          <w:rFonts w:ascii="Arial" w:hAnsi="Arial"/>
          <w:i/>
          <w:color w:val="000000"/>
          <w:sz w:val="18"/>
        </w:rPr>
        <w:t>Stockholder of Record</w:t>
      </w:r>
      <w:r>
        <w:rPr>
          <w:rFonts w:ascii="Arial" w:hAnsi="Arial"/>
          <w:i w:val="false"/>
          <w:caps w:val="false"/>
          <w:smallCaps w:val="false"/>
          <w:color w:val="000000"/>
          <w:sz w:val="18"/>
        </w:rPr>
        <w:t xml:space="preserve">. If you are a stockholder of record and you submit a proxy but you do not provide voting instructions, your shares will be voted: </w:t>
      </w:r>
    </w:p>
    <w:tbl>
      <w:tblPr>
        <w:tblW w:w="7030" w:type="dxa"/>
        <w:jc w:val="left"/>
        <w:tblInd w:w="0" w:type="dxa"/>
        <w:tblLayout w:type="fixed"/>
        <w:tblCellMar>
          <w:top w:w="0" w:type="dxa"/>
          <w:left w:w="0" w:type="dxa"/>
          <w:bottom w:w="0" w:type="dxa"/>
          <w:right w:w="0" w:type="dxa"/>
        </w:tblCellMar>
      </w:tblPr>
      <w:tblGrid>
        <w:gridCol w:w="140"/>
        <w:gridCol w:w="6890"/>
      </w:tblGrid>
      <w:tr>
        <w:trPr/>
        <w:tc>
          <w:tcPr>
            <w:tcW w:w="140" w:type="dxa"/>
            <w:tcBorders/>
            <w:vAlign w:val="center"/>
          </w:tcPr>
          <w:p>
            <w:pPr>
              <w:pStyle w:val="TableContents"/>
              <w:bidi w:val="0"/>
              <w:spacing w:before="0" w:after="0"/>
              <w:jc w:val="left"/>
              <w:rPr>
                <w:color w:val="255993"/>
              </w:rPr>
            </w:pPr>
            <w:r>
              <w:rPr>
                <w:color w:val="255993"/>
              </w:rPr>
              <w:t>•</w:t>
            </w:r>
          </w:p>
        </w:tc>
        <w:tc>
          <w:tcPr>
            <w:tcW w:w="6890" w:type="dxa"/>
            <w:tcBorders/>
            <w:vAlign w:val="center"/>
          </w:tcPr>
          <w:p>
            <w:pPr>
              <w:pStyle w:val="TableContents"/>
              <w:bidi w:val="0"/>
              <w:spacing w:before="0" w:after="0"/>
              <w:jc w:val="left"/>
              <w:rPr>
                <w:color w:val="255993"/>
              </w:rPr>
            </w:pPr>
            <w:r>
              <w:rPr>
                <w:color w:val="000000"/>
              </w:rPr>
              <w:t>“</w:t>
            </w:r>
            <w:r>
              <w:rPr>
                <w:rFonts w:ascii="Arial" w:hAnsi="Arial"/>
                <w:b/>
                <w:color w:val="255993"/>
                <w:sz w:val="18"/>
              </w:rPr>
              <w:t>FOR</w:t>
            </w:r>
            <w:r>
              <w:rPr>
                <w:rFonts w:ascii="Arial" w:hAnsi="Arial"/>
                <w:color w:val="000000"/>
                <w:sz w:val="18"/>
              </w:rPr>
              <w:t xml:space="preserve">” the election of each Class II director nominee named in this proxy statement;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color w:val="255993"/>
              </w:rPr>
            </w:pPr>
            <w:r>
              <w:rPr>
                <w:color w:val="000000"/>
              </w:rPr>
              <w:t>“</w:t>
            </w:r>
            <w:r>
              <w:rPr>
                <w:rFonts w:ascii="Arial" w:hAnsi="Arial"/>
                <w:b/>
                <w:color w:val="255993"/>
                <w:sz w:val="18"/>
              </w:rPr>
              <w:t>FOR</w:t>
            </w:r>
            <w:r>
              <w:rPr>
                <w:rFonts w:ascii="Arial" w:hAnsi="Arial"/>
                <w:color w:val="000000"/>
                <w:sz w:val="18"/>
              </w:rPr>
              <w:t xml:space="preserve">” the ratification of the appointment of Ernst &amp; Young LLP as our independent registered public accounting firm for our fiscal year ending December 31, 2025; and </w:t>
            </w:r>
          </w:p>
        </w:tc>
      </w:tr>
    </w:tbl>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8" w:name="ny20044300x2_def14a_105-proxy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For 2025 Annual Meeting of Stockholders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color w:val="255993"/>
              </w:rPr>
            </w:pPr>
            <w:r>
              <w:rPr>
                <w:color w:val="000000"/>
              </w:rPr>
              <w:t>“</w:t>
            </w:r>
            <w:r>
              <w:rPr>
                <w:rFonts w:ascii="Arial" w:hAnsi="Arial"/>
                <w:b/>
                <w:color w:val="255993"/>
                <w:sz w:val="18"/>
              </w:rPr>
              <w:t>FOR</w:t>
            </w:r>
            <w:r>
              <w:rPr>
                <w:rFonts w:ascii="Arial" w:hAnsi="Arial"/>
                <w:color w:val="000000"/>
                <w:sz w:val="18"/>
              </w:rPr>
              <w:t>” the approval of proposed amendments to our amended and restated certificate of incorporation to effect a reverse stock split and reduce the total number of authorized shares of common stock.</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addition, if any other matters are properly brought before the Annual Meeting, the persons named as proxies will be authorized to vote or otherwise act on those matters in accordance with their judgment.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Street Name Stockholders</w:t>
      </w:r>
      <w:r>
        <w:rPr>
          <w:rFonts w:ascii="Arial" w:hAnsi="Arial"/>
          <w:i w:val="false"/>
          <w:caps w:val="false"/>
          <w:smallCaps w:val="false"/>
          <w:color w:val="000000"/>
          <w:sz w:val="18"/>
        </w:rPr>
        <w:t xml:space="preserve">. 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routine matters: the proposal to ratify the appointment of Ernst &amp; Young LLP as our independent registered public accounting firm for our fiscal year ending December 31, 2025 and the proposal to amend our amended and restated certificate of incorporation to effect a reverse stock split and reduce the total number of authorized shares of common stock. Your broker, bank or other nominee will not have discretion to vote on any other proposals, which are considered non-routine matters, absent direction from you. In the event that your broker, bank or other nominee votes your shares on our routine matters, but is not able to vote your shares on non-routine matters, then those shares will be treated as broker non-votes with respect to non-routine proposals. Accordingly, if you own shares through a nominee, such as a broker or bank, please be sure to instruct your nominee how to vote to ensure that your shares are counted on each of the proposals.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CAN I CHANGE MY VOTE OR REVOKE MY PROXY?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Stockholder of Record</w:t>
      </w:r>
      <w:r>
        <w:rPr>
          <w:rFonts w:ascii="Arial" w:hAnsi="Arial"/>
          <w:i w:val="false"/>
          <w:caps w:val="false"/>
          <w:smallCaps w:val="false"/>
          <w:color w:val="000000"/>
          <w:sz w:val="18"/>
        </w:rPr>
        <w:t xml:space="preserve">. If you are a stockholder of record, you can change your vote or revoke your proxy before the Annual Meeting by: </w:t>
      </w:r>
    </w:p>
    <w:tbl>
      <w:tblPr>
        <w:tblW w:w="9745" w:type="dxa"/>
        <w:jc w:val="left"/>
        <w:tblInd w:w="0" w:type="dxa"/>
        <w:tblLayout w:type="fixed"/>
        <w:tblCellMar>
          <w:top w:w="0" w:type="dxa"/>
          <w:left w:w="0" w:type="dxa"/>
          <w:bottom w:w="0" w:type="dxa"/>
          <w:right w:w="0" w:type="dxa"/>
        </w:tblCellMar>
      </w:tblPr>
      <w:tblGrid>
        <w:gridCol w:w="140"/>
        <w:gridCol w:w="9605"/>
      </w:tblGrid>
      <w:tr>
        <w:trPr/>
        <w:tc>
          <w:tcPr>
            <w:tcW w:w="140" w:type="dxa"/>
            <w:tcBorders/>
            <w:vAlign w:val="center"/>
          </w:tcPr>
          <w:p>
            <w:pPr>
              <w:pStyle w:val="TableContents"/>
              <w:bidi w:val="0"/>
              <w:spacing w:before="0" w:after="0"/>
              <w:jc w:val="left"/>
              <w:rPr>
                <w:color w:val="255993"/>
              </w:rPr>
            </w:pPr>
            <w:r>
              <w:rPr>
                <w:color w:val="255993"/>
              </w:rPr>
              <w:t>•</w:t>
            </w:r>
          </w:p>
        </w:tc>
        <w:tc>
          <w:tcPr>
            <w:tcW w:w="960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entering a new vote by internet or telephone (subject to the applicable deadlines for each method as set forth above); </w:t>
            </w:r>
          </w:p>
        </w:tc>
      </w:tr>
    </w:tbl>
    <w:tbl>
      <w:tblPr>
        <w:tblW w:w="8590" w:type="dxa"/>
        <w:jc w:val="left"/>
        <w:tblInd w:w="0" w:type="dxa"/>
        <w:tblLayout w:type="fixed"/>
        <w:tblCellMar>
          <w:top w:w="0" w:type="dxa"/>
          <w:left w:w="0" w:type="dxa"/>
          <w:bottom w:w="0" w:type="dxa"/>
          <w:right w:w="0" w:type="dxa"/>
        </w:tblCellMar>
      </w:tblPr>
      <w:tblGrid>
        <w:gridCol w:w="140"/>
        <w:gridCol w:w="8450"/>
      </w:tblGrid>
      <w:tr>
        <w:trPr/>
        <w:tc>
          <w:tcPr>
            <w:tcW w:w="140" w:type="dxa"/>
            <w:tcBorders/>
            <w:vAlign w:val="center"/>
          </w:tcPr>
          <w:p>
            <w:pPr>
              <w:pStyle w:val="TableContents"/>
              <w:bidi w:val="0"/>
              <w:spacing w:before="0" w:after="0"/>
              <w:jc w:val="left"/>
              <w:rPr>
                <w:color w:val="255993"/>
              </w:rPr>
            </w:pPr>
            <w:r>
              <w:rPr>
                <w:color w:val="255993"/>
              </w:rPr>
              <w:t>•</w:t>
            </w:r>
          </w:p>
        </w:tc>
        <w:tc>
          <w:tcPr>
            <w:tcW w:w="845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completing and returning a later-dated proxy card, which must be received prior to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delivering a written notice of revocation to our corporate secretary at Athira Pharma, Inc., 18706 North Creek Parkway, Suite 104, Bothell, Washington 98011, Attention: Corporate Secretary, which must be received prior to the Annual Meeting;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attending virtually and voting at the Annual Meeting (although attendance at the Annual Meeting will not, by itself, revoke a proxy). </w:t>
            </w:r>
          </w:p>
        </w:tc>
      </w:tr>
    </w:tbl>
    <w:p>
      <w:pPr>
        <w:pStyle w:val="TextBody"/>
        <w:bidi w:val="0"/>
        <w:spacing w:before="160" w:after="283"/>
        <w:ind w:left="0" w:right="0" w:hanging="0"/>
        <w:jc w:val="left"/>
        <w:rPr>
          <w:rFonts w:ascii="Arial" w:hAnsi="Arial"/>
          <w:i/>
          <w:color w:val="000000"/>
          <w:sz w:val="18"/>
        </w:rPr>
      </w:pPr>
      <w:r>
        <w:rPr>
          <w:rFonts w:ascii="Arial" w:hAnsi="Arial"/>
          <w:i/>
          <w:color w:val="000000"/>
          <w:sz w:val="18"/>
        </w:rPr>
        <w:t>Street Name Stockholders</w:t>
      </w:r>
      <w:r>
        <w:rPr>
          <w:rFonts w:ascii="Arial" w:hAnsi="Arial"/>
          <w:i w:val="false"/>
          <w:caps w:val="false"/>
          <w:smallCaps w:val="false"/>
          <w:color w:val="000000"/>
          <w:sz w:val="18"/>
        </w:rPr>
        <w:t xml:space="preserve">. If you are a street name stockholder, then your broker, bank or other nominee can provide you with instructions on how to change or revoke your proxy.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WHAT DO I NEED TO DO TO ATTEND THE ANNUAL MEETING?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will be hosting the Annual Meeting via live webcast only. You will be able to attend the Annual Meeting virtually, submit your questions during the meeting and vote your shares electronically during the meeting by visiting www.virtualshareholdermeeting.com/ATHA2025. To participate in the Annual Meeting, you will need the control number included on your proxy card. The Annual Meeting webcast will begin promptly at 8:00 a.m., Pacific Time. We encourage you to access the meeting prior to the start time. Online check-in will begin at 7:45 a.m., Pacific Time, and you should allow ample time for the check-in procedures.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HOW CAN I GET HELP IF I HAVE TROUBLE CHECKING IN OR LISTENING TO THE ANNUAL MEETING ONLINE?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If you encounter difficulties accessing the virtual meeting during the check-in or meeting time, please call the technical support number that will be posted on the virtual meeting log-in page.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WHAT IS THE EFFECT OF GIVING A PROXY?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Proxies are being solicited by and on behalf of our board of directors. Mark Litton, our president and chief executive officer, Robert Renninger, our senior vice president, finance and accounting, and Mark Worthington, our general counsel, chief compliance officer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 </w:t>
      </w:r>
    </w:p>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9" w:name="ny20044300x2_def14a_105-proxy_pg6"/>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For 2025 Annual Meeting of Stockholders</w:t>
      </w:r>
    </w:p>
    <w:p>
      <w:pPr>
        <w:pStyle w:val="TextBody"/>
        <w:bidi w:val="0"/>
        <w:spacing w:before="120" w:after="283"/>
        <w:ind w:left="0" w:right="0" w:hanging="0"/>
        <w:jc w:val="left"/>
        <w:rPr>
          <w:rFonts w:ascii="Arial" w:hAnsi="Arial"/>
          <w:b/>
          <w:color w:val="255993"/>
          <w:sz w:val="18"/>
        </w:rPr>
      </w:pPr>
      <w:r>
        <w:rPr>
          <w:rFonts w:ascii="Arial" w:hAnsi="Arial"/>
          <w:b/>
          <w:color w:val="255993"/>
          <w:sz w:val="18"/>
        </w:rPr>
        <w:t xml:space="preserve">WHO WILL COUNT THE VOTES?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 representative of Broadridge Financial Solutions, Inc. will tabulate the votes and act as inspector of election.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HOW CAN I CONTACT ATHIRA’S TRANSFER AGENT?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You may contact our transfer agent, Computershare Inc., by telephone at (800) 736-3001, or by writing Computershare Inc.,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P.O. Box 43006, Providence, RI 02940-3078. You may also access instructions with respect to certain stockholder matters (e.g., change of address) via the internet at www.computershare.com/investor.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HOW ARE PROXIES SOLICITED FOR THE ANNUAL MEETING AND WHO IS PAYING FOR SUCH SOLICITATION?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board of directors is soliciting proxies for use at the Annual Meeting by means of these proxy materials. By signing, dating and returning the proxy card, or by submitting your proxy over the internet or by telephone using the instructions found on the proxy card,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Company will bear the cost of soliciting proxies and will reimburse brokerage firms and other custodians, nominees and fiduciaries for their reasonable out-of-pocket expenses for sending proxy materials to stockholders and obtaining their proxies. The Company has retained the services of Innisfree M&amp;A Incorporated to assist in soliciting proxies from the Company’s stockholders for a fee of $15,000 plus reimbursement of reasonable expenses. In addition to soliciting the proxies by mail and the internet, certain of the Company’s directors, officers and employees, without compensation, may solicit proxies personally or by telephone, facsimile and e-mail.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WHERE CAN I FIND THE VOTING RESULTS OF THE ANNUAL MEETING?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will disclose voting results on a Current Report on Form 8-K that we will file with the Securities and Exchange Commission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WHY DID I RECEIVE A NOTICE OF INTERNET AVAILABILITY INSTEAD OF A FULL SET OF PROXY MATERIALS?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WHAT DOES IT MEAN IF I RECEIVE MORE THAN ONE NOTICE OF INTERNET AVAILABILITY?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 </w:t>
      </w:r>
    </w:p>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20" w:name="ny20044300x2_def14a_105-proxy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For 2025 Annual Meeting of Stockholders</w:t>
      </w:r>
    </w:p>
    <w:p>
      <w:pPr>
        <w:pStyle w:val="TextBody"/>
        <w:bidi w:val="0"/>
        <w:spacing w:before="120" w:after="283"/>
        <w:ind w:left="0" w:right="0" w:hanging="0"/>
        <w:jc w:val="left"/>
        <w:rPr>
          <w:rFonts w:ascii="Arial" w:hAnsi="Arial"/>
          <w:b/>
          <w:color w:val="255993"/>
          <w:sz w:val="18"/>
        </w:rPr>
      </w:pPr>
      <w:r>
        <w:rPr>
          <w:rFonts w:ascii="Arial" w:hAnsi="Arial"/>
          <w:b/>
          <w:color w:val="255993"/>
          <w:sz w:val="18"/>
        </w:rPr>
        <w:t xml:space="preserve">I SHARE AN ADDRESS WITH ANOTHER STOCKHOLDER, AND WE RECEIVED ONLY ONE PAPER COPY OF THE PROXY MATERIALS. HOW MAY I OBTAIN AN ADDITIONAL COPY OF THE PROXY MATERIALS?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have adopted a procedure called “householding,” which the SEC has approved. Under this procedure, we can deliver a single copy of the Notice of Internet Availability to multiple stockholders who share the same address unless we received contrary instructions from one or more of the stockholders. This procedure reduces our printing costs, mailing costs and fees. Stockholders who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participate in householding will continue to be able to access and receive separate proxy cards. Upon written or oral request, we will deliver promptly a separate copy of the Notice of Internet Availability to any stockholder at a shared address to which we delivered a single copy of any of these documents. To receive a separate copy, or, if a stockholder is receiving multiple copies, to request that we only send a single copy of next year’s Notice of Internet Availability or proxy statement and annual report, as applicable, stockholders may contact us at the following address and telephone number: </w:t>
      </w:r>
    </w:p>
    <w:p>
      <w:pPr>
        <w:pStyle w:val="TextBody"/>
        <w:bidi w:val="0"/>
        <w:spacing w:before="250" w:after="283"/>
        <w:jc w:val="center"/>
        <w:rPr>
          <w:rFonts w:ascii="Arial" w:hAnsi="Arial"/>
          <w:color w:val="000000"/>
          <w:sz w:val="18"/>
        </w:rPr>
      </w:pPr>
      <w:r>
        <w:rPr>
          <w:rFonts w:ascii="Arial" w:hAnsi="Arial"/>
          <w:color w:val="000000"/>
          <w:sz w:val="18"/>
        </w:rPr>
        <w:t xml:space="preserve">Athira Pharma, Inc. </w:t>
      </w:r>
    </w:p>
    <w:p>
      <w:pPr>
        <w:pStyle w:val="TextBody"/>
        <w:bidi w:val="0"/>
        <w:spacing w:before="0" w:after="283"/>
        <w:jc w:val="center"/>
        <w:rPr>
          <w:rFonts w:ascii="Arial" w:hAnsi="Arial"/>
          <w:color w:val="000000"/>
          <w:sz w:val="18"/>
        </w:rPr>
      </w:pPr>
      <w:r>
        <w:rPr>
          <w:rFonts w:ascii="Arial" w:hAnsi="Arial"/>
          <w:color w:val="000000"/>
          <w:sz w:val="18"/>
        </w:rPr>
        <w:t xml:space="preserve">Attention: Investor Relations </w:t>
      </w:r>
    </w:p>
    <w:p>
      <w:pPr>
        <w:pStyle w:val="TextBody"/>
        <w:bidi w:val="0"/>
        <w:spacing w:before="0" w:after="283"/>
        <w:jc w:val="center"/>
        <w:rPr>
          <w:rFonts w:ascii="Arial" w:hAnsi="Arial"/>
          <w:color w:val="000000"/>
          <w:sz w:val="18"/>
        </w:rPr>
      </w:pPr>
      <w:r>
        <w:rPr>
          <w:rFonts w:ascii="Arial" w:hAnsi="Arial"/>
          <w:color w:val="000000"/>
          <w:sz w:val="18"/>
        </w:rPr>
        <w:t xml:space="preserve">18706 North Creek Parkway, Suite 104 </w:t>
      </w:r>
    </w:p>
    <w:p>
      <w:pPr>
        <w:pStyle w:val="TextBody"/>
        <w:bidi w:val="0"/>
        <w:spacing w:before="0" w:after="283"/>
        <w:jc w:val="center"/>
        <w:rPr>
          <w:rFonts w:ascii="Arial" w:hAnsi="Arial"/>
          <w:color w:val="000000"/>
          <w:sz w:val="18"/>
        </w:rPr>
      </w:pPr>
      <w:r>
        <w:rPr>
          <w:rFonts w:ascii="Arial" w:hAnsi="Arial"/>
          <w:color w:val="000000"/>
          <w:sz w:val="18"/>
        </w:rPr>
        <w:t xml:space="preserve">Bothell, Washington 98011 </w:t>
      </w:r>
    </w:p>
    <w:p>
      <w:pPr>
        <w:pStyle w:val="TextBody"/>
        <w:bidi w:val="0"/>
        <w:spacing w:before="0" w:after="283"/>
        <w:jc w:val="center"/>
        <w:rPr>
          <w:rFonts w:ascii="Arial" w:hAnsi="Arial"/>
          <w:color w:val="000000"/>
          <w:sz w:val="18"/>
        </w:rPr>
      </w:pPr>
      <w:r>
        <w:rPr>
          <w:rFonts w:ascii="Arial" w:hAnsi="Arial"/>
          <w:color w:val="000000"/>
          <w:sz w:val="18"/>
        </w:rPr>
        <w:t xml:space="preserve">Tel: (425) 620-8501 </w:t>
      </w:r>
    </w:p>
    <w:p>
      <w:pPr>
        <w:pStyle w:val="TextBody"/>
        <w:bidi w:val="0"/>
        <w:spacing w:before="250" w:after="283"/>
        <w:ind w:left="0" w:right="0" w:hanging="0"/>
        <w:jc w:val="left"/>
        <w:rPr>
          <w:rFonts w:ascii="Arial" w:hAnsi="Arial"/>
          <w:color w:val="000000"/>
          <w:sz w:val="18"/>
        </w:rPr>
      </w:pPr>
      <w:r>
        <w:rPr>
          <w:rFonts w:ascii="Arial" w:hAnsi="Arial"/>
          <w:color w:val="000000"/>
          <w:sz w:val="18"/>
        </w:rPr>
        <w:t xml:space="preserve">Street name stockholders may contact their broker, bank or other nominee to request information about householding. </w:t>
      </w:r>
    </w:p>
    <w:p>
      <w:pPr>
        <w:pStyle w:val="TextBody"/>
        <w:bidi w:val="0"/>
        <w:spacing w:before="240" w:after="283"/>
        <w:ind w:left="0" w:right="0" w:hanging="0"/>
        <w:jc w:val="left"/>
        <w:rPr>
          <w:rFonts w:ascii="Arial" w:hAnsi="Arial"/>
          <w:b/>
          <w:color w:val="255993"/>
          <w:sz w:val="18"/>
        </w:rPr>
      </w:pPr>
      <w:r>
        <w:rPr>
          <w:rFonts w:ascii="Arial" w:hAnsi="Arial"/>
          <w:b/>
          <w:color w:val="255993"/>
          <w:sz w:val="18"/>
        </w:rPr>
        <w:t xml:space="preserve">WHAT IS THE DEADLINE TO PROPOSE ACTIONS FOR CONSIDERATION AT NEXT YEAR’S ANNUAL MEETING OF STOCKHOLDERS OR TO NOMINATE INDIVIDUALS TO SERVE AS DIRECTORS?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If a stockholder would like us to consider including a proposal in our proxy statement for next year’s annual meeting of stockholders pursuant to Rule 14a-8 of the Securities Exchange Act of 1934, as amended (the “Exchange Act”), then the proposal must be received by our corporate secretary at our principal executive offices on or before December 15, 2025. In addition, stockholder proposals must comply with the requirements of Rule 14a-8 regarding the inclusion of stockholder proposals in company-sponsored proxy materials. Proposals should be addressed to: </w:t>
      </w:r>
    </w:p>
    <w:p>
      <w:pPr>
        <w:pStyle w:val="TextBody"/>
        <w:bidi w:val="0"/>
        <w:spacing w:before="250" w:after="283"/>
        <w:jc w:val="center"/>
        <w:rPr>
          <w:rFonts w:ascii="Arial" w:hAnsi="Arial"/>
          <w:color w:val="000000"/>
          <w:sz w:val="18"/>
        </w:rPr>
      </w:pPr>
      <w:r>
        <w:rPr>
          <w:rFonts w:ascii="Arial" w:hAnsi="Arial"/>
          <w:color w:val="000000"/>
          <w:sz w:val="18"/>
        </w:rPr>
        <w:t xml:space="preserve">Athira Pharma, Inc. </w:t>
      </w:r>
    </w:p>
    <w:p>
      <w:pPr>
        <w:pStyle w:val="TextBody"/>
        <w:bidi w:val="0"/>
        <w:spacing w:before="0" w:after="283"/>
        <w:jc w:val="center"/>
        <w:rPr>
          <w:rFonts w:ascii="Arial" w:hAnsi="Arial"/>
          <w:color w:val="000000"/>
          <w:sz w:val="18"/>
        </w:rPr>
      </w:pPr>
      <w:r>
        <w:rPr>
          <w:rFonts w:ascii="Arial" w:hAnsi="Arial"/>
          <w:color w:val="000000"/>
          <w:sz w:val="18"/>
        </w:rPr>
        <w:t xml:space="preserve">Attention: Corporate Secretary </w:t>
      </w:r>
    </w:p>
    <w:p>
      <w:pPr>
        <w:pStyle w:val="TextBody"/>
        <w:bidi w:val="0"/>
        <w:spacing w:before="0" w:after="283"/>
        <w:jc w:val="center"/>
        <w:rPr>
          <w:rFonts w:ascii="Arial" w:hAnsi="Arial"/>
          <w:color w:val="000000"/>
          <w:sz w:val="18"/>
        </w:rPr>
      </w:pPr>
      <w:r>
        <w:rPr>
          <w:rFonts w:ascii="Arial" w:hAnsi="Arial"/>
          <w:color w:val="000000"/>
          <w:sz w:val="18"/>
        </w:rPr>
        <w:t xml:space="preserve">18706 North Creek Parkway, Suite 104 </w:t>
      </w:r>
    </w:p>
    <w:p>
      <w:pPr>
        <w:pStyle w:val="TextBody"/>
        <w:bidi w:val="0"/>
        <w:spacing w:before="0" w:after="283"/>
        <w:jc w:val="center"/>
        <w:rPr>
          <w:rFonts w:ascii="Arial" w:hAnsi="Arial"/>
          <w:color w:val="000000"/>
          <w:sz w:val="18"/>
        </w:rPr>
      </w:pPr>
      <w:r>
        <w:rPr>
          <w:rFonts w:ascii="Arial" w:hAnsi="Arial"/>
          <w:color w:val="000000"/>
          <w:sz w:val="18"/>
        </w:rPr>
        <w:t xml:space="preserve">Bothell, Washington 98011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 </w:t>
      </w:r>
    </w:p>
    <w:tbl>
      <w:tblPr>
        <w:tblW w:w="5530" w:type="dxa"/>
        <w:jc w:val="left"/>
        <w:tblInd w:w="0" w:type="dxa"/>
        <w:tblLayout w:type="fixed"/>
        <w:tblCellMar>
          <w:top w:w="0" w:type="dxa"/>
          <w:left w:w="0" w:type="dxa"/>
          <w:bottom w:w="0" w:type="dxa"/>
          <w:right w:w="0" w:type="dxa"/>
        </w:tblCellMar>
      </w:tblPr>
      <w:tblGrid>
        <w:gridCol w:w="140"/>
        <w:gridCol w:w="5390"/>
      </w:tblGrid>
      <w:tr>
        <w:trPr/>
        <w:tc>
          <w:tcPr>
            <w:tcW w:w="140" w:type="dxa"/>
            <w:tcBorders/>
            <w:vAlign w:val="center"/>
          </w:tcPr>
          <w:p>
            <w:pPr>
              <w:pStyle w:val="TableContents"/>
              <w:bidi w:val="0"/>
              <w:spacing w:before="0" w:after="0"/>
              <w:jc w:val="left"/>
              <w:rPr>
                <w:color w:val="255993"/>
              </w:rPr>
            </w:pPr>
            <w:r>
              <w:rPr>
                <w:color w:val="255993"/>
              </w:rPr>
              <w:t>•</w:t>
            </w:r>
          </w:p>
        </w:tc>
        <w:tc>
          <w:tcPr>
            <w:tcW w:w="539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no earlier than 8:00 a.m., Eastern time, on January 29, 2026; and </w:t>
            </w:r>
          </w:p>
        </w:tc>
      </w:tr>
    </w:tbl>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255993"/>
              </w:rPr>
            </w:pPr>
            <w:r>
              <w:rPr>
                <w:color w:val="255993"/>
              </w:rPr>
              <w:t>•</w:t>
            </w:r>
          </w:p>
        </w:tc>
        <w:tc>
          <w:tcPr>
            <w:tcW w:w="494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no later than 5:00 p.m., Eastern time, on February 28, 2026.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we hold our 2026 annual meeting more than 25 days before or after the one-year anniversary of this year’s Annual Meeting, then such written notice must be received by our corporate secretary at our principal executive offices: </w:t>
      </w:r>
    </w:p>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255993"/>
              </w:rPr>
            </w:pPr>
            <w:r>
              <w:rPr>
                <w:color w:val="255993"/>
              </w:rPr>
              <w:t>•</w:t>
            </w:r>
          </w:p>
        </w:tc>
        <w:tc>
          <w:tcPr>
            <w:tcW w:w="861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no earlier than 8:00 a.m., Eastern time, on the 120</w:t>
            </w:r>
            <w:r>
              <w:rPr>
                <w:rFonts w:ascii="Arial" w:hAnsi="Arial"/>
                <w:color w:val="000000"/>
                <w:position w:val="6"/>
                <w:sz w:val="14"/>
                <w:sz w:val="18"/>
              </w:rPr>
              <w:t>th</w:t>
            </w:r>
            <w:r>
              <w:rPr>
                <w:rFonts w:ascii="Arial" w:hAnsi="Arial"/>
                <w:color w:val="000000"/>
                <w:sz w:val="18"/>
              </w:rPr>
              <w:t xml:space="preserve"> day prior to the day of our 2026 annual meeting,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no later than 5:00 p.m., Eastern time, on the later of the 90</w:t>
            </w:r>
            <w:r>
              <w:rPr>
                <w:rFonts w:ascii="Arial" w:hAnsi="Arial"/>
                <w:color w:val="000000"/>
                <w:position w:val="6"/>
                <w:sz w:val="14"/>
                <w:sz w:val="18"/>
              </w:rPr>
              <w:t>th</w:t>
            </w:r>
            <w:r>
              <w:rPr>
                <w:rFonts w:ascii="Arial" w:hAnsi="Arial"/>
                <w:color w:val="000000"/>
                <w:sz w:val="18"/>
              </w:rPr>
              <w:t xml:space="preserve"> day prior to the day of the 2026 annual meeting and, if the first public announcement of the date of such annual meeting is less than 100 days prior to the date of such annual meeting, the 10</w:t>
            </w:r>
            <w:r>
              <w:rPr>
                <w:rFonts w:ascii="Arial" w:hAnsi="Arial"/>
                <w:color w:val="000000"/>
                <w:position w:val="6"/>
                <w:sz w:val="14"/>
                <w:sz w:val="18"/>
              </w:rPr>
              <w:t>th</w:t>
            </w:r>
            <w:r>
              <w:rPr>
                <w:rFonts w:ascii="Arial" w:hAnsi="Arial"/>
                <w:color w:val="000000"/>
                <w:sz w:val="18"/>
              </w:rPr>
              <w:t xml:space="preserve"> day following the day on which public announcement of the date of the annual meeting is first made by us. </w:t>
            </w:r>
          </w:p>
        </w:tc>
      </w:tr>
    </w:tbl>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21" w:name="ny20044300x2_def14a_105-proxy_pg8"/>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For 2025 Annual Meeting of Stockholders</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 addition, stockholders who intend to solicit proxies in support of director nominees other than the Company’s nominees must also comply with the additional requirements of Rule 14a-19(b) of the Exchange Act.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tbl>
      <w:tblPr>
        <w:tblW w:w="10205" w:type="dxa"/>
        <w:jc w:val="left"/>
        <w:tblInd w:w="0" w:type="dxa"/>
        <w:tblLayout w:type="fixed"/>
        <w:tblCellMar>
          <w:top w:w="0" w:type="dxa"/>
          <w:left w:w="0" w:type="dxa"/>
          <w:bottom w:w="0" w:type="dxa"/>
          <w:right w:w="28" w:type="dxa"/>
        </w:tblCellMar>
      </w:tblPr>
      <w:tblGrid>
        <w:gridCol w:w="585"/>
        <w:gridCol w:w="9405"/>
        <w:gridCol w:w="215"/>
      </w:tblGrid>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9405" w:type="dxa"/>
            <w:tcBorders/>
            <w:shd w:fill="EBEBEB" w:val="clear"/>
            <w:tcMar>
              <w:right w:w="0" w:type="dxa"/>
            </w:tcMar>
            <w:vAlign w:val="center"/>
          </w:tcPr>
          <w:p>
            <w:pPr>
              <w:pStyle w:val="TableContents"/>
              <w:bidi w:val="0"/>
              <w:spacing w:before="0" w:after="0"/>
              <w:jc w:val="left"/>
              <w:rPr/>
            </w:pPr>
            <w:r>
              <w:rPr/>
              <w:t> </w:t>
            </w:r>
          </w:p>
        </w:tc>
        <w:tc>
          <w:tcPr>
            <w:tcW w:w="215"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restart"/>
            <w:tcBorders>
              <w:right w:val="single" w:sz="16" w:space="0" w:color="FFFFFF"/>
            </w:tcBorders>
            <w:shd w:fill="255993" w:val="clear"/>
            <w:vAlign w:val="center"/>
          </w:tcPr>
          <w:p>
            <w:pPr>
              <w:pStyle w:val="TableContents"/>
              <w:bidi w:val="0"/>
              <w:spacing w:before="0" w:after="283"/>
              <w:jc w:val="center"/>
              <w:rPr>
                <w:color w:val="000000"/>
              </w:rPr>
            </w:pPr>
            <w:r>
              <w:rPr>
                <w:color w:val="000000"/>
              </w:rPr>
              <w:drawing>
                <wp:inline distT="0" distB="0" distL="0" distR="0">
                  <wp:extent cx="342900" cy="333375"/>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7"/>
                          <a:stretch>
                            <a:fillRect/>
                          </a:stretch>
                        </pic:blipFill>
                        <pic:spPr bwMode="auto">
                          <a:xfrm>
                            <a:off x="0" y="0"/>
                            <a:ext cx="3429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9405" w:type="dxa"/>
            <w:tcBorders/>
            <w:shd w:fill="EBEBEB" w:val="clear"/>
            <w:tcMar>
              <w:right w:w="0" w:type="dxa"/>
            </w:tcMar>
            <w:vAlign w:val="center"/>
          </w:tcPr>
          <w:p>
            <w:pPr>
              <w:pStyle w:val="TableContents"/>
              <w:bidi w:val="0"/>
              <w:spacing w:before="0" w:after="283"/>
              <w:ind w:left="24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Board Recommendation </w:t>
            </w:r>
          </w:p>
        </w:tc>
        <w:tc>
          <w:tcPr>
            <w:tcW w:w="215"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continue"/>
            <w:tcBorders>
              <w:right w:val="single" w:sz="16" w:space="0" w:color="FFFFFF"/>
            </w:tcBorders>
            <w:shd w:fill="255993" w:val="clear"/>
            <w:vAlign w:val="center"/>
          </w:tcPr>
          <w:p>
            <w:pPr>
              <w:pStyle w:val="Normal"/>
              <w:bidi w:val="0"/>
              <w:jc w:val="left"/>
              <w:rPr/>
            </w:pPr>
            <w:r>
              <w:rPr/>
            </w:r>
          </w:p>
        </w:tc>
        <w:tc>
          <w:tcPr>
            <w:tcW w:w="9405" w:type="dxa"/>
            <w:tcBorders/>
            <w:shd w:fill="EBEBEB" w:val="clear"/>
            <w:tcMar>
              <w:right w:w="0" w:type="dxa"/>
            </w:tcMar>
            <w:vAlign w:val="center"/>
          </w:tcPr>
          <w:p>
            <w:pPr>
              <w:pStyle w:val="TableContents"/>
              <w:bidi w:val="0"/>
              <w:spacing w:before="0" w:after="283"/>
              <w:ind w:left="240" w:right="0" w:hanging="0"/>
              <w:jc w:val="left"/>
              <w:rPr>
                <w:rFonts w:ascii="Arial" w:hAnsi="Arial"/>
                <w:color w:val="255993"/>
                <w:sz w:val="16"/>
              </w:rPr>
            </w:pPr>
            <w:r>
              <w:rPr>
                <w:rFonts w:ascii="Arial" w:hAnsi="Arial"/>
                <w:color w:val="255993"/>
                <w:sz w:val="16"/>
              </w:rPr>
              <w:t>The Board of Directors unanimously recommends voting “</w:t>
            </w:r>
            <w:r>
              <w:rPr>
                <w:rFonts w:ascii="Arial" w:hAnsi="Arial"/>
                <w:b/>
                <w:color w:val="255993"/>
                <w:sz w:val="16"/>
              </w:rPr>
              <w:t xml:space="preserve">FOR” </w:t>
            </w:r>
            <w:r>
              <w:rPr>
                <w:rFonts w:ascii="Arial" w:hAnsi="Arial"/>
                <w:color w:val="255993"/>
                <w:sz w:val="16"/>
              </w:rPr>
              <w:t>the election of each of the Board of Directors’ nominees on Proposal No. 1 (which nominees are Joseph Edelman, John M. Fluke, Jr., and Grant Pickering), “</w:t>
            </w:r>
            <w:r>
              <w:rPr>
                <w:rFonts w:ascii="Arial" w:hAnsi="Arial"/>
                <w:b/>
                <w:color w:val="255993"/>
                <w:sz w:val="16"/>
              </w:rPr>
              <w:t xml:space="preserve">FOR” </w:t>
            </w:r>
            <w:r>
              <w:rPr>
                <w:rFonts w:ascii="Arial" w:hAnsi="Arial"/>
                <w:color w:val="255993"/>
                <w:sz w:val="16"/>
              </w:rPr>
              <w:t>the ratification of the appointment of Ernst &amp; Young LLP as our independent registered public accounting firm for our fiscal year ending December 31, 2025 on Proposal No. 2, and “</w:t>
            </w:r>
            <w:r>
              <w:rPr>
                <w:rFonts w:ascii="Arial" w:hAnsi="Arial"/>
                <w:b/>
                <w:color w:val="255993"/>
                <w:sz w:val="16"/>
              </w:rPr>
              <w:t>FOR”</w:t>
            </w:r>
            <w:r>
              <w:rPr>
                <w:rFonts w:ascii="Arial" w:hAnsi="Arial"/>
                <w:color w:val="255993"/>
                <w:sz w:val="16"/>
              </w:rPr>
              <w:t xml:space="preserve"> the approval of proposed amendments to our amended and restated certificate of incorporation to effect a reverse stock split and reduce the total number of authorized shares of common stock.</w:t>
            </w:r>
          </w:p>
        </w:tc>
        <w:tc>
          <w:tcPr>
            <w:tcW w:w="215" w:type="dxa"/>
            <w:tcBorders/>
            <w:shd w:fill="EBEBEB" w:val="clear"/>
            <w:tcMar>
              <w:right w:w="0" w:type="dxa"/>
            </w:tcMar>
            <w:vAlign w:val="center"/>
          </w:tcPr>
          <w:p>
            <w:pPr>
              <w:pStyle w:val="TableContents"/>
              <w:bidi w:val="0"/>
              <w:spacing w:before="0" w:after="0"/>
              <w:jc w:val="left"/>
              <w:rPr/>
            </w:pPr>
            <w:r>
              <w:rPr/>
              <w:t> </w:t>
            </w:r>
          </w:p>
        </w:tc>
      </w:tr>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9405" w:type="dxa"/>
            <w:tcBorders/>
            <w:shd w:fill="EBEBEB" w:val="clear"/>
            <w:tcMar>
              <w:right w:w="0" w:type="dxa"/>
            </w:tcMar>
            <w:vAlign w:val="center"/>
          </w:tcPr>
          <w:p>
            <w:pPr>
              <w:pStyle w:val="TableContents"/>
              <w:bidi w:val="0"/>
              <w:spacing w:before="0" w:after="0"/>
              <w:jc w:val="left"/>
              <w:rPr/>
            </w:pPr>
            <w:r>
              <w:rPr/>
              <w:t> </w:t>
            </w:r>
          </w:p>
        </w:tc>
        <w:tc>
          <w:tcPr>
            <w:tcW w:w="215" w:type="dxa"/>
            <w:tcBorders/>
            <w:shd w:fill="EBEBEB" w:val="clear"/>
            <w:tcMar>
              <w:right w:w="0" w:type="dxa"/>
            </w:tcMar>
            <w:vAlign w:val="center"/>
          </w:tcPr>
          <w:p>
            <w:pPr>
              <w:pStyle w:val="TableContents"/>
              <w:bidi w:val="0"/>
              <w:spacing w:before="0" w:after="0"/>
              <w:jc w:val="left"/>
              <w:rPr/>
            </w:pPr>
            <w:r>
              <w:rPr/>
              <w:t> </w:t>
            </w:r>
          </w:p>
        </w:tc>
      </w:tr>
    </w:tbl>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22" w:name="ny20044300x2_def14a_106-board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23" w:name="tBDCG"/>
      <w:bookmarkEnd w:id="23"/>
      <w:r>
        <w:rPr>
          <w:rFonts w:ascii="Times;Georgia" w:hAnsi="Times;Georgia"/>
          <w:color w:val="255993"/>
          <w:sz w:val="64"/>
        </w:rPr>
        <w:t xml:space="preserve">Board of Directors and </w:t>
      </w:r>
    </w:p>
    <w:p>
      <w:pPr>
        <w:pStyle w:val="TextBody"/>
        <w:bidi w:val="0"/>
        <w:spacing w:before="0" w:after="283"/>
        <w:ind w:left="0" w:right="0" w:hanging="0"/>
        <w:jc w:val="left"/>
        <w:rPr>
          <w:rFonts w:ascii="Times;Georgia" w:hAnsi="Times;Georgia"/>
          <w:color w:val="255993"/>
          <w:sz w:val="64"/>
        </w:rPr>
      </w:pPr>
      <w:r>
        <w:rPr>
          <w:rFonts w:ascii="Times;Georgia" w:hAnsi="Times;Georgia"/>
          <w:color w:val="255993"/>
          <w:sz w:val="64"/>
        </w:rPr>
        <w:t xml:space="preserve">Corporate Governance </w:t>
      </w:r>
    </w:p>
    <w:p>
      <w:pPr>
        <w:pStyle w:val="TextBody"/>
        <w:bidi w:val="0"/>
        <w:spacing w:before="430" w:after="283"/>
        <w:ind w:left="0" w:right="0" w:hanging="0"/>
        <w:jc w:val="left"/>
        <w:rPr>
          <w:rFonts w:ascii="Arial" w:hAnsi="Arial"/>
          <w:b/>
          <w:color w:val="F8991D"/>
          <w:sz w:val="20"/>
        </w:rPr>
      </w:pPr>
      <w:bookmarkStart w:id="24" w:name="tCOTB"/>
      <w:bookmarkEnd w:id="24"/>
      <w:r>
        <w:rPr>
          <w:rFonts w:ascii="Arial" w:hAnsi="Arial"/>
          <w:b/>
          <w:color w:val="F8991D"/>
          <w:sz w:val="20"/>
        </w:rPr>
        <w:t xml:space="preserve">COMPOSITION OF THE BOARD OF DIRECTORS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following table sets forth the names, ages as of April 4, 2025, and certain other information for each of our directors and director nominees: </w:t>
      </w:r>
    </w:p>
    <w:tbl>
      <w:tblPr>
        <w:tblW w:w="10205" w:type="dxa"/>
        <w:jc w:val="left"/>
        <w:tblInd w:w="0" w:type="dxa"/>
        <w:tblLayout w:type="fixed"/>
        <w:tblCellMar>
          <w:top w:w="0" w:type="dxa"/>
          <w:left w:w="0" w:type="dxa"/>
          <w:bottom w:w="0" w:type="dxa"/>
          <w:right w:w="0" w:type="dxa"/>
        </w:tblCellMar>
      </w:tblPr>
      <w:tblGrid>
        <w:gridCol w:w="185"/>
        <w:gridCol w:w="1972"/>
        <w:gridCol w:w="170"/>
        <w:gridCol w:w="170"/>
        <w:gridCol w:w="545"/>
        <w:gridCol w:w="170"/>
        <w:gridCol w:w="170"/>
        <w:gridCol w:w="395"/>
        <w:gridCol w:w="170"/>
        <w:gridCol w:w="170"/>
        <w:gridCol w:w="2333"/>
        <w:gridCol w:w="170"/>
        <w:gridCol w:w="170"/>
        <w:gridCol w:w="779"/>
        <w:gridCol w:w="170"/>
        <w:gridCol w:w="170"/>
        <w:gridCol w:w="734"/>
        <w:gridCol w:w="170"/>
        <w:gridCol w:w="170"/>
        <w:gridCol w:w="1004"/>
        <w:gridCol w:w="218"/>
      </w:tblGrid>
      <w:tr>
        <w:trPr/>
        <w:tc>
          <w:tcPr>
            <w:tcW w:w="185" w:type="dxa"/>
            <w:tcBorders/>
            <w:shd w:fill="255993" w:val="clear"/>
            <w:vAlign w:val="center"/>
          </w:tcPr>
          <w:p>
            <w:pPr>
              <w:pStyle w:val="TableContents"/>
              <w:bidi w:val="0"/>
              <w:spacing w:before="0" w:after="0"/>
              <w:jc w:val="left"/>
              <w:rPr/>
            </w:pPr>
            <w:r>
              <w:rPr/>
              <w:t> </w:t>
            </w:r>
          </w:p>
        </w:tc>
        <w:tc>
          <w:tcPr>
            <w:tcW w:w="1972"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54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39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2333"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779"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734"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004" w:type="dxa"/>
            <w:tcBorders/>
            <w:shd w:fill="255993" w:val="clear"/>
            <w:vAlign w:val="center"/>
          </w:tcPr>
          <w:p>
            <w:pPr>
              <w:pStyle w:val="TableContents"/>
              <w:bidi w:val="0"/>
              <w:spacing w:before="0" w:after="0"/>
              <w:jc w:val="left"/>
              <w:rPr/>
            </w:pPr>
            <w:r>
              <w:rPr/>
              <w:t> </w:t>
            </w:r>
          </w:p>
        </w:tc>
        <w:tc>
          <w:tcPr>
            <w:tcW w:w="218" w:type="dxa"/>
            <w:tcBorders/>
            <w:shd w:fill="255993" w:val="clear"/>
            <w:vAlign w:val="center"/>
          </w:tcPr>
          <w:p>
            <w:pPr>
              <w:pStyle w:val="TableContents"/>
              <w:bidi w:val="0"/>
              <w:spacing w:before="0" w:after="0"/>
              <w:jc w:val="left"/>
              <w:rPr/>
            </w:pPr>
            <w:r>
              <w:rPr/>
              <w:t> </w:t>
            </w:r>
          </w:p>
        </w:tc>
      </w:tr>
      <w:tr>
        <w:trPr/>
        <w:tc>
          <w:tcPr>
            <w:tcW w:w="185"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255993" w:val="clear"/>
            <w:tcMar>
              <w:bottom w:w="190" w:type="dxa"/>
            </w:tcMar>
            <w:vAlign w:val="center"/>
          </w:tcPr>
          <w:p>
            <w:pPr>
              <w:pStyle w:val="TableContents"/>
              <w:bidi w:val="0"/>
              <w:spacing w:before="0" w:after="283"/>
              <w:ind w:left="90" w:right="0" w:hanging="0"/>
              <w:jc w:val="left"/>
              <w:rPr>
                <w:rFonts w:ascii="Arial" w:hAnsi="Arial"/>
                <w:b/>
                <w:color w:val="FFFFFF"/>
                <w:sz w:val="18"/>
              </w:rPr>
            </w:pPr>
            <w:r>
              <w:rPr>
                <w:rFonts w:ascii="Arial" w:hAnsi="Arial"/>
                <w:b/>
                <w:color w:val="FFFFFF"/>
                <w:sz w:val="18"/>
              </w:rPr>
              <w:t>Name</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255993" w:val="clear"/>
            <w:tcMar>
              <w:bottom w:w="19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Class</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255993" w:val="clear"/>
            <w:tcMar>
              <w:bottom w:w="19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Age</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255993" w:val="clear"/>
            <w:tcMar>
              <w:bottom w:w="190" w:type="dxa"/>
            </w:tcMar>
            <w:vAlign w:val="center"/>
          </w:tcPr>
          <w:p>
            <w:pPr>
              <w:pStyle w:val="TableContents"/>
              <w:bidi w:val="0"/>
              <w:spacing w:before="0" w:after="283"/>
              <w:ind w:left="0" w:right="0" w:hanging="0"/>
              <w:jc w:val="left"/>
              <w:rPr>
                <w:rFonts w:ascii="Arial" w:hAnsi="Arial"/>
                <w:b/>
                <w:color w:val="FFFFFF"/>
                <w:sz w:val="18"/>
              </w:rPr>
            </w:pPr>
            <w:r>
              <w:rPr>
                <w:rFonts w:ascii="Arial" w:hAnsi="Arial"/>
                <w:b/>
                <w:color w:val="FFFFFF"/>
                <w:sz w:val="18"/>
              </w:rPr>
              <w:t>Position</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255993" w:val="clear"/>
            <w:tcMar>
              <w:bottom w:w="19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Director </w:t>
            </w:r>
          </w:p>
          <w:p>
            <w:pPr>
              <w:pStyle w:val="TableContents"/>
              <w:bidi w:val="0"/>
              <w:spacing w:before="0" w:after="283"/>
              <w:jc w:val="center"/>
              <w:rPr>
                <w:rFonts w:ascii="Arial" w:hAnsi="Arial"/>
                <w:b/>
                <w:color w:val="FFFFFF"/>
                <w:sz w:val="18"/>
              </w:rPr>
            </w:pPr>
            <w:r>
              <w:rPr>
                <w:rFonts w:ascii="Arial" w:hAnsi="Arial"/>
                <w:b/>
                <w:color w:val="FFFFFF"/>
                <w:sz w:val="18"/>
              </w:rPr>
              <w:t>Since</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255993" w:val="clear"/>
            <w:tcMar>
              <w:bottom w:w="19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Current </w:t>
            </w:r>
          </w:p>
          <w:p>
            <w:pPr>
              <w:pStyle w:val="TableContents"/>
              <w:bidi w:val="0"/>
              <w:spacing w:before="0" w:after="283"/>
              <w:jc w:val="center"/>
              <w:rPr>
                <w:rFonts w:ascii="Arial" w:hAnsi="Arial"/>
                <w:b/>
                <w:color w:val="FFFFFF"/>
                <w:sz w:val="18"/>
              </w:rPr>
            </w:pPr>
            <w:r>
              <w:rPr>
                <w:rFonts w:ascii="Arial" w:hAnsi="Arial"/>
                <w:b/>
                <w:color w:val="FFFFFF"/>
                <w:sz w:val="18"/>
              </w:rPr>
              <w:t xml:space="preserve">Term </w:t>
            </w:r>
          </w:p>
          <w:p>
            <w:pPr>
              <w:pStyle w:val="TableContents"/>
              <w:bidi w:val="0"/>
              <w:spacing w:before="0" w:after="283"/>
              <w:jc w:val="center"/>
              <w:rPr>
                <w:rFonts w:ascii="Arial" w:hAnsi="Arial"/>
                <w:b/>
                <w:color w:val="FFFFFF"/>
                <w:sz w:val="18"/>
              </w:rPr>
            </w:pPr>
            <w:r>
              <w:rPr>
                <w:rFonts w:ascii="Arial" w:hAnsi="Arial"/>
                <w:b/>
                <w:color w:val="FFFFFF"/>
                <w:sz w:val="18"/>
              </w:rPr>
              <w:t>Expires</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255993" w:val="clear"/>
            <w:tcMar>
              <w:bottom w:w="19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Expiration </w:t>
            </w:r>
          </w:p>
          <w:p>
            <w:pPr>
              <w:pStyle w:val="TableContents"/>
              <w:bidi w:val="0"/>
              <w:spacing w:before="0" w:after="283"/>
              <w:jc w:val="center"/>
              <w:rPr>
                <w:rFonts w:ascii="Arial" w:hAnsi="Arial"/>
                <w:b/>
                <w:color w:val="FFFFFF"/>
                <w:sz w:val="18"/>
              </w:rPr>
            </w:pPr>
            <w:r>
              <w:rPr>
                <w:rFonts w:ascii="Arial" w:hAnsi="Arial"/>
                <w:b/>
                <w:color w:val="FFFFFF"/>
                <w:sz w:val="18"/>
              </w:rPr>
              <w:t xml:space="preserve">of Term </w:t>
            </w:r>
          </w:p>
          <w:p>
            <w:pPr>
              <w:pStyle w:val="TableContents"/>
              <w:bidi w:val="0"/>
              <w:spacing w:before="0" w:after="283"/>
              <w:jc w:val="center"/>
              <w:rPr>
                <w:rFonts w:ascii="Arial" w:hAnsi="Arial"/>
                <w:b/>
                <w:color w:val="FFFFFF"/>
                <w:sz w:val="18"/>
              </w:rPr>
            </w:pPr>
            <w:r>
              <w:rPr>
                <w:rFonts w:ascii="Arial" w:hAnsi="Arial"/>
                <w:b/>
                <w:color w:val="FFFFFF"/>
                <w:sz w:val="18"/>
              </w:rPr>
              <w:t xml:space="preserve">for Which </w:t>
            </w:r>
          </w:p>
          <w:p>
            <w:pPr>
              <w:pStyle w:val="TableContents"/>
              <w:bidi w:val="0"/>
              <w:spacing w:before="0" w:after="283"/>
              <w:jc w:val="center"/>
              <w:rPr>
                <w:rFonts w:ascii="Arial" w:hAnsi="Arial"/>
                <w:b/>
                <w:color w:val="FFFFFF"/>
                <w:sz w:val="18"/>
              </w:rPr>
            </w:pPr>
            <w:r>
              <w:rPr>
                <w:rFonts w:ascii="Arial" w:hAnsi="Arial"/>
                <w:b/>
                <w:color w:val="FFFFFF"/>
                <w:sz w:val="18"/>
              </w:rPr>
              <w:t xml:space="preserve">Nominated </w:t>
            </w:r>
          </w:p>
        </w:tc>
        <w:tc>
          <w:tcPr>
            <w:tcW w:w="218" w:type="dxa"/>
            <w:tcBorders>
              <w:bottom w:val="single" w:sz="16"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F8991D" w:val="clear"/>
            <w:tcMar>
              <w:bottom w:w="193" w:type="dxa"/>
            </w:tcMar>
            <w:vAlign w:val="center"/>
          </w:tcPr>
          <w:p>
            <w:pPr>
              <w:pStyle w:val="TableContents"/>
              <w:bidi w:val="0"/>
              <w:spacing w:before="0" w:after="283"/>
              <w:ind w:left="90" w:right="0" w:hanging="0"/>
              <w:jc w:val="left"/>
              <w:rPr>
                <w:rFonts w:ascii="Arial" w:hAnsi="Arial"/>
                <w:b/>
                <w:color w:val="FFFFFF"/>
                <w:sz w:val="16"/>
              </w:rPr>
            </w:pPr>
            <w:r>
              <w:rPr>
                <w:rFonts w:ascii="Arial" w:hAnsi="Arial"/>
                <w:b/>
                <w:color w:val="FFFFFF"/>
                <w:sz w:val="16"/>
              </w:rPr>
              <w:t>NOMINEES FOR DIRECTOR</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8991D"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F8991D"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F8991D"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F8991D"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F8991D"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F8991D" w:val="clear"/>
            <w:tcMar>
              <w:bottom w:w="193" w:type="dxa"/>
            </w:tcMar>
            <w:vAlign w:val="center"/>
          </w:tcPr>
          <w:p>
            <w:pPr>
              <w:pStyle w:val="TableContents"/>
              <w:bidi w:val="0"/>
              <w:spacing w:before="0" w:after="283"/>
              <w:jc w:val="center"/>
              <w:rPr>
                <w:color w:val="000000"/>
              </w:rPr>
            </w:pPr>
            <w:r>
              <w:rPr>
                <w:color w:val="000000"/>
              </w:rPr>
              <w:t> </w:t>
            </w:r>
          </w:p>
        </w:tc>
        <w:tc>
          <w:tcPr>
            <w:tcW w:w="218" w:type="dxa"/>
            <w:tcBorders>
              <w:bottom w:val="single" w:sz="16" w:space="0" w:color="FFFFFF"/>
            </w:tcBorders>
            <w:shd w:fill="F8991D"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EBEBEB"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Joseph Edelman</w:t>
            </w:r>
            <w:r>
              <w:rPr>
                <w:rFonts w:ascii="Arial" w:hAnsi="Arial"/>
                <w:b w:val="false"/>
                <w:color w:val="000000"/>
                <w:position w:val="5"/>
                <w:sz w:val="13"/>
                <w:sz w:val="16"/>
              </w:rPr>
              <w:t>(1)</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II</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69</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EBEBEB" w:val="clear"/>
            <w:tcMar>
              <w:bottom w:w="1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Director</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xml:space="preserve">2028 </w:t>
            </w:r>
          </w:p>
        </w:tc>
        <w:tc>
          <w:tcPr>
            <w:tcW w:w="218"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FAFAFA"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John M. Fluke, Jr.</w:t>
            </w:r>
            <w:r>
              <w:rPr>
                <w:rFonts w:ascii="Arial" w:hAnsi="Arial"/>
                <w:b w:val="false"/>
                <w:color w:val="000000"/>
                <w:position w:val="5"/>
                <w:sz w:val="13"/>
                <w:sz w:val="16"/>
              </w:rPr>
              <w:t>(2)</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II</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82</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FAFAFA" w:val="clear"/>
            <w:tcMar>
              <w:bottom w:w="1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Director</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xml:space="preserve">2028 </w:t>
            </w:r>
          </w:p>
        </w:tc>
        <w:tc>
          <w:tcPr>
            <w:tcW w:w="218"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EBEBEB"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Grant Pickering</w:t>
            </w:r>
            <w:r>
              <w:rPr>
                <w:rFonts w:ascii="Arial" w:hAnsi="Arial"/>
                <w:b w:val="false"/>
                <w:color w:val="000000"/>
                <w:position w:val="5"/>
                <w:sz w:val="13"/>
                <w:sz w:val="16"/>
              </w:rPr>
              <w:t>(3)</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II</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57</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EBEBEB" w:val="clear"/>
            <w:tcMar>
              <w:bottom w:w="1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Director</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 xml:space="preserve">2028 </w:t>
            </w:r>
          </w:p>
        </w:tc>
        <w:tc>
          <w:tcPr>
            <w:tcW w:w="218"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6CCAD0" w:val="clear"/>
            <w:tcMar>
              <w:bottom w:w="193" w:type="dxa"/>
            </w:tcMar>
            <w:vAlign w:val="center"/>
          </w:tcPr>
          <w:p>
            <w:pPr>
              <w:pStyle w:val="TableContents"/>
              <w:bidi w:val="0"/>
              <w:spacing w:before="0" w:after="283"/>
              <w:ind w:left="90" w:right="0" w:hanging="0"/>
              <w:jc w:val="left"/>
              <w:rPr>
                <w:rFonts w:ascii="Arial" w:hAnsi="Arial"/>
                <w:b/>
                <w:color w:val="FFFFFF"/>
                <w:sz w:val="16"/>
              </w:rPr>
            </w:pPr>
            <w:r>
              <w:rPr>
                <w:rFonts w:ascii="Arial" w:hAnsi="Arial"/>
                <w:b/>
                <w:color w:val="FFFFFF"/>
                <w:sz w:val="16"/>
              </w:rPr>
              <w:t>CONTINUING DIRECTORS</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6CCAD0"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6CCAD0"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6CCAD0" w:val="clear"/>
            <w:tcMar>
              <w:bottom w:w="193"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6CCAD0"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6CCAD0" w:val="clear"/>
            <w:tcMar>
              <w:bottom w:w="193" w:type="dxa"/>
            </w:tcMar>
            <w:vAlign w:val="center"/>
          </w:tcPr>
          <w:p>
            <w:pPr>
              <w:pStyle w:val="TableContents"/>
              <w:bidi w:val="0"/>
              <w:spacing w:before="0" w:after="283"/>
              <w:jc w:val="center"/>
              <w:rPr>
                <w:color w:val="000000"/>
              </w:rPr>
            </w:pPr>
            <w:r>
              <w:rPr>
                <w:color w:val="000000"/>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6CCAD0" w:val="clear"/>
            <w:tcMar>
              <w:bottom w:w="193" w:type="dxa"/>
            </w:tcMar>
            <w:vAlign w:val="center"/>
          </w:tcPr>
          <w:p>
            <w:pPr>
              <w:pStyle w:val="TableContents"/>
              <w:bidi w:val="0"/>
              <w:spacing w:before="0" w:after="283"/>
              <w:jc w:val="center"/>
              <w:rPr>
                <w:color w:val="000000"/>
              </w:rPr>
            </w:pPr>
            <w:r>
              <w:rPr>
                <w:color w:val="000000"/>
              </w:rPr>
              <w:t> </w:t>
            </w:r>
          </w:p>
        </w:tc>
        <w:tc>
          <w:tcPr>
            <w:tcW w:w="218" w:type="dxa"/>
            <w:tcBorders>
              <w:bottom w:val="single" w:sz="16" w:space="0" w:color="FFFFFF"/>
            </w:tcBorders>
            <w:shd w:fill="6CCAD0"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FAFAFA"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Kelly A. Romano</w:t>
            </w:r>
            <w:r>
              <w:rPr>
                <w:rFonts w:ascii="Arial" w:hAnsi="Arial"/>
                <w:b w:val="false"/>
                <w:color w:val="000000"/>
                <w:position w:val="5"/>
                <w:sz w:val="13"/>
                <w:sz w:val="16"/>
              </w:rPr>
              <w:t>(2)(4)</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III</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63</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FAFAFA" w:val="clear"/>
            <w:tcMar>
              <w:bottom w:w="193" w:type="dxa"/>
            </w:tcMar>
            <w:vAlign w:val="center"/>
          </w:tcPr>
          <w:p>
            <w:pPr>
              <w:pStyle w:val="TableContents"/>
              <w:bidi w:val="0"/>
              <w:spacing w:before="0" w:after="283"/>
              <w:ind w:left="0" w:right="0" w:hanging="0"/>
              <w:jc w:val="both"/>
              <w:rPr>
                <w:rFonts w:ascii="Arial" w:hAnsi="Arial"/>
                <w:color w:val="000000"/>
                <w:sz w:val="16"/>
              </w:rPr>
            </w:pPr>
            <w:r>
              <w:rPr>
                <w:rFonts w:ascii="Arial" w:hAnsi="Arial"/>
                <w:color w:val="000000"/>
                <w:sz w:val="16"/>
              </w:rPr>
              <w:t>Chairwoman of the Board of Directors</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FAFAFA" w:val="clear"/>
            <w:tcMar>
              <w:bottom w:w="193" w:type="dxa"/>
            </w:tcMar>
            <w:vAlign w:val="center"/>
          </w:tcPr>
          <w:p>
            <w:pPr>
              <w:pStyle w:val="TableContents"/>
              <w:bidi w:val="0"/>
              <w:spacing w:before="0" w:after="283"/>
              <w:jc w:val="center"/>
              <w:rPr>
                <w:color w:val="000000"/>
              </w:rPr>
            </w:pPr>
            <w:r>
              <w:rPr>
                <w:color w:val="000000"/>
              </w:rPr>
              <w:t xml:space="preserve">— </w:t>
            </w:r>
          </w:p>
        </w:tc>
        <w:tc>
          <w:tcPr>
            <w:tcW w:w="218"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EBEBEB"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James A. Johnson</w:t>
            </w:r>
            <w:r>
              <w:rPr>
                <w:rFonts w:ascii="Arial" w:hAnsi="Arial"/>
                <w:b w:val="false"/>
                <w:color w:val="000000"/>
                <w:position w:val="5"/>
                <w:sz w:val="13"/>
                <w:sz w:val="16"/>
              </w:rPr>
              <w:t>(3)(5)(6)</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III</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68</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EBEBEB" w:val="clear"/>
            <w:tcMar>
              <w:bottom w:w="1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Director</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EBEBEB" w:val="clear"/>
            <w:tcMar>
              <w:bottom w:w="193" w:type="dxa"/>
            </w:tcMar>
            <w:vAlign w:val="center"/>
          </w:tcPr>
          <w:p>
            <w:pPr>
              <w:pStyle w:val="TableContents"/>
              <w:bidi w:val="0"/>
              <w:spacing w:before="0" w:after="283"/>
              <w:jc w:val="center"/>
              <w:rPr>
                <w:color w:val="000000"/>
              </w:rPr>
            </w:pPr>
            <w:r>
              <w:rPr>
                <w:color w:val="000000"/>
              </w:rPr>
              <w:t xml:space="preserve">— </w:t>
            </w:r>
          </w:p>
        </w:tc>
        <w:tc>
          <w:tcPr>
            <w:tcW w:w="218"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FAFAFA"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Barbara Kosacz</w:t>
            </w:r>
            <w:r>
              <w:rPr>
                <w:rFonts w:ascii="Arial" w:hAnsi="Arial"/>
                <w:b w:val="false"/>
                <w:color w:val="000000"/>
                <w:position w:val="5"/>
                <w:sz w:val="13"/>
                <w:sz w:val="16"/>
              </w:rPr>
              <w:t>(1)(7)</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67</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FAFAFA" w:val="clear"/>
            <w:tcMar>
              <w:bottom w:w="1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Director</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FAFAFA"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FAFAFA" w:val="clear"/>
            <w:tcMar>
              <w:bottom w:w="193" w:type="dxa"/>
            </w:tcMar>
            <w:vAlign w:val="center"/>
          </w:tcPr>
          <w:p>
            <w:pPr>
              <w:pStyle w:val="TableContents"/>
              <w:bidi w:val="0"/>
              <w:spacing w:before="0" w:after="283"/>
              <w:jc w:val="center"/>
              <w:rPr>
                <w:color w:val="000000"/>
              </w:rPr>
            </w:pPr>
            <w:r>
              <w:rPr>
                <w:color w:val="000000"/>
              </w:rPr>
              <w:t xml:space="preserve">— </w:t>
            </w:r>
          </w:p>
        </w:tc>
        <w:tc>
          <w:tcPr>
            <w:tcW w:w="218" w:type="dxa"/>
            <w:tcBorders>
              <w:bottom w:val="single" w:sz="16"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972" w:type="dxa"/>
            <w:tcBorders>
              <w:bottom w:val="single" w:sz="16" w:space="0" w:color="FFFFFF"/>
            </w:tcBorders>
            <w:shd w:fill="EBEBEB" w:val="clear"/>
            <w:tcMar>
              <w:bottom w:w="193" w:type="dxa"/>
            </w:tcM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Mark Litton, Ph.D.</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54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395"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57</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2333" w:type="dxa"/>
            <w:tcBorders>
              <w:bottom w:val="single" w:sz="16" w:space="0" w:color="FFFFFF"/>
            </w:tcBorders>
            <w:shd w:fill="EBEBEB" w:val="clear"/>
            <w:tcMar>
              <w:bottom w:w="193" w:type="dxa"/>
            </w:tcMar>
            <w:vAlign w:val="center"/>
          </w:tcPr>
          <w:p>
            <w:pPr>
              <w:pStyle w:val="TableContents"/>
              <w:bidi w:val="0"/>
              <w:spacing w:before="0" w:after="283"/>
              <w:ind w:left="0" w:right="0" w:hanging="0"/>
              <w:jc w:val="both"/>
              <w:rPr>
                <w:rFonts w:ascii="Arial" w:hAnsi="Arial"/>
                <w:color w:val="000000"/>
                <w:sz w:val="16"/>
              </w:rPr>
            </w:pPr>
            <w:r>
              <w:rPr>
                <w:rFonts w:ascii="Arial" w:hAnsi="Arial"/>
                <w:color w:val="000000"/>
                <w:sz w:val="16"/>
              </w:rPr>
              <w:t>President, Chief Executive Officer and Director</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79"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734" w:type="dxa"/>
            <w:tcBorders>
              <w:bottom w:val="single" w:sz="16" w:space="0" w:color="FFFFFF"/>
            </w:tcBorders>
            <w:shd w:fill="EBEBEB" w:val="clear"/>
            <w:tcMar>
              <w:bottom w:w="1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c>
          <w:tcPr>
            <w:tcW w:w="1004" w:type="dxa"/>
            <w:tcBorders>
              <w:bottom w:val="single" w:sz="16" w:space="0" w:color="FFFFFF"/>
            </w:tcBorders>
            <w:shd w:fill="EBEBEB" w:val="clear"/>
            <w:tcMar>
              <w:bottom w:w="193" w:type="dxa"/>
            </w:tcMar>
            <w:vAlign w:val="center"/>
          </w:tcPr>
          <w:p>
            <w:pPr>
              <w:pStyle w:val="TableContents"/>
              <w:bidi w:val="0"/>
              <w:spacing w:before="0" w:after="283"/>
              <w:jc w:val="center"/>
              <w:rPr>
                <w:color w:val="000000"/>
              </w:rPr>
            </w:pPr>
            <w:r>
              <w:rPr>
                <w:color w:val="000000"/>
              </w:rPr>
              <w:t xml:space="preserve">— </w:t>
            </w:r>
          </w:p>
        </w:tc>
        <w:tc>
          <w:tcPr>
            <w:tcW w:w="218" w:type="dxa"/>
            <w:tcBorders>
              <w:bottom w:val="single" w:sz="16"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1972" w:type="dxa"/>
            <w:tcBorders/>
            <w:shd w:fill="FAFAFA" w:val="clear"/>
            <w:vAlign w:val="center"/>
          </w:tcPr>
          <w:p>
            <w:pPr>
              <w:pStyle w:val="TableContents"/>
              <w:bidi w:val="0"/>
              <w:spacing w:before="0" w:after="283"/>
              <w:ind w:left="90" w:right="0" w:hanging="0"/>
              <w:jc w:val="left"/>
              <w:rPr>
                <w:rFonts w:ascii="Arial" w:hAnsi="Arial"/>
                <w:b/>
                <w:color w:val="000000"/>
                <w:sz w:val="16"/>
              </w:rPr>
            </w:pPr>
            <w:r>
              <w:rPr>
                <w:rFonts w:ascii="Arial" w:hAnsi="Arial"/>
                <w:b/>
                <w:color w:val="000000"/>
                <w:sz w:val="16"/>
              </w:rPr>
              <w:t>Michael Panzara, M.D., M.P.H.</w:t>
            </w:r>
            <w:r>
              <w:rPr>
                <w:rFonts w:ascii="Arial" w:hAnsi="Arial"/>
                <w:b w:val="false"/>
                <w:color w:val="000000"/>
                <w:position w:val="5"/>
                <w:sz w:val="13"/>
                <w:sz w:val="16"/>
              </w:rPr>
              <w:t>(1)(8)</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545" w:type="dxa"/>
            <w:tcBorders/>
            <w:shd w:fill="FAFAFA" w:val="clear"/>
            <w:vAlign w:val="center"/>
          </w:tcPr>
          <w:p>
            <w:pPr>
              <w:pStyle w:val="TableContents"/>
              <w:bidi w:val="0"/>
              <w:spacing w:before="0" w:after="283"/>
              <w:jc w:val="center"/>
              <w:rPr>
                <w:rFonts w:ascii="Arial" w:hAnsi="Arial"/>
                <w:color w:val="000000"/>
                <w:sz w:val="16"/>
              </w:rPr>
            </w:pPr>
            <w:r>
              <w:rPr>
                <w:rFonts w:ascii="Arial" w:hAnsi="Arial"/>
                <w:color w:val="000000"/>
                <w:sz w:val="16"/>
              </w:rPr>
              <w:t>I</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395" w:type="dxa"/>
            <w:tcBorders/>
            <w:shd w:fill="FAFAFA" w:val="clear"/>
            <w:vAlign w:val="center"/>
          </w:tcPr>
          <w:p>
            <w:pPr>
              <w:pStyle w:val="TableContents"/>
              <w:bidi w:val="0"/>
              <w:spacing w:before="0" w:after="283"/>
              <w:jc w:val="center"/>
              <w:rPr>
                <w:rFonts w:ascii="Arial" w:hAnsi="Arial"/>
                <w:color w:val="000000"/>
                <w:sz w:val="16"/>
              </w:rPr>
            </w:pPr>
            <w:r>
              <w:rPr>
                <w:rFonts w:ascii="Arial" w:hAnsi="Arial"/>
                <w:color w:val="000000"/>
                <w:sz w:val="16"/>
              </w:rPr>
              <w:t>58</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2333" w:type="dxa"/>
            <w:tcBorders/>
            <w:shd w:fill="FAFAFA" w:val="cle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Director</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779" w:type="dxa"/>
            <w:tcBorders/>
            <w:shd w:fill="FAFAFA" w:val="cle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734" w:type="dxa"/>
            <w:tcBorders/>
            <w:shd w:fill="FAFAFA" w:val="cle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004" w:type="dxa"/>
            <w:tcBorders/>
            <w:shd w:fill="FAFAFA" w:val="clear"/>
            <w:vAlign w:val="center"/>
          </w:tcPr>
          <w:p>
            <w:pPr>
              <w:pStyle w:val="TableContents"/>
              <w:bidi w:val="0"/>
              <w:spacing w:before="0" w:after="283"/>
              <w:jc w:val="center"/>
              <w:rPr>
                <w:color w:val="000000"/>
              </w:rPr>
            </w:pPr>
            <w:r>
              <w:rPr>
                <w:color w:val="000000"/>
              </w:rPr>
              <w:t>—</w:t>
            </w:r>
          </w:p>
        </w:tc>
        <w:tc>
          <w:tcPr>
            <w:tcW w:w="218" w:type="dxa"/>
            <w:tcBorders/>
            <w:shd w:fill="FAFAFA" w:val="cle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1972"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54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39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2333"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779"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734"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004" w:type="dxa"/>
            <w:tcBorders/>
            <w:shd w:fill="FAFAFA" w:val="clear"/>
            <w:vAlign w:val="center"/>
          </w:tcPr>
          <w:p>
            <w:pPr>
              <w:pStyle w:val="TableContents"/>
              <w:bidi w:val="0"/>
              <w:spacing w:before="0" w:after="0"/>
              <w:jc w:val="left"/>
              <w:rPr/>
            </w:pPr>
            <w:r>
              <w:rPr/>
              <w:t> </w:t>
            </w:r>
          </w:p>
        </w:tc>
        <w:tc>
          <w:tcPr>
            <w:tcW w:w="218" w:type="dxa"/>
            <w:tcBorders/>
            <w:shd w:fill="FAFAFA" w:val="clear"/>
            <w:vAlign w:val="center"/>
          </w:tcPr>
          <w:p>
            <w:pPr>
              <w:pStyle w:val="TableContents"/>
              <w:bidi w:val="0"/>
              <w:spacing w:before="0" w:after="0"/>
              <w:jc w:val="left"/>
              <w:rPr/>
            </w:pPr>
            <w:r>
              <w:rPr/>
              <w:t> </w:t>
            </w:r>
          </w:p>
        </w:tc>
      </w:tr>
    </w:tbl>
    <w:tbl>
      <w:tblPr>
        <w:tblW w:w="5095" w:type="dxa"/>
        <w:jc w:val="left"/>
        <w:tblInd w:w="0" w:type="dxa"/>
        <w:tblLayout w:type="fixed"/>
        <w:tblCellMar>
          <w:top w:w="0" w:type="dxa"/>
          <w:left w:w="0" w:type="dxa"/>
          <w:bottom w:w="0" w:type="dxa"/>
          <w:right w:w="0" w:type="dxa"/>
        </w:tblCellMar>
      </w:tblPr>
      <w:tblGrid>
        <w:gridCol w:w="260"/>
        <w:gridCol w:w="4835"/>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483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Member of our nominating and corporate governance committee. </w:t>
            </w:r>
          </w:p>
        </w:tc>
      </w:tr>
    </w:tbl>
    <w:tbl>
      <w:tblPr>
        <w:tblW w:w="2680" w:type="dxa"/>
        <w:jc w:val="left"/>
        <w:tblInd w:w="0" w:type="dxa"/>
        <w:tblLayout w:type="fixed"/>
        <w:tblCellMar>
          <w:top w:w="0" w:type="dxa"/>
          <w:left w:w="0" w:type="dxa"/>
          <w:bottom w:w="0" w:type="dxa"/>
          <w:right w:w="0" w:type="dxa"/>
        </w:tblCellMar>
      </w:tblPr>
      <w:tblGrid>
        <w:gridCol w:w="260"/>
        <w:gridCol w:w="2420"/>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242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Member of our audit committee. </w:t>
            </w:r>
          </w:p>
        </w:tc>
      </w:tr>
    </w:tbl>
    <w:tbl>
      <w:tblPr>
        <w:tblW w:w="3355" w:type="dxa"/>
        <w:jc w:val="left"/>
        <w:tblInd w:w="0" w:type="dxa"/>
        <w:tblLayout w:type="fixed"/>
        <w:tblCellMar>
          <w:top w:w="0" w:type="dxa"/>
          <w:left w:w="0" w:type="dxa"/>
          <w:bottom w:w="0" w:type="dxa"/>
          <w:right w:w="0" w:type="dxa"/>
        </w:tblCellMar>
      </w:tblPr>
      <w:tblGrid>
        <w:gridCol w:w="260"/>
        <w:gridCol w:w="3095"/>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309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Member of our compensation committee. </w:t>
            </w:r>
          </w:p>
        </w:tc>
      </w:tr>
    </w:tbl>
    <w:tbl>
      <w:tblPr>
        <w:tblW w:w="5410" w:type="dxa"/>
        <w:jc w:val="left"/>
        <w:tblInd w:w="0" w:type="dxa"/>
        <w:tblLayout w:type="fixed"/>
        <w:tblCellMar>
          <w:top w:w="0" w:type="dxa"/>
          <w:left w:w="0" w:type="dxa"/>
          <w:bottom w:w="0" w:type="dxa"/>
          <w:right w:w="0" w:type="dxa"/>
        </w:tblCellMar>
      </w:tblPr>
      <w:tblGrid>
        <w:gridCol w:w="260"/>
        <w:gridCol w:w="5150"/>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(4)</w:t>
            </w:r>
          </w:p>
        </w:tc>
        <w:tc>
          <w:tcPr>
            <w:tcW w:w="51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Chairwoman of our nominating and corporate governance committee. </w:t>
            </w:r>
          </w:p>
        </w:tc>
      </w:tr>
    </w:tbl>
    <w:tbl>
      <w:tblPr>
        <w:tblW w:w="3995" w:type="dxa"/>
        <w:jc w:val="left"/>
        <w:tblInd w:w="0" w:type="dxa"/>
        <w:tblLayout w:type="fixed"/>
        <w:tblCellMar>
          <w:top w:w="0" w:type="dxa"/>
          <w:left w:w="0" w:type="dxa"/>
          <w:bottom w:w="0" w:type="dxa"/>
          <w:right w:w="0" w:type="dxa"/>
        </w:tblCellMar>
      </w:tblPr>
      <w:tblGrid>
        <w:gridCol w:w="1460"/>
        <w:gridCol w:w="170"/>
        <w:gridCol w:w="170"/>
        <w:gridCol w:w="14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25" w:name="ny20044300x2_def14a_106-board_pg2"/>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tbl>
      <w:tblPr>
        <w:tblW w:w="2785" w:type="dxa"/>
        <w:jc w:val="left"/>
        <w:tblInd w:w="0" w:type="dxa"/>
        <w:tblLayout w:type="fixed"/>
        <w:tblCellMar>
          <w:top w:w="0" w:type="dxa"/>
          <w:left w:w="0" w:type="dxa"/>
          <w:bottom w:w="0" w:type="dxa"/>
          <w:right w:w="0" w:type="dxa"/>
        </w:tblCellMar>
      </w:tblPr>
      <w:tblGrid>
        <w:gridCol w:w="260"/>
        <w:gridCol w:w="2525"/>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(5)</w:t>
            </w:r>
          </w:p>
        </w:tc>
        <w:tc>
          <w:tcPr>
            <w:tcW w:w="252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Chairman of our audit committee. </w:t>
            </w:r>
          </w:p>
        </w:tc>
      </w:tr>
    </w:tbl>
    <w:tbl>
      <w:tblPr>
        <w:tblW w:w="3115" w:type="dxa"/>
        <w:jc w:val="left"/>
        <w:tblInd w:w="0" w:type="dxa"/>
        <w:tblLayout w:type="fixed"/>
        <w:tblCellMar>
          <w:top w:w="0" w:type="dxa"/>
          <w:left w:w="0" w:type="dxa"/>
          <w:bottom w:w="0" w:type="dxa"/>
          <w:right w:w="0" w:type="dxa"/>
        </w:tblCellMar>
      </w:tblPr>
      <w:tblGrid>
        <w:gridCol w:w="260"/>
        <w:gridCol w:w="2855"/>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(6)</w:t>
            </w:r>
          </w:p>
        </w:tc>
        <w:tc>
          <w:tcPr>
            <w:tcW w:w="285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Member of our compliance committee.</w:t>
            </w:r>
          </w:p>
        </w:tc>
      </w:tr>
    </w:tbl>
    <w:tbl>
      <w:tblPr>
        <w:tblW w:w="3625" w:type="dxa"/>
        <w:jc w:val="left"/>
        <w:tblInd w:w="0" w:type="dxa"/>
        <w:tblLayout w:type="fixed"/>
        <w:tblCellMar>
          <w:top w:w="0" w:type="dxa"/>
          <w:left w:w="0" w:type="dxa"/>
          <w:bottom w:w="0" w:type="dxa"/>
          <w:right w:w="0" w:type="dxa"/>
        </w:tblCellMar>
      </w:tblPr>
      <w:tblGrid>
        <w:gridCol w:w="260"/>
        <w:gridCol w:w="3365"/>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(7)</w:t>
            </w:r>
          </w:p>
        </w:tc>
        <w:tc>
          <w:tcPr>
            <w:tcW w:w="336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Chairwoman of our compensation committee.</w:t>
            </w:r>
          </w:p>
        </w:tc>
      </w:tr>
    </w:tbl>
    <w:tbl>
      <w:tblPr>
        <w:tblW w:w="3265" w:type="dxa"/>
        <w:jc w:val="left"/>
        <w:tblInd w:w="0" w:type="dxa"/>
        <w:tblLayout w:type="fixed"/>
        <w:tblCellMar>
          <w:top w:w="0" w:type="dxa"/>
          <w:left w:w="0" w:type="dxa"/>
          <w:bottom w:w="0" w:type="dxa"/>
          <w:right w:w="0" w:type="dxa"/>
        </w:tblCellMar>
      </w:tblPr>
      <w:tblGrid>
        <w:gridCol w:w="260"/>
        <w:gridCol w:w="3005"/>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(8)</w:t>
            </w:r>
          </w:p>
        </w:tc>
        <w:tc>
          <w:tcPr>
            <w:tcW w:w="300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Chairman of our compliance committee. </w:t>
            </w:r>
          </w:p>
        </w:tc>
      </w:tr>
    </w:tbl>
    <w:tbl>
      <w:tblPr>
        <w:tblW w:w="10205" w:type="dxa"/>
        <w:jc w:val="left"/>
        <w:tblInd w:w="0" w:type="dxa"/>
        <w:tblLayout w:type="fixed"/>
        <w:tblCellMar>
          <w:top w:w="0" w:type="dxa"/>
          <w:left w:w="0" w:type="dxa"/>
          <w:bottom w:w="0" w:type="dxa"/>
          <w:right w:w="28" w:type="dxa"/>
        </w:tblCellMar>
      </w:tblPr>
      <w:tblGrid>
        <w:gridCol w:w="585"/>
        <w:gridCol w:w="9405"/>
        <w:gridCol w:w="215"/>
      </w:tblGrid>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9405" w:type="dxa"/>
            <w:tcBorders/>
            <w:shd w:fill="EBEBEB" w:val="clear"/>
            <w:tcMar>
              <w:right w:w="0" w:type="dxa"/>
            </w:tcMar>
            <w:vAlign w:val="center"/>
          </w:tcPr>
          <w:p>
            <w:pPr>
              <w:pStyle w:val="TableContents"/>
              <w:bidi w:val="0"/>
              <w:spacing w:before="0" w:after="0"/>
              <w:jc w:val="left"/>
              <w:rPr/>
            </w:pPr>
            <w:r>
              <w:rPr/>
              <w:t> </w:t>
            </w:r>
          </w:p>
        </w:tc>
        <w:tc>
          <w:tcPr>
            <w:tcW w:w="215"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restart"/>
            <w:tcBorders>
              <w:right w:val="single" w:sz="16" w:space="0" w:color="FFFFFF"/>
            </w:tcBorders>
            <w:shd w:fill="255993" w:val="clear"/>
            <w:vAlign w:val="center"/>
          </w:tcPr>
          <w:p>
            <w:pPr>
              <w:pStyle w:val="TableContents"/>
              <w:bidi w:val="0"/>
              <w:spacing w:before="0" w:after="283"/>
              <w:jc w:val="center"/>
              <w:rPr>
                <w:color w:val="000000"/>
              </w:rPr>
            </w:pPr>
            <w:r>
              <w:rPr>
                <w:color w:val="000000"/>
              </w:rPr>
              <w:drawing>
                <wp:inline distT="0" distB="0" distL="0" distR="0">
                  <wp:extent cx="342900" cy="333375"/>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8"/>
                          <a:stretch>
                            <a:fillRect/>
                          </a:stretch>
                        </pic:blipFill>
                        <pic:spPr bwMode="auto">
                          <a:xfrm>
                            <a:off x="0" y="0"/>
                            <a:ext cx="3429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9405" w:type="dxa"/>
            <w:tcBorders/>
            <w:shd w:fill="EBEBEB" w:val="clear"/>
            <w:tcMar>
              <w:right w:w="0" w:type="dxa"/>
            </w:tcMar>
            <w:vAlign w:val="center"/>
          </w:tcPr>
          <w:p>
            <w:pPr>
              <w:pStyle w:val="TableContents"/>
              <w:bidi w:val="0"/>
              <w:spacing w:before="0" w:after="283"/>
              <w:ind w:left="24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Board Recommendation </w:t>
            </w:r>
          </w:p>
        </w:tc>
        <w:tc>
          <w:tcPr>
            <w:tcW w:w="215"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continue"/>
            <w:tcBorders>
              <w:right w:val="single" w:sz="16" w:space="0" w:color="FFFFFF"/>
            </w:tcBorders>
            <w:shd w:fill="255993" w:val="clear"/>
            <w:vAlign w:val="center"/>
          </w:tcPr>
          <w:p>
            <w:pPr>
              <w:pStyle w:val="Normal"/>
              <w:bidi w:val="0"/>
              <w:jc w:val="left"/>
              <w:rPr/>
            </w:pPr>
            <w:r>
              <w:rPr/>
            </w:r>
          </w:p>
        </w:tc>
        <w:tc>
          <w:tcPr>
            <w:tcW w:w="9405" w:type="dxa"/>
            <w:tcBorders/>
            <w:shd w:fill="EBEBEB" w:val="clear"/>
            <w:tcMar>
              <w:right w:w="0" w:type="dxa"/>
            </w:tcMar>
            <w:vAlign w:val="center"/>
          </w:tcPr>
          <w:p>
            <w:pPr>
              <w:pStyle w:val="TableContents"/>
              <w:bidi w:val="0"/>
              <w:spacing w:before="0" w:after="283"/>
              <w:ind w:left="240" w:right="0" w:hanging="0"/>
              <w:jc w:val="left"/>
              <w:rPr>
                <w:rFonts w:ascii="Arial" w:hAnsi="Arial"/>
                <w:color w:val="255993"/>
                <w:sz w:val="18"/>
              </w:rPr>
            </w:pPr>
            <w:r>
              <w:rPr>
                <w:rFonts w:ascii="Arial" w:hAnsi="Arial"/>
                <w:color w:val="255993"/>
                <w:sz w:val="18"/>
              </w:rPr>
              <w:t>The Board of Directors unanimously recommends voting “</w:t>
            </w:r>
            <w:r>
              <w:rPr>
                <w:rFonts w:ascii="Arial" w:hAnsi="Arial"/>
                <w:b/>
                <w:color w:val="255993"/>
                <w:sz w:val="18"/>
              </w:rPr>
              <w:t xml:space="preserve">FOR” </w:t>
            </w:r>
            <w:r>
              <w:rPr>
                <w:rFonts w:ascii="Arial" w:hAnsi="Arial"/>
                <w:color w:val="255993"/>
                <w:sz w:val="18"/>
              </w:rPr>
              <w:t>the election of each of the Board of Directors’ nominees on Proposal No. 1 (which nominees are Joseph Edelman, John M. Fluke, Jr., and Grant Pickering).</w:t>
            </w:r>
          </w:p>
        </w:tc>
        <w:tc>
          <w:tcPr>
            <w:tcW w:w="215" w:type="dxa"/>
            <w:tcBorders/>
            <w:shd w:fill="EBEBEB" w:val="clear"/>
            <w:tcMar>
              <w:right w:w="0" w:type="dxa"/>
            </w:tcMar>
            <w:vAlign w:val="center"/>
          </w:tcPr>
          <w:p>
            <w:pPr>
              <w:pStyle w:val="TableContents"/>
              <w:bidi w:val="0"/>
              <w:spacing w:before="0" w:after="0"/>
              <w:jc w:val="left"/>
              <w:rPr/>
            </w:pPr>
            <w:r>
              <w:rPr/>
              <w:t> </w:t>
            </w:r>
          </w:p>
        </w:tc>
      </w:tr>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9405" w:type="dxa"/>
            <w:tcBorders/>
            <w:shd w:fill="EBEBEB" w:val="clear"/>
            <w:tcMar>
              <w:right w:w="0" w:type="dxa"/>
            </w:tcMar>
            <w:vAlign w:val="center"/>
          </w:tcPr>
          <w:p>
            <w:pPr>
              <w:pStyle w:val="TableContents"/>
              <w:bidi w:val="0"/>
              <w:spacing w:before="0" w:after="0"/>
              <w:jc w:val="left"/>
              <w:rPr/>
            </w:pPr>
            <w:r>
              <w:rPr/>
              <w:t> </w:t>
            </w:r>
          </w:p>
        </w:tc>
        <w:tc>
          <w:tcPr>
            <w:tcW w:w="215" w:type="dxa"/>
            <w:tcBorders/>
            <w:shd w:fill="EBEBEB" w:val="clear"/>
            <w:tcMar>
              <w:right w:w="0" w:type="dxa"/>
            </w:tcMar>
            <w:vAlign w:val="center"/>
          </w:tcPr>
          <w:p>
            <w:pPr>
              <w:pStyle w:val="TableContents"/>
              <w:bidi w:val="0"/>
              <w:spacing w:before="0" w:after="0"/>
              <w:jc w:val="left"/>
              <w:rPr/>
            </w:pPr>
            <w:r>
              <w:rPr/>
              <w:t> </w:t>
            </w:r>
          </w:p>
        </w:tc>
      </w:tr>
    </w:tbl>
    <w:p>
      <w:pPr>
        <w:pStyle w:val="TextBody"/>
        <w:bidi w:val="0"/>
        <w:spacing w:before="470" w:after="283"/>
        <w:ind w:left="0" w:right="0" w:hanging="0"/>
        <w:jc w:val="left"/>
        <w:rPr>
          <w:rFonts w:ascii="Arial" w:hAnsi="Arial"/>
          <w:b/>
          <w:color w:val="F8991D"/>
          <w:sz w:val="20"/>
        </w:rPr>
      </w:pPr>
      <w:bookmarkStart w:id="26" w:name="tNOFD"/>
      <w:bookmarkEnd w:id="26"/>
      <w:r>
        <w:rPr>
          <w:rFonts w:ascii="Arial" w:hAnsi="Arial"/>
          <w:b/>
          <w:color w:val="F8991D"/>
          <w:sz w:val="20"/>
        </w:rPr>
        <w:t>NOMINEES FOR DIRECTOR</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81075"/>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9"/>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Joseph Edelman</w:t>
            </w:r>
            <w:r>
              <w:rPr>
                <w:rFonts w:ascii="Times;Georgia" w:hAnsi="Times;Georgia"/>
                <w:color w:val="000000"/>
              </w:rPr>
              <w:t xml:space="preserve"> </w:t>
            </w:r>
          </w:p>
          <w:p>
            <w:pPr>
              <w:pStyle w:val="TableContents"/>
              <w:bidi w:val="0"/>
              <w:spacing w:before="20" w:after="283"/>
              <w:ind w:left="0" w:right="0" w:hanging="0"/>
              <w:jc w:val="left"/>
              <w:rPr>
                <w:rFonts w:ascii="Arial" w:hAnsi="Arial"/>
                <w:b/>
                <w:color w:val="000000"/>
                <w:sz w:val="16"/>
              </w:rPr>
            </w:pPr>
            <w:r>
              <w:rPr>
                <w:rFonts w:ascii="Arial" w:hAnsi="Arial"/>
                <w:b/>
                <w:color w:val="000000"/>
                <w:sz w:val="16"/>
              </w:rPr>
              <w:t>AGE: 69 DIRECTOR SINCE: MAY 2020</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Joseph Edelman has served on our board of directors since May 2020. Mr. Edelman is the founder and chief executive officer of Perceptive Advisors, a hedge fund that specializes in investing in biotechnology stocks, and serves on the board of directors of Perceptive Capital Solutions Corp. He founded Perceptive Advisors in 1999, aiming to support progress in the life sciences industry by identifying opportunities and directing financial resources toward the most promising technologies in modern healthcare. Mr. Edelman earned an M.B.A. from the Leonard N. Stern School of Business at New York University in 1986 and a B.A., magna cum laude, in psychology from the University of California San Diego in 1978. </w:t>
            </w:r>
            <w:r>
              <w:rPr>
                <w:rFonts w:ascii="Arial" w:hAnsi="Arial"/>
                <w:b/>
                <w:color w:val="255993"/>
                <w:sz w:val="18"/>
              </w:rPr>
              <w:t>We believe that Mr. Edelman’s experience as a board member and investor in many successful biotechnology companies qualifies him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81075"/>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30"/>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John M. Fluke, Jr.</w:t>
            </w:r>
            <w:r>
              <w:rPr>
                <w:rFonts w:ascii="Times;Georgia" w:hAnsi="Times;Georgia"/>
                <w:color w:val="000000"/>
              </w:rPr>
              <w:t xml:space="preserve"> </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82 DIRECTOR SINCE: DECEMBER 2014</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John M. Fluke, Jr. has served on our board of directors since December 2014. Mr. Fluke is chairman of Fluke Capital Management, 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t>
            </w:r>
            <w:r>
              <w:rPr>
                <w:rFonts w:ascii="Arial" w:hAnsi="Arial"/>
                <w:b/>
                <w:color w:val="255993"/>
                <w:sz w:val="18"/>
              </w:rPr>
              <w:t>We believe that Mr. Fluke’s extensive leadership experience and background as an investor in many successful companies qualifies him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27" w:name="ny20044300x2_def14a_106-board_pg3"/>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Board of Directors and Corporate Governance</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81075"/>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31"/>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Grant Pickering</w:t>
            </w:r>
            <w:r>
              <w:rPr>
                <w:rFonts w:ascii="Times;Georgia" w:hAnsi="Times;Georgia"/>
                <w:color w:val="000000"/>
              </w:rPr>
              <w:t xml:space="preserve"> </w:t>
            </w:r>
          </w:p>
          <w:p>
            <w:pPr>
              <w:pStyle w:val="TableContents"/>
              <w:bidi w:val="0"/>
              <w:spacing w:before="20" w:after="283"/>
              <w:ind w:left="0" w:right="0" w:hanging="0"/>
              <w:jc w:val="left"/>
              <w:rPr>
                <w:rFonts w:ascii="Arial" w:hAnsi="Arial"/>
                <w:b/>
                <w:color w:val="000000"/>
                <w:sz w:val="16"/>
              </w:rPr>
            </w:pPr>
            <w:r>
              <w:rPr>
                <w:rFonts w:ascii="Arial" w:hAnsi="Arial"/>
                <w:b/>
                <w:color w:val="000000"/>
                <w:sz w:val="16"/>
              </w:rPr>
              <w:t>AGE: 57 DIRECTOR SINCE: JANUARY 2022</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Grant Pickering has served on our board of directors since January 2022. Mr. Pickering co-founded and serves as chief executive officer and as a member of the board of directors at Vaxcyte, Inc., a publicly traded biotechnology company, since November 2013. Mr. Pickering also served as strategic advisor at Atreca, Inc., a publicly traded biotechnology company, from May 2013 to April 2015. Prior to joining Vaxcyte, Mr. Pickering was chief executive officer of Mymetics Corporation, a publicly traded biotechnology company. Prior to that, Mr. Pickering served as executive-in-residence at Kleiner Perkins, a venture capital firm, while serving as the chief executive officer and as a member of the board of directors at Juvaris BioTherapeutics, Inc., a biopharmaceutical company. Prior to that he served as senior vice president of operations of Dendreon Corporation, a publicly traded biotechnology company. Mr. Pickering earned an M.B.A. from Georgetown University in 1997 with high honors and a B.S. in marketing from Penn State University in 1989. </w:t>
            </w:r>
            <w:r>
              <w:rPr>
                <w:rFonts w:ascii="Arial" w:hAnsi="Arial"/>
                <w:b/>
                <w:color w:val="255993"/>
                <w:sz w:val="18"/>
              </w:rPr>
              <w:t>We believe that Mr. Pickering’s experience in the healthcare, biopharmaceutical, and biotechnology industries qualifies him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p>
      <w:pPr>
        <w:pStyle w:val="TextBody"/>
        <w:bidi w:val="0"/>
        <w:spacing w:before="380" w:after="283"/>
        <w:ind w:left="0" w:right="0" w:hanging="0"/>
        <w:jc w:val="left"/>
        <w:rPr>
          <w:rFonts w:ascii="Arial" w:hAnsi="Arial"/>
          <w:b/>
          <w:color w:val="F8991D"/>
          <w:sz w:val="20"/>
        </w:rPr>
      </w:pPr>
      <w:bookmarkStart w:id="28" w:name="tCODI"/>
      <w:bookmarkEnd w:id="28"/>
      <w:r>
        <w:rPr>
          <w:rFonts w:ascii="Arial" w:hAnsi="Arial"/>
          <w:b/>
          <w:color w:val="F8991D"/>
          <w:sz w:val="20"/>
        </w:rPr>
        <w:t xml:space="preserve">CONTINUING DIRECTORS </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81075"/>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32"/>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Kelly A. Romano</w:t>
            </w:r>
          </w:p>
          <w:p>
            <w:pPr>
              <w:pStyle w:val="TableContents"/>
              <w:bidi w:val="0"/>
              <w:spacing w:before="20" w:after="283"/>
              <w:ind w:left="0" w:right="0" w:hanging="0"/>
              <w:jc w:val="left"/>
              <w:rPr>
                <w:rFonts w:ascii="Arial" w:hAnsi="Arial"/>
                <w:b/>
                <w:color w:val="000000"/>
                <w:sz w:val="16"/>
              </w:rPr>
            </w:pPr>
            <w:r>
              <w:rPr>
                <w:rFonts w:ascii="Arial" w:hAnsi="Arial"/>
                <w:b/>
                <w:color w:val="000000"/>
                <w:sz w:val="16"/>
              </w:rPr>
              <w:t>AGE: 63 DIRECTOR SINCE: DECEMBER 2020</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Kelly A. Romano has served as chairwoman of our board of directors since August 2021 and as a member of our board of directors since December 2020. Ms. Romano brings over 30 years of executive operating experience with technology companies, with a background in commercial buildings and aerospace. Ms. Romano is the chief executive officer of BlueRipple Capital, LLC, a consultancy firm she founded in May 2018. Ms. Romano previously served as an operating partner at AE Industrial Partners, a private equity firm focused on aerospace and industrial investments, from August 2020 to July 2023. Ms. Romano has also served on the Executive Advisory Board at Gryphon Investors, a middle-market private equity firm, since December 2016. Previously, she spent 32 years working at United Technologies Corp. (UTC) and held a number of senior executive global positions, including president of Intelligent Building Technologies in UTC Building &amp; Industrial Systems and president of Building Systems &amp; Services at Carrier Corporation. Ms. Romano is also a member of several boards of directors, including UGI Corporation, Dorman Products, Inc., and Potter Global Technologies. Ms. Romano earned a B.S. in business administration from the State University of New York at Buffalo, an M.B.A. from Syracuse University, and is a graduate of the Northwestern University Kellogg School of Management’s Corporate Board Governance Executive Program, as well as senior executive programs at Darden School of Management, University of Virginia. </w:t>
            </w:r>
            <w:r>
              <w:rPr>
                <w:rFonts w:ascii="Arial" w:hAnsi="Arial"/>
                <w:b/>
                <w:color w:val="255993"/>
                <w:sz w:val="18"/>
              </w:rPr>
              <w:t>We believe that Ms. Romano’s executive operating experience and aptitude for understanding growing companies qualifies her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29" w:name="ny20044300x2_def14a_106-board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81075"/>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33"/>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James A. Johnson</w:t>
            </w:r>
            <w:r>
              <w:rPr>
                <w:rFonts w:ascii="Times;Georgia" w:hAnsi="Times;Georgia"/>
                <w:color w:val="000000"/>
              </w:rPr>
              <w:t xml:space="preserve"> </w:t>
            </w:r>
          </w:p>
          <w:p>
            <w:pPr>
              <w:pStyle w:val="TableContents"/>
              <w:bidi w:val="0"/>
              <w:spacing w:before="20" w:after="283"/>
              <w:ind w:left="0" w:right="0" w:hanging="0"/>
              <w:jc w:val="left"/>
              <w:rPr>
                <w:rFonts w:ascii="Arial" w:hAnsi="Arial"/>
                <w:b/>
                <w:color w:val="000000"/>
                <w:sz w:val="16"/>
              </w:rPr>
            </w:pPr>
            <w:r>
              <w:rPr>
                <w:rFonts w:ascii="Arial" w:hAnsi="Arial"/>
                <w:b/>
                <w:color w:val="000000"/>
                <w:sz w:val="16"/>
              </w:rPr>
              <w:t>AGE: 68 DIRECTOR SINCE: AUGUST 2020</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James A. Johnson has served on our board of directors since August 2020. Mr. Johnson previously served as the chief financial officer of Nohla Therapeutics, a cell therapy company, from January 2018 to August 2019. Prior to Nohla, Mr. Johnson served as the chief financial officer of NanoString Technologies, a provider of life science tools for translational research and molecular diagnostics, from October 2012 to December 2017.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(renamed Armata Pharmaceuticals) and as Vice President of Finance at Immunex Corporation during its evolution from product development to commercial operations. Mr. Johnson received a B.A. in business administration from the University of Washington in 1979. </w:t>
            </w:r>
            <w:r>
              <w:rPr>
                <w:rFonts w:ascii="Arial" w:hAnsi="Arial"/>
                <w:b/>
                <w:color w:val="255993"/>
                <w:sz w:val="18"/>
              </w:rPr>
              <w:t>We believe that Mr. Johnson’s depth of experience in the biopharmaceuticals industry, including as chief financial officer of a number of publicly traded biopharmaceutical companies, qualifies him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20"/>
        <w:gridCol w:w="170"/>
        <w:gridCol w:w="170"/>
        <w:gridCol w:w="8245"/>
      </w:tblGrid>
      <w:tr>
        <w:trPr/>
        <w:tc>
          <w:tcPr>
            <w:tcW w:w="1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5" w:type="dxa"/>
            <w:tcBorders/>
            <w:vAlign w:val="center"/>
          </w:tcPr>
          <w:p>
            <w:pPr>
              <w:pStyle w:val="TableContents"/>
              <w:bidi w:val="0"/>
              <w:spacing w:before="0" w:after="0"/>
              <w:jc w:val="left"/>
              <w:rPr/>
            </w:pPr>
            <w:r>
              <w:rPr/>
              <w:t> </w:t>
            </w:r>
          </w:p>
        </w:tc>
      </w:tr>
      <w:tr>
        <w:trPr/>
        <w:tc>
          <w:tcPr>
            <w:tcW w:w="162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000125" cy="1000125"/>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34"/>
                          <a:stretch>
                            <a:fillRect/>
                          </a:stretch>
                        </pic:blipFill>
                        <pic:spPr bwMode="auto">
                          <a:xfrm>
                            <a:off x="0" y="0"/>
                            <a:ext cx="1000125" cy="10001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Barbara Kosacz</w:t>
            </w:r>
            <w:r>
              <w:rPr>
                <w:rFonts w:ascii="Times;Georgia" w:hAnsi="Times;Georgia"/>
                <w:color w:val="000000"/>
              </w:rPr>
              <w:t xml:space="preserve"> </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67 DIRECTOR SINCE: MARCH 2021</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Barbara Kosacz has served on our board of directors since March 2021. Ms. Kosacz served as chief operating officer and general counsel at Kronos Bio, Inc., a clinical-stage biopharmaceutical company, from July 2020 until February 2024. Prior to joining Kronos Bio, Ms. Kosacz was a partner at Cooley LLP from November 1997 to December 2000, and again from November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the Board of Trustees of the Keck Graduate Institute, the business advisory board of Locust Walk Partners, and as a speaker at multiple life sciences-related conferences, as well as guest lecturer at the University of California, Berkeley, Stanford University, Columbia University, and the University of Pennsylvania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royalty aggregation company, and a member of the board of directors of the Scripps Research Institute. She also served as a member of the board of directors of Phoenix Biotech Acquisition Corp., a blank check company formed for the purpose of acquiring or merging with one or more businesses, from October 2021 to February 2024. Ms. Kosacz received her B.A. from Stanford University and her J.D. from the University of California, Berkeley School of Law. </w:t>
            </w:r>
            <w:r>
              <w:rPr>
                <w:rFonts w:ascii="Arial" w:hAnsi="Arial"/>
                <w:b/>
                <w:color w:val="255993"/>
                <w:sz w:val="18"/>
              </w:rPr>
              <w:t>We believe that Ms. Kosacz’s extensive experience as an advisor to life sciences companies qualifies her to serve on our board of directors.</w:t>
            </w:r>
          </w:p>
        </w:tc>
      </w:tr>
      <w:tr>
        <w:trPr/>
        <w:tc>
          <w:tcPr>
            <w:tcW w:w="1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30" w:name="ny20044300x2_def14a_106-board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Board of Directors and Corporate Governance</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81075"/>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35"/>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Mark Litton</w:t>
            </w:r>
            <w:r>
              <w:rPr>
                <w:rFonts w:ascii="Times;Georgia" w:hAnsi="Times;Georgia"/>
                <w:color w:val="000000"/>
              </w:rPr>
              <w:t xml:space="preserve"> </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57 DIRECTOR SINCE: OCTOBER 2021</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Mark Litton, Ph.D., has served as our president and chief executive officer and member of our board of directors since October 2021 and previously served as our chief operating officer since July 2019. Prior to joining us,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B.A. in biochemistry and molecular biology from the University of California Santa Cruz in 1990. </w:t>
            </w:r>
            <w:r>
              <w:rPr>
                <w:rFonts w:ascii="Arial" w:hAnsi="Arial"/>
                <w:b/>
                <w:color w:val="255993"/>
                <w:sz w:val="18"/>
              </w:rPr>
              <w:t>We believe that Dr. Litton’s experience in the biopharmaceutical industry and the perspective and experience he brings as our chief executive officer qualifies him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981075" cy="9906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36"/>
                          <a:stretch>
                            <a:fillRect/>
                          </a:stretch>
                        </pic:blipFill>
                        <pic:spPr bwMode="auto">
                          <a:xfrm>
                            <a:off x="0" y="0"/>
                            <a:ext cx="981075" cy="990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Michael Panzara</w:t>
            </w:r>
            <w:r>
              <w:rPr>
                <w:rFonts w:ascii="Times;Georgia" w:hAnsi="Times;Georgia"/>
                <w:color w:val="000000"/>
              </w:rPr>
              <w:t xml:space="preserve"> </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58 DIRECTOR SINCE: MARCH 2022</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sz w:val="18"/>
              </w:rPr>
            </w:pPr>
            <w:r>
              <w:rPr>
                <w:rFonts w:ascii="Arial" w:hAnsi="Arial"/>
                <w:color w:val="000000"/>
                <w:sz w:val="18"/>
              </w:rPr>
              <w:t xml:space="preserve">Michael Panzara, M.D., M.P.H., has served on our board of directors since March 2022. Dr. Panzara has served as chief medical officer at Neurvati Neurosciences, Inc., a Blackstone Life Sciences portfolio company, since October 2022. Previously, Dr. Panzara served as chief medical officer and head of therapeutics discovery and development at Wave Life Sciences Ltd., a publicly traded genetic medicines company, since May 2020, where he previously served as chief medical officer from November 2018 to May 2020 and as franchise lead of neurology from July 2016 to November 2018. Prior to joining Wave Life Sciences, Dr. Panzara served in various roles at Sanofi Genzyme, including most recently as head of multiple sclerosis, neurology and ophthalmology therapeutic area for global development. Dr. Panzara has held numerous other positions in the healthcare and biopharmaceutical industries, including vice president and chief medical officer in neurology at Biogen, and instructor in neurology at Harvard Medical School with clinical appointments at Brigham &amp; Women’s Hospital and Massachusetts General Hospital. Dr. Panzara earned an M.P.H from Harvard School of Public Health in 2002, an M.D. from Stanford University School of Medicine in 1994, and a B.A. in biology from the University of Pennsylvania in 1989. </w:t>
            </w:r>
            <w:r>
              <w:rPr>
                <w:rFonts w:ascii="Arial" w:hAnsi="Arial"/>
                <w:b/>
                <w:color w:val="255993"/>
                <w:sz w:val="18"/>
              </w:rPr>
              <w:t>We believe that Dr. Panzara’s extensive experience in the healthcare and biopharmaceutical industries qualifies him to serve on our board of directors.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31" w:name="ny20044300x2_def14a_106-board_pg6"/>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p>
      <w:pPr>
        <w:pStyle w:val="TextBody"/>
        <w:bidi w:val="0"/>
        <w:spacing w:before="135" w:after="283"/>
        <w:ind w:left="0" w:right="0" w:hanging="0"/>
        <w:jc w:val="left"/>
        <w:rPr>
          <w:rFonts w:ascii="Arial" w:hAnsi="Arial"/>
          <w:b/>
          <w:color w:val="F8991D"/>
          <w:sz w:val="20"/>
        </w:rPr>
      </w:pPr>
      <w:bookmarkStart w:id="32" w:name="tDIIN"/>
      <w:bookmarkEnd w:id="32"/>
      <w:r>
        <w:rPr>
          <w:rFonts w:ascii="Arial" w:hAnsi="Arial"/>
          <w:b/>
          <w:color w:val="F8991D"/>
          <w:sz w:val="20"/>
        </w:rPr>
        <w:t xml:space="preserve">DIRECTOR INDEPENDENCE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common stock is listed on the Nasdaq Global Select Market.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Mr. Johnson, Mr. Fluke and Ms. Romano, who comprise our audit committee; Ms. Kosacz, Mr. Johnson and Mr. Pickering, who comprise our compensation committee; Ms. Romano, Ms. Kosacz, Mr. Edelman and Dr. Panzara, who comprise our nominating and corporate governance committee; and Dr. Panzara and Mr. Johnson, who comprise our compliance committee, satisfy applicable independence standards established by applicable SEC rules and the rules of Nasdaq.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 </w:t>
      </w:r>
    </w:p>
    <w:p>
      <w:pPr>
        <w:pStyle w:val="TextBody"/>
        <w:bidi w:val="0"/>
        <w:spacing w:before="280" w:after="283"/>
        <w:ind w:left="0" w:right="0" w:hanging="0"/>
        <w:jc w:val="left"/>
        <w:rPr>
          <w:rFonts w:ascii="Arial" w:hAnsi="Arial"/>
          <w:b/>
          <w:color w:val="F8991D"/>
          <w:sz w:val="20"/>
        </w:rPr>
      </w:pPr>
      <w:bookmarkStart w:id="33" w:name="tBLS"/>
      <w:bookmarkEnd w:id="33"/>
      <w:r>
        <w:rPr>
          <w:rFonts w:ascii="Arial" w:hAnsi="Arial"/>
          <w:b/>
          <w:color w:val="F8991D"/>
          <w:sz w:val="20"/>
        </w:rPr>
        <w:t xml:space="preserve">BOARD LEADERSHIP STRUCTURE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Ms. Romano serves as the independent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of directors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independent chairperson sets the agenda and serves as the chairperson of meetings of our board of directors and of executive sessions of our non-executive directors, confers separately with management from time to time, and facilitates discussion among other board members as appropriate. The chairperson may also, when appropriate, act as spokesperson for the Company and perform such other responsibilities that may be designated by a majority of the board of directors from time to time. </w:t>
      </w:r>
    </w:p>
    <w:p>
      <w:pPr>
        <w:pStyle w:val="TextBody"/>
        <w:bidi w:val="0"/>
        <w:spacing w:before="280" w:after="283"/>
        <w:ind w:left="0" w:right="0" w:hanging="0"/>
        <w:jc w:val="left"/>
        <w:rPr>
          <w:rFonts w:ascii="Arial" w:hAnsi="Arial"/>
          <w:b/>
          <w:color w:val="F8991D"/>
          <w:sz w:val="20"/>
        </w:rPr>
      </w:pPr>
      <w:bookmarkStart w:id="34" w:name="tRBRO"/>
      <w:bookmarkEnd w:id="34"/>
      <w:r>
        <w:rPr>
          <w:rFonts w:ascii="Arial" w:hAnsi="Arial"/>
          <w:b/>
          <w:color w:val="F8991D"/>
          <w:sz w:val="20"/>
        </w:rPr>
        <w:t xml:space="preserve">ROLE OF BOARD IN RISK OVERSIGHT PROCESS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Management is responsible for the day-to-day management of risks that the Company faces, in conjunction with our chief compliance officer (who is currently our general counsel) who oversees compliance with certain corporate policies,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environmental, social and governance (“ESG”) related risks, cybersecurity risks, and operational risks. Our compensation committee is responsible for overseeing the management of risks relating to our executive compensation plans and arrangements. Our audit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35" w:name="ny20044300x2_def14a_106-board_pg7"/>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Board of Directors and Corporate Governance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Our compliance committee is responsible for assisting our board of directors in the oversight of our healthcare legal and regulatory compliance and scientific research integrity. While each committee is responsible for evaluating certain risks and overseeing the management of such risks, our entire board of directors is regularly informed through discussions with committee members about such risks. Our board of directors believes its administration of its risk oversight function has not affected the board of directors’ leadership structure. </w:t>
      </w:r>
    </w:p>
    <w:p>
      <w:pPr>
        <w:pStyle w:val="TextBody"/>
        <w:bidi w:val="0"/>
        <w:spacing w:before="290" w:after="283"/>
        <w:ind w:left="0" w:right="0" w:hanging="0"/>
        <w:jc w:val="left"/>
        <w:rPr>
          <w:rFonts w:ascii="Arial" w:hAnsi="Arial"/>
          <w:b/>
          <w:color w:val="F8991D"/>
          <w:sz w:val="20"/>
        </w:rPr>
      </w:pPr>
      <w:bookmarkStart w:id="36" w:name="tABSM"/>
      <w:bookmarkEnd w:id="36"/>
      <w:r>
        <w:rPr>
          <w:rFonts w:ascii="Arial" w:hAnsi="Arial"/>
          <w:b/>
          <w:color w:val="F8991D"/>
          <w:sz w:val="20"/>
        </w:rPr>
        <w:t xml:space="preserve">ATTENDANCE AT BOARD AND STOCKHOLDER MEETINGS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During our fiscal year ended December 31, 2024, our board of directors held seven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Although we do not have a formal policy regarding attendance by members of our board of directors at our annual meetings of stockholders, we encourage, but do not require, directors to attend. Seven of the eight members of our board of directors attended our 2024 annual meeting. </w:t>
      </w:r>
    </w:p>
    <w:p>
      <w:pPr>
        <w:pStyle w:val="TextBody"/>
        <w:bidi w:val="0"/>
        <w:spacing w:before="290" w:after="283"/>
        <w:ind w:left="0" w:right="0" w:hanging="0"/>
        <w:jc w:val="left"/>
        <w:rPr>
          <w:rFonts w:ascii="Arial" w:hAnsi="Arial"/>
          <w:b/>
          <w:color w:val="F8991D"/>
          <w:sz w:val="20"/>
        </w:rPr>
      </w:pPr>
      <w:bookmarkStart w:id="37" w:name="tESND"/>
      <w:bookmarkEnd w:id="37"/>
      <w:r>
        <w:rPr>
          <w:rFonts w:ascii="Arial" w:hAnsi="Arial"/>
          <w:b/>
          <w:color w:val="F8991D"/>
          <w:sz w:val="20"/>
        </w:rPr>
        <w:t xml:space="preserve">EXECUTIVE SESSIONS OF NON-EMPLOYEE DIRECTORS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To encourage and enhance communication among non-employee directors, and as required under applicable Nasdaq rules, our corporate governance guidelines provide that our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 of directors, or the respective committee chairperson, as appropriate. </w:t>
      </w:r>
    </w:p>
    <w:p>
      <w:pPr>
        <w:pStyle w:val="TextBody"/>
        <w:bidi w:val="0"/>
        <w:spacing w:before="280" w:after="283"/>
        <w:ind w:left="0" w:right="0" w:hanging="0"/>
        <w:jc w:val="left"/>
        <w:rPr>
          <w:rFonts w:ascii="Arial" w:hAnsi="Arial"/>
          <w:b/>
          <w:color w:val="F8991D"/>
          <w:sz w:val="20"/>
        </w:rPr>
      </w:pPr>
      <w:bookmarkStart w:id="38" w:name="tBODY"/>
      <w:bookmarkEnd w:id="38"/>
      <w:r>
        <w:rPr>
          <w:rFonts w:ascii="Arial" w:hAnsi="Arial"/>
          <w:b/>
          <w:color w:val="F8991D"/>
          <w:sz w:val="20"/>
        </w:rPr>
        <w:t xml:space="preserve">BOARD DIVERSITY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board of directors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of directors to fulfill its responsibilities. </w:t>
      </w:r>
    </w:p>
    <w:p>
      <w:pPr>
        <w:pStyle w:val="TextBody"/>
        <w:bidi w:val="0"/>
        <w:spacing w:before="280" w:after="283"/>
        <w:ind w:left="0" w:right="0" w:hanging="0"/>
        <w:jc w:val="left"/>
        <w:rPr>
          <w:rFonts w:ascii="Arial" w:hAnsi="Arial"/>
          <w:b/>
          <w:color w:val="F8991D"/>
          <w:sz w:val="20"/>
        </w:rPr>
      </w:pPr>
      <w:bookmarkStart w:id="39" w:name="tBOCS"/>
      <w:bookmarkEnd w:id="39"/>
      <w:r>
        <w:rPr>
          <w:rFonts w:ascii="Arial" w:hAnsi="Arial"/>
          <w:b/>
          <w:color w:val="F8991D"/>
          <w:sz w:val="20"/>
        </w:rPr>
        <w:t xml:space="preserve">BOARD COMMITTEES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As of the date of this proxy statement, our board of directors has four separately designated standing committees: an audit committee, a compensation committee, a nominating and corporate governance committee, and a compliance committee. Our board of directors may also establish other committees from time to time.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Each committee has the composition and the responsibilities described below. </w:t>
      </w:r>
    </w:p>
    <w:p>
      <w:pPr>
        <w:pStyle w:val="TextBody"/>
        <w:bidi w:val="0"/>
        <w:spacing w:before="320" w:after="283"/>
        <w:ind w:left="0" w:right="0" w:hanging="0"/>
        <w:jc w:val="left"/>
        <w:rPr>
          <w:rFonts w:ascii="Arial" w:hAnsi="Arial"/>
          <w:b/>
          <w:color w:val="255993"/>
          <w:sz w:val="18"/>
        </w:rPr>
      </w:pPr>
      <w:r>
        <w:rPr>
          <w:rFonts w:ascii="Arial" w:hAnsi="Arial"/>
          <w:b/>
          <w:color w:val="255993"/>
          <w:sz w:val="18"/>
        </w:rPr>
        <w:t xml:space="preserve">AUDIT COMMITTEE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Nasdaq.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Nasdaq. A copy of the charter of our audit committee is available on our website at https://investors.athira.com/corporate-governance/governance-overview. Our board of directors has determined that each of Messrs. Johnson and Fluke and Ms. Romano is independent for audit committee purposes, as that term is defined in the rules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40" w:name="ny20044300x2_def14a_106-board_pg8"/>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of the SEC and the applicable Nasdaq rules, and has sufficient knowledge in financial and auditing matters to serve on the audit committee. During our fiscal year ended December 31, 2024, our audit committee held five meetings (including regularly scheduled and special meetings). </w:t>
      </w:r>
    </w:p>
    <w:p>
      <w:pPr>
        <w:pStyle w:val="TextBody"/>
        <w:bidi w:val="0"/>
        <w:spacing w:before="250" w:after="283"/>
        <w:ind w:left="0" w:right="0" w:hanging="0"/>
        <w:jc w:val="left"/>
        <w:rPr>
          <w:rFonts w:ascii="Arial" w:hAnsi="Arial"/>
          <w:color w:val="000000"/>
          <w:sz w:val="18"/>
        </w:rPr>
      </w:pPr>
      <w:r>
        <w:rPr>
          <w:rFonts w:ascii="Arial" w:hAnsi="Arial"/>
          <w:color w:val="000000"/>
          <w:sz w:val="18"/>
        </w:rPr>
        <w:t xml:space="preserve">Our audit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selects, retains, compensates, evaluates, oversees and, where appropriate, terminates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approves the scope and plans for the audits and the audit fees and approves all non-audit and tax services to be performed by the independent audit; </w:t>
            </w:r>
          </w:p>
        </w:tc>
      </w:tr>
    </w:tbl>
    <w:tbl>
      <w:tblPr>
        <w:tblW w:w="8305" w:type="dxa"/>
        <w:jc w:val="left"/>
        <w:tblInd w:w="0" w:type="dxa"/>
        <w:tblLayout w:type="fixed"/>
        <w:tblCellMar>
          <w:top w:w="0" w:type="dxa"/>
          <w:left w:w="0" w:type="dxa"/>
          <w:bottom w:w="0" w:type="dxa"/>
          <w:right w:w="0" w:type="dxa"/>
        </w:tblCellMar>
      </w:tblPr>
      <w:tblGrid>
        <w:gridCol w:w="140"/>
        <w:gridCol w:w="8165"/>
      </w:tblGrid>
      <w:tr>
        <w:trPr/>
        <w:tc>
          <w:tcPr>
            <w:tcW w:w="140" w:type="dxa"/>
            <w:tcBorders/>
            <w:vAlign w:val="center"/>
          </w:tcPr>
          <w:p>
            <w:pPr>
              <w:pStyle w:val="TableContents"/>
              <w:bidi w:val="0"/>
              <w:spacing w:before="0" w:after="0"/>
              <w:jc w:val="left"/>
              <w:rPr>
                <w:color w:val="255993"/>
              </w:rPr>
            </w:pPr>
            <w:r>
              <w:rPr>
                <w:color w:val="255993"/>
              </w:rPr>
              <w:t>•</w:t>
            </w:r>
          </w:p>
        </w:tc>
        <w:tc>
          <w:tcPr>
            <w:tcW w:w="81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evaluates the independence and qualification of the independent registered public accounting firm; </w:t>
            </w:r>
          </w:p>
        </w:tc>
      </w:tr>
    </w:tbl>
    <w:tbl>
      <w:tblPr>
        <w:tblW w:w="5200" w:type="dxa"/>
        <w:jc w:val="left"/>
        <w:tblInd w:w="0" w:type="dxa"/>
        <w:tblLayout w:type="fixed"/>
        <w:tblCellMar>
          <w:top w:w="0" w:type="dxa"/>
          <w:left w:w="0" w:type="dxa"/>
          <w:bottom w:w="0" w:type="dxa"/>
          <w:right w:w="0" w:type="dxa"/>
        </w:tblCellMar>
      </w:tblPr>
      <w:tblGrid>
        <w:gridCol w:w="140"/>
        <w:gridCol w:w="5060"/>
      </w:tblGrid>
      <w:tr>
        <w:trPr/>
        <w:tc>
          <w:tcPr>
            <w:tcW w:w="140" w:type="dxa"/>
            <w:tcBorders/>
            <w:vAlign w:val="center"/>
          </w:tcPr>
          <w:p>
            <w:pPr>
              <w:pStyle w:val="TableContents"/>
              <w:bidi w:val="0"/>
              <w:spacing w:before="0" w:after="0"/>
              <w:jc w:val="left"/>
              <w:rPr>
                <w:color w:val="255993"/>
              </w:rPr>
            </w:pPr>
            <w:r>
              <w:rPr>
                <w:color w:val="255993"/>
              </w:rPr>
              <w:t>•</w:t>
            </w:r>
          </w:p>
        </w:tc>
        <w:tc>
          <w:tcPr>
            <w:tcW w:w="506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internal controls and integrity of financial statements; </w:t>
            </w:r>
          </w:p>
        </w:tc>
      </w:tr>
    </w:tbl>
    <w:tbl>
      <w:tblPr>
        <w:tblW w:w="6925" w:type="dxa"/>
        <w:jc w:val="left"/>
        <w:tblInd w:w="0" w:type="dxa"/>
        <w:tblLayout w:type="fixed"/>
        <w:tblCellMar>
          <w:top w:w="0" w:type="dxa"/>
          <w:left w:w="0" w:type="dxa"/>
          <w:bottom w:w="0" w:type="dxa"/>
          <w:right w:w="0" w:type="dxa"/>
        </w:tblCellMar>
      </w:tblPr>
      <w:tblGrid>
        <w:gridCol w:w="140"/>
        <w:gridCol w:w="6785"/>
      </w:tblGrid>
      <w:tr>
        <w:trPr/>
        <w:tc>
          <w:tcPr>
            <w:tcW w:w="140" w:type="dxa"/>
            <w:tcBorders/>
            <w:vAlign w:val="center"/>
          </w:tcPr>
          <w:p>
            <w:pPr>
              <w:pStyle w:val="TableContents"/>
              <w:bidi w:val="0"/>
              <w:spacing w:before="0" w:after="0"/>
              <w:jc w:val="left"/>
              <w:rPr>
                <w:color w:val="255993"/>
              </w:rPr>
            </w:pPr>
            <w:r>
              <w:rPr>
                <w:color w:val="255993"/>
              </w:rPr>
              <w:t>•</w:t>
            </w:r>
          </w:p>
        </w:tc>
        <w:tc>
          <w:tcPr>
            <w:tcW w:w="678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financial information presentation, earnings press releases and guidance; </w:t>
            </w:r>
          </w:p>
        </w:tc>
      </w:tr>
    </w:tbl>
    <w:tbl>
      <w:tblPr>
        <w:tblW w:w="7585" w:type="dxa"/>
        <w:jc w:val="left"/>
        <w:tblInd w:w="0" w:type="dxa"/>
        <w:tblLayout w:type="fixed"/>
        <w:tblCellMar>
          <w:top w:w="0" w:type="dxa"/>
          <w:left w:w="0" w:type="dxa"/>
          <w:bottom w:w="0" w:type="dxa"/>
          <w:right w:w="0" w:type="dxa"/>
        </w:tblCellMar>
      </w:tblPr>
      <w:tblGrid>
        <w:gridCol w:w="140"/>
        <w:gridCol w:w="7445"/>
      </w:tblGrid>
      <w:tr>
        <w:trPr/>
        <w:tc>
          <w:tcPr>
            <w:tcW w:w="140" w:type="dxa"/>
            <w:tcBorders/>
            <w:vAlign w:val="center"/>
          </w:tcPr>
          <w:p>
            <w:pPr>
              <w:pStyle w:val="TableContents"/>
              <w:bidi w:val="0"/>
              <w:spacing w:before="0" w:after="0"/>
              <w:jc w:val="left"/>
              <w:rPr>
                <w:color w:val="255993"/>
              </w:rPr>
            </w:pPr>
            <w:r>
              <w:rPr>
                <w:color w:val="255993"/>
              </w:rPr>
              <w:t>•</w:t>
            </w:r>
          </w:p>
        </w:tc>
        <w:tc>
          <w:tcPr>
            <w:tcW w:w="744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the design, implementation and performance of our internal audit function, if 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sets hiring policies with regard to the hiring of employees and former employees of our independent auditor and oversees compliance with such policies; </w:t>
            </w:r>
          </w:p>
        </w:tc>
      </w:tr>
    </w:tbl>
    <w:tbl>
      <w:tblPr>
        <w:tblW w:w="8920" w:type="dxa"/>
        <w:jc w:val="left"/>
        <w:tblInd w:w="0" w:type="dxa"/>
        <w:tblLayout w:type="fixed"/>
        <w:tblCellMar>
          <w:top w:w="0" w:type="dxa"/>
          <w:left w:w="0" w:type="dxa"/>
          <w:bottom w:w="0" w:type="dxa"/>
          <w:right w:w="0" w:type="dxa"/>
        </w:tblCellMar>
      </w:tblPr>
      <w:tblGrid>
        <w:gridCol w:w="140"/>
        <w:gridCol w:w="8780"/>
      </w:tblGrid>
      <w:tr>
        <w:trPr/>
        <w:tc>
          <w:tcPr>
            <w:tcW w:w="140" w:type="dxa"/>
            <w:tcBorders/>
            <w:vAlign w:val="center"/>
          </w:tcPr>
          <w:p>
            <w:pPr>
              <w:pStyle w:val="TableContents"/>
              <w:bidi w:val="0"/>
              <w:spacing w:before="0" w:after="0"/>
              <w:jc w:val="left"/>
              <w:rPr>
                <w:color w:val="255993"/>
              </w:rPr>
            </w:pPr>
            <w:r>
              <w:rPr>
                <w:color w:val="255993"/>
              </w:rPr>
              <w:t>•</w:t>
            </w:r>
          </w:p>
        </w:tc>
        <w:tc>
          <w:tcPr>
            <w:tcW w:w="878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monitors compliance with our Investment Policy and approves any amendments or deviations; </w:t>
            </w:r>
          </w:p>
        </w:tc>
      </w:tr>
    </w:tbl>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255993"/>
              </w:rPr>
            </w:pPr>
            <w:r>
              <w:rPr>
                <w:color w:val="255993"/>
              </w:rPr>
              <w:t>•</w:t>
            </w:r>
          </w:p>
        </w:tc>
        <w:tc>
          <w:tcPr>
            <w:tcW w:w="48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approves and monitors related party transactions; </w:t>
            </w:r>
          </w:p>
        </w:tc>
      </w:tr>
    </w:tbl>
    <w:tbl>
      <w:tblPr>
        <w:tblW w:w="8425" w:type="dxa"/>
        <w:jc w:val="left"/>
        <w:tblInd w:w="0" w:type="dxa"/>
        <w:tblLayout w:type="fixed"/>
        <w:tblCellMar>
          <w:top w:w="0" w:type="dxa"/>
          <w:left w:w="0" w:type="dxa"/>
          <w:bottom w:w="0" w:type="dxa"/>
          <w:right w:w="0" w:type="dxa"/>
        </w:tblCellMar>
      </w:tblPr>
      <w:tblGrid>
        <w:gridCol w:w="140"/>
        <w:gridCol w:w="8285"/>
      </w:tblGrid>
      <w:tr>
        <w:trPr/>
        <w:tc>
          <w:tcPr>
            <w:tcW w:w="140" w:type="dxa"/>
            <w:tcBorders/>
            <w:vAlign w:val="center"/>
          </w:tcPr>
          <w:p>
            <w:pPr>
              <w:pStyle w:val="TableContents"/>
              <w:bidi w:val="0"/>
              <w:spacing w:before="0" w:after="0"/>
              <w:jc w:val="left"/>
              <w:rPr>
                <w:color w:val="255993"/>
              </w:rPr>
            </w:pPr>
            <w:r>
              <w:rPr>
                <w:color w:val="255993"/>
              </w:rPr>
              <w:t>•</w:t>
            </w:r>
          </w:p>
        </w:tc>
        <w:tc>
          <w:tcPr>
            <w:tcW w:w="828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develops, approves, reviews and monitors compliance with our code of business conduct and ethics;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adopts and oversees procedures to address complaints regarding accounting, internal accounting controls or auditing matters; </w:t>
            </w:r>
          </w:p>
        </w:tc>
      </w:tr>
    </w:tbl>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255993"/>
              </w:rPr>
            </w:pPr>
            <w:r>
              <w:rPr>
                <w:color w:val="255993"/>
              </w:rPr>
              <w:t>•</w:t>
            </w:r>
          </w:p>
        </w:tc>
        <w:tc>
          <w:tcPr>
            <w:tcW w:w="893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discusses with our management and the independent auditor our compliance with various laws;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discusses with management, our independent auditor and our compliance committee, guidelines and policies to identify, monitor, and address enterprise risks, including the risks and exposures associated with cybersecurity, information security and privacy matters, and risks relating to securities laws, anti-corruption compliance and conflicts of interest, and conducts, in conjunction with management and our compliance committee, compliance risk analyses; </w:t>
            </w:r>
          </w:p>
        </w:tc>
      </w:tr>
    </w:tbl>
    <w:tbl>
      <w:tblPr>
        <w:tblW w:w="5110" w:type="dxa"/>
        <w:jc w:val="left"/>
        <w:tblInd w:w="0" w:type="dxa"/>
        <w:tblLayout w:type="fixed"/>
        <w:tblCellMar>
          <w:top w:w="0" w:type="dxa"/>
          <w:left w:w="0" w:type="dxa"/>
          <w:bottom w:w="0" w:type="dxa"/>
          <w:right w:w="0" w:type="dxa"/>
        </w:tblCellMar>
      </w:tblPr>
      <w:tblGrid>
        <w:gridCol w:w="140"/>
        <w:gridCol w:w="4970"/>
      </w:tblGrid>
      <w:tr>
        <w:trPr/>
        <w:tc>
          <w:tcPr>
            <w:tcW w:w="140" w:type="dxa"/>
            <w:tcBorders/>
            <w:vAlign w:val="center"/>
          </w:tcPr>
          <w:p>
            <w:pPr>
              <w:pStyle w:val="TableContents"/>
              <w:bidi w:val="0"/>
              <w:spacing w:before="0" w:after="0"/>
              <w:jc w:val="left"/>
              <w:rPr>
                <w:color w:val="255993"/>
              </w:rPr>
            </w:pPr>
            <w:r>
              <w:rPr>
                <w:color w:val="255993"/>
              </w:rPr>
              <w:t>•</w:t>
            </w:r>
          </w:p>
        </w:tc>
        <w:tc>
          <w:tcPr>
            <w:tcW w:w="497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engages independent legal, accounting and other advisors;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determines appropriate funding for compensation to independent registered accounting firms, advisors and related expenses; and </w:t>
            </w:r>
          </w:p>
        </w:tc>
      </w:tr>
    </w:tbl>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0"/>
              <w:jc w:val="left"/>
              <w:rPr>
                <w:color w:val="255993"/>
              </w:rPr>
            </w:pPr>
            <w:r>
              <w:rPr>
                <w:color w:val="255993"/>
              </w:rPr>
              <w:t>•</w:t>
            </w:r>
          </w:p>
        </w:tc>
        <w:tc>
          <w:tcPr>
            <w:tcW w:w="977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the adequacy of the audit committee charter and recommends any proposed changes to our board of directors. </w:t>
            </w:r>
          </w:p>
        </w:tc>
      </w:tr>
    </w:tbl>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COMPENSATION COMMITTEE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members of our compensation committee are Ms. Kosacz and Messrs. Johnson and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Nasdaq. A copy of the charter of our compensation committee is available on our website at https://investors.athira.com/corporate-governance/governance-overview. During our fiscal year ended December 31, 2024, our compensation committee held four meetings (including regularly scheduled and special meetings). </w:t>
      </w:r>
    </w:p>
    <w:p>
      <w:pPr>
        <w:pStyle w:val="TextBody"/>
        <w:bidi w:val="0"/>
        <w:spacing w:before="230" w:after="283"/>
        <w:ind w:left="0" w:right="0" w:hanging="0"/>
        <w:jc w:val="left"/>
        <w:rPr>
          <w:rFonts w:ascii="Arial" w:hAnsi="Arial"/>
          <w:color w:val="000000"/>
          <w:sz w:val="18"/>
        </w:rPr>
      </w:pPr>
      <w:r>
        <w:rPr>
          <w:rFonts w:ascii="Arial" w:hAnsi="Arial"/>
          <w:color w:val="000000"/>
          <w:sz w:val="18"/>
        </w:rPr>
        <w:t xml:space="preserve">Our compensation committee: </w:t>
      </w:r>
    </w:p>
    <w:tbl>
      <w:tblPr>
        <w:tblW w:w="9865" w:type="dxa"/>
        <w:jc w:val="left"/>
        <w:tblInd w:w="0" w:type="dxa"/>
        <w:tblLayout w:type="fixed"/>
        <w:tblCellMar>
          <w:top w:w="0" w:type="dxa"/>
          <w:left w:w="0" w:type="dxa"/>
          <w:bottom w:w="0" w:type="dxa"/>
          <w:right w:w="0" w:type="dxa"/>
        </w:tblCellMar>
      </w:tblPr>
      <w:tblGrid>
        <w:gridCol w:w="140"/>
        <w:gridCol w:w="9725"/>
      </w:tblGrid>
      <w:tr>
        <w:trPr/>
        <w:tc>
          <w:tcPr>
            <w:tcW w:w="140" w:type="dxa"/>
            <w:tcBorders/>
            <w:vAlign w:val="center"/>
          </w:tcPr>
          <w:p>
            <w:pPr>
              <w:pStyle w:val="TableContents"/>
              <w:bidi w:val="0"/>
              <w:spacing w:before="0" w:after="0"/>
              <w:jc w:val="left"/>
              <w:rPr>
                <w:color w:val="255993"/>
              </w:rPr>
            </w:pPr>
            <w:r>
              <w:rPr>
                <w:color w:val="255993"/>
              </w:rPr>
              <w:t>•</w:t>
            </w:r>
          </w:p>
        </w:tc>
        <w:tc>
          <w:tcPr>
            <w:tcW w:w="972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approves the corporate goals and objectives applicable to the compensation of our chief executive officer; </w:t>
            </w:r>
          </w:p>
        </w:tc>
      </w:tr>
    </w:tbl>
    <w:tbl>
      <w:tblPr>
        <w:tblW w:w="6685" w:type="dxa"/>
        <w:jc w:val="left"/>
        <w:tblInd w:w="0" w:type="dxa"/>
        <w:tblLayout w:type="fixed"/>
        <w:tblCellMar>
          <w:top w:w="0" w:type="dxa"/>
          <w:left w:w="0" w:type="dxa"/>
          <w:bottom w:w="0" w:type="dxa"/>
          <w:right w:w="0" w:type="dxa"/>
        </w:tblCellMar>
      </w:tblPr>
      <w:tblGrid>
        <w:gridCol w:w="140"/>
        <w:gridCol w:w="6545"/>
      </w:tblGrid>
      <w:tr>
        <w:trPr/>
        <w:tc>
          <w:tcPr>
            <w:tcW w:w="140" w:type="dxa"/>
            <w:tcBorders/>
            <w:vAlign w:val="center"/>
          </w:tcPr>
          <w:p>
            <w:pPr>
              <w:pStyle w:val="TableContents"/>
              <w:bidi w:val="0"/>
              <w:spacing w:before="0" w:after="0"/>
              <w:jc w:val="left"/>
              <w:rPr>
                <w:color w:val="255993"/>
              </w:rPr>
            </w:pPr>
            <w:r>
              <w:rPr>
                <w:color w:val="255993"/>
              </w:rPr>
              <w:t>•</w:t>
            </w:r>
          </w:p>
        </w:tc>
        <w:tc>
          <w:tcPr>
            <w:tcW w:w="654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approves the compensation and benefits for our executive officers; </w:t>
            </w:r>
          </w:p>
        </w:tc>
      </w:tr>
    </w:tbl>
    <w:tbl>
      <w:tblPr>
        <w:tblW w:w="5740" w:type="dxa"/>
        <w:jc w:val="left"/>
        <w:tblInd w:w="0" w:type="dxa"/>
        <w:tblLayout w:type="fixed"/>
        <w:tblCellMar>
          <w:top w:w="0" w:type="dxa"/>
          <w:left w:w="0" w:type="dxa"/>
          <w:bottom w:w="0" w:type="dxa"/>
          <w:right w:w="0" w:type="dxa"/>
        </w:tblCellMar>
      </w:tblPr>
      <w:tblGrid>
        <w:gridCol w:w="140"/>
        <w:gridCol w:w="5600"/>
      </w:tblGrid>
      <w:tr>
        <w:trPr/>
        <w:tc>
          <w:tcPr>
            <w:tcW w:w="140" w:type="dxa"/>
            <w:tcBorders/>
            <w:vAlign w:val="center"/>
          </w:tcPr>
          <w:p>
            <w:pPr>
              <w:pStyle w:val="TableContents"/>
              <w:bidi w:val="0"/>
              <w:spacing w:before="0" w:after="0"/>
              <w:jc w:val="left"/>
              <w:rPr>
                <w:color w:val="255993"/>
              </w:rPr>
            </w:pPr>
            <w:r>
              <w:rPr>
                <w:color w:val="255993"/>
              </w:rPr>
              <w:t>•</w:t>
            </w:r>
          </w:p>
        </w:tc>
        <w:tc>
          <w:tcPr>
            <w:tcW w:w="560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approves, and administers employee compensation plans; </w:t>
            </w:r>
          </w:p>
        </w:tc>
      </w:tr>
    </w:tbl>
    <w:tbl>
      <w:tblPr>
        <w:tblW w:w="6250" w:type="dxa"/>
        <w:jc w:val="left"/>
        <w:tblInd w:w="0" w:type="dxa"/>
        <w:tblLayout w:type="fixed"/>
        <w:tblCellMar>
          <w:top w:w="0" w:type="dxa"/>
          <w:left w:w="0" w:type="dxa"/>
          <w:bottom w:w="0" w:type="dxa"/>
          <w:right w:w="0" w:type="dxa"/>
        </w:tblCellMar>
      </w:tblPr>
      <w:tblGrid>
        <w:gridCol w:w="140"/>
        <w:gridCol w:w="6110"/>
      </w:tblGrid>
      <w:tr>
        <w:trPr/>
        <w:tc>
          <w:tcPr>
            <w:tcW w:w="140" w:type="dxa"/>
            <w:tcBorders/>
            <w:vAlign w:val="center"/>
          </w:tcPr>
          <w:p>
            <w:pPr>
              <w:pStyle w:val="TableContents"/>
              <w:bidi w:val="0"/>
              <w:spacing w:before="0" w:after="0"/>
              <w:jc w:val="left"/>
              <w:rPr>
                <w:color w:val="255993"/>
              </w:rPr>
            </w:pPr>
            <w:r>
              <w:rPr>
                <w:color w:val="255993"/>
              </w:rPr>
              <w:t>•</w:t>
            </w:r>
          </w:p>
        </w:tc>
        <w:tc>
          <w:tcPr>
            <w:tcW w:w="611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advises on proposals to stockholders on executive compensation matters; </w:t>
            </w:r>
          </w:p>
        </w:tc>
      </w:tr>
    </w:tbl>
    <w:tbl>
      <w:tblPr>
        <w:tblW w:w="3940" w:type="dxa"/>
        <w:jc w:val="left"/>
        <w:tblInd w:w="0" w:type="dxa"/>
        <w:tblLayout w:type="fixed"/>
        <w:tblCellMar>
          <w:top w:w="0" w:type="dxa"/>
          <w:left w:w="0" w:type="dxa"/>
          <w:bottom w:w="0" w:type="dxa"/>
          <w:right w:w="0" w:type="dxa"/>
        </w:tblCellMar>
      </w:tblPr>
      <w:tblGrid>
        <w:gridCol w:w="140"/>
        <w:gridCol w:w="3800"/>
      </w:tblGrid>
      <w:tr>
        <w:trPr/>
        <w:tc>
          <w:tcPr>
            <w:tcW w:w="140" w:type="dxa"/>
            <w:tcBorders/>
            <w:vAlign w:val="center"/>
          </w:tcPr>
          <w:p>
            <w:pPr>
              <w:pStyle w:val="TableContents"/>
              <w:bidi w:val="0"/>
              <w:spacing w:before="0" w:after="0"/>
              <w:jc w:val="left"/>
              <w:rPr>
                <w:color w:val="255993"/>
              </w:rPr>
            </w:pPr>
            <w:r>
              <w:rPr>
                <w:color w:val="255993"/>
              </w:rPr>
              <w:t>•</w:t>
            </w:r>
          </w:p>
        </w:tc>
        <w:tc>
          <w:tcPr>
            <w:tcW w:w="380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compensation plans and programs; </w:t>
            </w:r>
          </w:p>
        </w:tc>
      </w:tr>
    </w:tbl>
    <w:tbl>
      <w:tblPr>
        <w:tblW w:w="7795" w:type="dxa"/>
        <w:jc w:val="left"/>
        <w:tblInd w:w="0" w:type="dxa"/>
        <w:tblLayout w:type="fixed"/>
        <w:tblCellMar>
          <w:top w:w="0" w:type="dxa"/>
          <w:left w:w="0" w:type="dxa"/>
          <w:bottom w:w="0" w:type="dxa"/>
          <w:right w:w="0" w:type="dxa"/>
        </w:tblCellMar>
      </w:tblPr>
      <w:tblGrid>
        <w:gridCol w:w="140"/>
        <w:gridCol w:w="7655"/>
      </w:tblGrid>
      <w:tr>
        <w:trPr/>
        <w:tc>
          <w:tcPr>
            <w:tcW w:w="140" w:type="dxa"/>
            <w:tcBorders/>
            <w:vAlign w:val="center"/>
          </w:tcPr>
          <w:p>
            <w:pPr>
              <w:pStyle w:val="TableContents"/>
              <w:bidi w:val="0"/>
              <w:spacing w:before="0" w:after="0"/>
              <w:jc w:val="left"/>
              <w:rPr>
                <w:color w:val="255993"/>
              </w:rPr>
            </w:pPr>
            <w:r>
              <w:rPr>
                <w:color w:val="255993"/>
              </w:rPr>
              <w:t>•</w:t>
            </w:r>
          </w:p>
        </w:tc>
        <w:tc>
          <w:tcPr>
            <w:tcW w:w="765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discusses our compensation policies and practices and the risks related thereto; </w:t>
            </w:r>
          </w:p>
        </w:tc>
      </w:tr>
    </w:tbl>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255993"/>
              </w:rPr>
            </w:pPr>
            <w:r>
              <w:rPr>
                <w:color w:val="255993"/>
              </w:rPr>
              <w:t>•</w:t>
            </w:r>
          </w:p>
        </w:tc>
        <w:tc>
          <w:tcPr>
            <w:tcW w:w="924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approves the creation or revision of any clawback policy allowing us to recoup compensation paid to employees;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41" w:name="ny20044300x2_def14a_106-board_pg9"/>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Board of Directors and Corporate Governance</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and recommends to the board of directors the form and amount of compensation to be paid for service on the board of directors and committees and for service as a chairperson of a committee; </w:t>
            </w:r>
          </w:p>
        </w:tc>
      </w:tr>
    </w:tbl>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255993"/>
              </w:rPr>
            </w:pPr>
            <w:r>
              <w:rPr>
                <w:color w:val="255993"/>
              </w:rPr>
              <w:t>•</w:t>
            </w:r>
          </w:p>
        </w:tc>
        <w:tc>
          <w:tcPr>
            <w:tcW w:w="584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regulatory compliance with respect to compensation matters; </w:t>
            </w:r>
          </w:p>
        </w:tc>
      </w:tr>
    </w:tbl>
    <w:tbl>
      <w:tblPr>
        <w:tblW w:w="5335" w:type="dxa"/>
        <w:jc w:val="left"/>
        <w:tblInd w:w="0" w:type="dxa"/>
        <w:tblLayout w:type="fixed"/>
        <w:tblCellMar>
          <w:top w:w="0" w:type="dxa"/>
          <w:left w:w="0" w:type="dxa"/>
          <w:bottom w:w="0" w:type="dxa"/>
          <w:right w:w="0" w:type="dxa"/>
        </w:tblCellMar>
      </w:tblPr>
      <w:tblGrid>
        <w:gridCol w:w="140"/>
        <w:gridCol w:w="5195"/>
      </w:tblGrid>
      <w:tr>
        <w:trPr/>
        <w:tc>
          <w:tcPr>
            <w:tcW w:w="140" w:type="dxa"/>
            <w:tcBorders/>
            <w:vAlign w:val="center"/>
          </w:tcPr>
          <w:p>
            <w:pPr>
              <w:pStyle w:val="TableContents"/>
              <w:bidi w:val="0"/>
              <w:spacing w:before="0" w:after="0"/>
              <w:jc w:val="left"/>
              <w:rPr>
                <w:color w:val="255993"/>
              </w:rPr>
            </w:pPr>
            <w:r>
              <w:rPr>
                <w:color w:val="255993"/>
              </w:rPr>
              <w:t>•</w:t>
            </w:r>
          </w:p>
        </w:tc>
        <w:tc>
          <w:tcPr>
            <w:tcW w:w="519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retains or obtains the advice of compensation consultants;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the adequacy of the compensation committee charter and recommends any proposed changes to our board of directors. </w:t>
            </w:r>
          </w:p>
        </w:tc>
      </w:tr>
    </w:tbl>
    <w:p>
      <w:pPr>
        <w:pStyle w:val="TextBody"/>
        <w:bidi w:val="0"/>
        <w:spacing w:before="310" w:after="283"/>
        <w:ind w:left="0" w:right="0" w:hanging="0"/>
        <w:jc w:val="left"/>
        <w:rPr>
          <w:rFonts w:ascii="Arial" w:hAnsi="Arial"/>
          <w:b/>
          <w:color w:val="255993"/>
          <w:sz w:val="18"/>
        </w:rPr>
      </w:pPr>
      <w:r>
        <w:rPr>
          <w:rFonts w:ascii="Arial" w:hAnsi="Arial"/>
          <w:b/>
          <w:color w:val="255993"/>
          <w:sz w:val="18"/>
        </w:rPr>
        <w:t xml:space="preserve">NOMINATING AND CORPORATE GOVERNANCE COMMITTEE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members of our nominating and corporate governance committee are Mses. Romano and Kosacz, Mr. Edelman and Dr. Panzara. Ms. Romano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Nasdaq. A copy of the charter of our nominating and corporate governance committee is available on our website at https://investors.athira.com/corporate-governance/governance-overview. During our fiscal year ended December 31, 2024, our nominating and corporate governance committee held two meetings (including regularly scheduled and special meetings). </w:t>
      </w:r>
    </w:p>
    <w:p>
      <w:pPr>
        <w:pStyle w:val="TextBody"/>
        <w:bidi w:val="0"/>
        <w:spacing w:before="230" w:after="283"/>
        <w:ind w:left="0" w:right="0" w:hanging="0"/>
        <w:jc w:val="left"/>
        <w:rPr>
          <w:rFonts w:ascii="Arial" w:hAnsi="Arial"/>
          <w:color w:val="000000"/>
          <w:sz w:val="18"/>
        </w:rPr>
      </w:pPr>
      <w:r>
        <w:rPr>
          <w:rFonts w:ascii="Arial" w:hAnsi="Arial"/>
          <w:color w:val="000000"/>
          <w:sz w:val="18"/>
        </w:rPr>
        <w:t xml:space="preserve">The nominating and corporate governance committee: </w:t>
      </w:r>
    </w:p>
    <w:tbl>
      <w:tblPr>
        <w:tblW w:w="7810" w:type="dxa"/>
        <w:jc w:val="left"/>
        <w:tblInd w:w="0" w:type="dxa"/>
        <w:tblLayout w:type="fixed"/>
        <w:tblCellMar>
          <w:top w:w="0" w:type="dxa"/>
          <w:left w:w="0" w:type="dxa"/>
          <w:bottom w:w="0" w:type="dxa"/>
          <w:right w:w="0" w:type="dxa"/>
        </w:tblCellMar>
      </w:tblPr>
      <w:tblGrid>
        <w:gridCol w:w="140"/>
        <w:gridCol w:w="7670"/>
      </w:tblGrid>
      <w:tr>
        <w:trPr/>
        <w:tc>
          <w:tcPr>
            <w:tcW w:w="140" w:type="dxa"/>
            <w:tcBorders/>
            <w:vAlign w:val="center"/>
          </w:tcPr>
          <w:p>
            <w:pPr>
              <w:pStyle w:val="TableContents"/>
              <w:bidi w:val="0"/>
              <w:spacing w:before="0" w:after="0"/>
              <w:jc w:val="left"/>
              <w:rPr>
                <w:color w:val="255993"/>
              </w:rPr>
            </w:pPr>
            <w:r>
              <w:rPr>
                <w:color w:val="255993"/>
              </w:rPr>
              <w:t>•</w:t>
            </w:r>
          </w:p>
        </w:tc>
        <w:tc>
          <w:tcPr>
            <w:tcW w:w="767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establishes procedures for the submission of candidates for election to our board of directors; </w:t>
            </w:r>
          </w:p>
        </w:tc>
      </w:tr>
    </w:tbl>
    <w:tbl>
      <w:tblPr>
        <w:tblW w:w="8365" w:type="dxa"/>
        <w:jc w:val="left"/>
        <w:tblInd w:w="0" w:type="dxa"/>
        <w:tblLayout w:type="fixed"/>
        <w:tblCellMar>
          <w:top w:w="0" w:type="dxa"/>
          <w:left w:w="0" w:type="dxa"/>
          <w:bottom w:w="0" w:type="dxa"/>
          <w:right w:w="0" w:type="dxa"/>
        </w:tblCellMar>
      </w:tblPr>
      <w:tblGrid>
        <w:gridCol w:w="140"/>
        <w:gridCol w:w="8225"/>
      </w:tblGrid>
      <w:tr>
        <w:trPr/>
        <w:tc>
          <w:tcPr>
            <w:tcW w:w="140" w:type="dxa"/>
            <w:tcBorders/>
            <w:vAlign w:val="center"/>
          </w:tcPr>
          <w:p>
            <w:pPr>
              <w:pStyle w:val="TableContents"/>
              <w:bidi w:val="0"/>
              <w:spacing w:before="0" w:after="0"/>
              <w:jc w:val="left"/>
              <w:rPr>
                <w:color w:val="255993"/>
              </w:rPr>
            </w:pPr>
            <w:r>
              <w:rPr>
                <w:color w:val="255993"/>
              </w:rPr>
              <w:t>•</w:t>
            </w:r>
          </w:p>
        </w:tc>
        <w:tc>
          <w:tcPr>
            <w:tcW w:w="822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conducts a periodic review of our succession planning process for the executive management team;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the structure and composition of each committee of our board of directors and makes recommendations for any proposed changes to the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develops and recommends to the board of directors corporate governance guidelines and annually reviews the corporate governance guidelines and their application; </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255993"/>
              </w:rPr>
            </w:pPr>
            <w:r>
              <w:rPr>
                <w:color w:val="255993"/>
              </w:rPr>
              <w:t>•</w:t>
            </w:r>
          </w:p>
        </w:tc>
        <w:tc>
          <w:tcPr>
            <w:tcW w:w="272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governance practices; </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255993"/>
              </w:rPr>
            </w:pPr>
            <w:r>
              <w:rPr>
                <w:color w:val="255993"/>
              </w:rPr>
              <w:t>•</w:t>
            </w:r>
          </w:p>
        </w:tc>
        <w:tc>
          <w:tcPr>
            <w:tcW w:w="492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our director orientation and continuing education; </w:t>
            </w:r>
          </w:p>
        </w:tc>
      </w:tr>
    </w:tbl>
    <w:tbl>
      <w:tblPr>
        <w:tblW w:w="5800" w:type="dxa"/>
        <w:jc w:val="left"/>
        <w:tblInd w:w="0" w:type="dxa"/>
        <w:tblLayout w:type="fixed"/>
        <w:tblCellMar>
          <w:top w:w="0" w:type="dxa"/>
          <w:left w:w="0" w:type="dxa"/>
          <w:bottom w:w="0" w:type="dxa"/>
          <w:right w:w="0" w:type="dxa"/>
        </w:tblCellMar>
      </w:tblPr>
      <w:tblGrid>
        <w:gridCol w:w="140"/>
        <w:gridCol w:w="5660"/>
      </w:tblGrid>
      <w:tr>
        <w:trPr/>
        <w:tc>
          <w:tcPr>
            <w:tcW w:w="140" w:type="dxa"/>
            <w:tcBorders/>
            <w:vAlign w:val="center"/>
          </w:tcPr>
          <w:p>
            <w:pPr>
              <w:pStyle w:val="TableContents"/>
              <w:bidi w:val="0"/>
              <w:spacing w:before="0" w:after="0"/>
              <w:jc w:val="left"/>
              <w:rPr>
                <w:color w:val="255993"/>
              </w:rPr>
            </w:pPr>
            <w:r>
              <w:rPr>
                <w:color w:val="255993"/>
              </w:rPr>
              <w:t>•</w:t>
            </w:r>
          </w:p>
        </w:tc>
        <w:tc>
          <w:tcPr>
            <w:tcW w:w="566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the evaluation of our board of directors and its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administers policies and procedures for various constituencies that are involved with us to communicate with the non-management members of our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oversees and periodically reviews the Company’s ESG activities, programs and public disclosure, including in light of any feedback received from stockholders of the Company;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reviews the adequacy of the nominating and corporate governance committee charter and recommends any proposed changes to our board of directors. </w:t>
            </w:r>
          </w:p>
        </w:tc>
      </w:tr>
    </w:tbl>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COMPLIANCE COMMITTEE </w:t>
      </w:r>
    </w:p>
    <w:p>
      <w:pPr>
        <w:pStyle w:val="TextBody"/>
        <w:bidi w:val="0"/>
        <w:spacing w:before="120" w:after="283"/>
        <w:ind w:left="0" w:right="0" w:hanging="0"/>
        <w:jc w:val="left"/>
        <w:rPr>
          <w:rFonts w:ascii="Arial" w:hAnsi="Arial"/>
          <w:color w:val="000000"/>
          <w:sz w:val="18"/>
        </w:rPr>
      </w:pPr>
      <w:r>
        <w:rPr>
          <w:rFonts w:ascii="Arial" w:hAnsi="Arial"/>
          <w:color w:val="000000"/>
          <w:sz w:val="18"/>
        </w:rPr>
        <w:t>Our compliance committee was established in September 2024 and first convened in February 2025. The members of our compliance committee are Dr. Panzara and Mr. Johnson. Dr. Panzara is the chairman of our compliance committee. Our compliance committee assists our board of directors in the oversight of our scientific research activities, including the development of our products and product candidates in clinical and preclinical development, and compliance with healthcare legal and regulatory requirements, and conducts related compliance risk analyses in conjunction with our audit committee. Our compliance committee operates under a written charter that specifies its duties and responsibilities, the adequacy of which is reviewed and any proposed changes recommended by the committee to our board of directors. A copy of the charter of our compliance committee is available on our website at https://investors.athira.com/corporate-governance/governance-overview.</w:t>
      </w:r>
    </w:p>
    <w:p>
      <w:pPr>
        <w:pStyle w:val="TextBody"/>
        <w:bidi w:val="0"/>
        <w:spacing w:before="250" w:after="283"/>
        <w:ind w:left="0" w:right="0" w:hanging="0"/>
        <w:jc w:val="left"/>
        <w:rPr>
          <w:rFonts w:ascii="Arial" w:hAnsi="Arial"/>
          <w:color w:val="000000"/>
          <w:sz w:val="18"/>
        </w:rPr>
      </w:pPr>
      <w:r>
        <w:rPr>
          <w:rFonts w:ascii="Arial" w:hAnsi="Arial"/>
          <w:color w:val="000000"/>
          <w:sz w:val="18"/>
        </w:rPr>
        <w:t xml:space="preserve">The compliance committee assists our board of directors in the oversight of, and assessment of risk associated with: </w:t>
      </w:r>
    </w:p>
    <w:tbl>
      <w:tblPr>
        <w:tblW w:w="5665" w:type="dxa"/>
        <w:jc w:val="left"/>
        <w:tblInd w:w="0" w:type="dxa"/>
        <w:tblLayout w:type="fixed"/>
        <w:tblCellMar>
          <w:top w:w="0" w:type="dxa"/>
          <w:left w:w="0" w:type="dxa"/>
          <w:bottom w:w="0" w:type="dxa"/>
          <w:right w:w="0" w:type="dxa"/>
        </w:tblCellMar>
      </w:tblPr>
      <w:tblGrid>
        <w:gridCol w:w="140"/>
        <w:gridCol w:w="5525"/>
      </w:tblGrid>
      <w:tr>
        <w:trPr/>
        <w:tc>
          <w:tcPr>
            <w:tcW w:w="140" w:type="dxa"/>
            <w:tcBorders/>
            <w:vAlign w:val="center"/>
          </w:tcPr>
          <w:p>
            <w:pPr>
              <w:pStyle w:val="TableContents"/>
              <w:bidi w:val="0"/>
              <w:spacing w:before="0" w:after="0"/>
              <w:jc w:val="left"/>
              <w:rPr>
                <w:color w:val="255993"/>
              </w:rPr>
            </w:pPr>
            <w:r>
              <w:rPr>
                <w:color w:val="255993"/>
              </w:rPr>
              <w:t>•</w:t>
            </w:r>
          </w:p>
        </w:tc>
        <w:tc>
          <w:tcPr>
            <w:tcW w:w="552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our compliance with healthcare legal and regulatory requirements;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matters relating to the safety and effectiveness of our products and product candidates in clinical and preclinical development;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42" w:name="ny20044300x2_def14a_106-board_pg10"/>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tbl>
      <w:tblPr>
        <w:tblW w:w="8305" w:type="dxa"/>
        <w:jc w:val="left"/>
        <w:tblInd w:w="0" w:type="dxa"/>
        <w:tblLayout w:type="fixed"/>
        <w:tblCellMar>
          <w:top w:w="0" w:type="dxa"/>
          <w:left w:w="0" w:type="dxa"/>
          <w:bottom w:w="0" w:type="dxa"/>
          <w:right w:w="0" w:type="dxa"/>
        </w:tblCellMar>
      </w:tblPr>
      <w:tblGrid>
        <w:gridCol w:w="140"/>
        <w:gridCol w:w="8165"/>
      </w:tblGrid>
      <w:tr>
        <w:trPr/>
        <w:tc>
          <w:tcPr>
            <w:tcW w:w="140" w:type="dxa"/>
            <w:tcBorders/>
            <w:vAlign w:val="center"/>
          </w:tcPr>
          <w:p>
            <w:pPr>
              <w:pStyle w:val="TableContents"/>
              <w:bidi w:val="0"/>
              <w:spacing w:before="0" w:after="0"/>
              <w:jc w:val="left"/>
              <w:rPr>
                <w:color w:val="255993"/>
              </w:rPr>
            </w:pPr>
            <w:r>
              <w:rPr>
                <w:color w:val="255993"/>
              </w:rPr>
              <w:t>•</w:t>
            </w:r>
          </w:p>
        </w:tc>
        <w:tc>
          <w:tcPr>
            <w:tcW w:w="81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the integrity of scientific research and accuracy and completeness of our scientific publications; and </w:t>
            </w:r>
          </w:p>
        </w:tc>
      </w:tr>
    </w:tbl>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jc w:val="left"/>
              <w:rPr>
                <w:color w:val="255993"/>
              </w:rPr>
            </w:pPr>
            <w:r>
              <w:rPr>
                <w:color w:val="255993"/>
              </w:rPr>
              <w:t>•</w:t>
            </w:r>
          </w:p>
        </w:tc>
        <w:tc>
          <w:tcPr>
            <w:tcW w:w="792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the qualification and performance of contract research and contract manufacturing organizations.</w:t>
            </w:r>
          </w:p>
        </w:tc>
      </w:tr>
    </w:tbl>
    <w:p>
      <w:pPr>
        <w:pStyle w:val="TextBody"/>
        <w:bidi w:val="0"/>
        <w:spacing w:before="290" w:after="283"/>
        <w:ind w:left="0" w:right="0" w:hanging="0"/>
        <w:jc w:val="left"/>
        <w:rPr>
          <w:rFonts w:ascii="Arial" w:hAnsi="Arial"/>
          <w:b/>
          <w:color w:val="F8991D"/>
          <w:sz w:val="20"/>
        </w:rPr>
      </w:pPr>
      <w:bookmarkStart w:id="43" w:name="tCEDN"/>
      <w:bookmarkEnd w:id="43"/>
      <w:r>
        <w:rPr>
          <w:rFonts w:ascii="Arial" w:hAnsi="Arial"/>
          <w:b/>
          <w:color w:val="F8991D"/>
          <w:sz w:val="20"/>
        </w:rPr>
        <w:t xml:space="preserve">CONSIDERATIONS IN EVALUATING DIRECTOR NOMINEES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of directors. Although our board of directors does not maintain a specific policy with respect to board diversity, our board of directors believes that the board of directors should be a diverse body, and the nominating and corporate governance committee considers a broad range of perspectives, backgrounds and experiences.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of directors or management.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 of directors. </w:t>
      </w:r>
    </w:p>
    <w:p>
      <w:pPr>
        <w:pStyle w:val="TextBody"/>
        <w:bidi w:val="0"/>
        <w:spacing w:before="280" w:after="283"/>
        <w:ind w:left="0" w:right="0" w:hanging="0"/>
        <w:jc w:val="left"/>
        <w:rPr>
          <w:rFonts w:ascii="Arial" w:hAnsi="Arial"/>
          <w:b/>
          <w:color w:val="F8991D"/>
          <w:sz w:val="20"/>
        </w:rPr>
      </w:pPr>
      <w:bookmarkStart w:id="44" w:name="tSRNB"/>
      <w:bookmarkEnd w:id="44"/>
      <w:r>
        <w:rPr>
          <w:rFonts w:ascii="Arial" w:hAnsi="Arial"/>
          <w:b/>
          <w:color w:val="F8991D"/>
          <w:sz w:val="20"/>
        </w:rPr>
        <w:t xml:space="preserve">STOCKHOLDER RECOMMENDATIONS AND NOMINATIONS TO OUR BOARD OF DIRECTORS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 </w:t>
      </w:r>
    </w:p>
    <w:p>
      <w:pPr>
        <w:pStyle w:val="TextBody"/>
        <w:bidi w:val="0"/>
        <w:spacing w:before="160" w:after="283"/>
        <w:ind w:left="0" w:right="0" w:hanging="0"/>
        <w:jc w:val="left"/>
        <w:rPr>
          <w:rFonts w:ascii="Arial" w:hAnsi="Arial"/>
          <w:color w:val="000000"/>
          <w:sz w:val="18"/>
        </w:rPr>
      </w:pPr>
      <w:r>
        <w:rPr>
          <w:rFonts w:ascii="Arial" w:hAnsi="Arial"/>
          <w:color w:val="000000"/>
          <w:sz w:val="18"/>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hAnsi="Arial"/>
          <w:i/>
          <w:color w:val="000000"/>
          <w:sz w:val="18"/>
        </w:rPr>
        <w:t>Questions and Answers About the Proxy Materials and our Annual Meeting—What is the deadline to propose actions for consideration at next year’s annual meeting of stockholders or to nominate individuals to serve as directors?</w:t>
      </w:r>
      <w:r>
        <w:rPr>
          <w:rFonts w:ascii="Arial" w:hAnsi="Arial"/>
          <w:color w:val="000000"/>
          <w:sz w:val="18"/>
        </w:rPr>
        <w:t xml:space="preserve">”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45" w:name="ny20044300x2_def14a_106-board_pg1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Board of Directors and Corporate Governance</w:t>
      </w:r>
    </w:p>
    <w:p>
      <w:pPr>
        <w:pStyle w:val="TextBody"/>
        <w:bidi w:val="0"/>
        <w:spacing w:before="135" w:after="283"/>
        <w:ind w:left="0" w:right="0" w:hanging="0"/>
        <w:jc w:val="left"/>
        <w:rPr>
          <w:rFonts w:ascii="Arial" w:hAnsi="Arial"/>
          <w:b/>
          <w:color w:val="F8991D"/>
          <w:sz w:val="20"/>
        </w:rPr>
      </w:pPr>
      <w:bookmarkStart w:id="46" w:name="tCOBD"/>
      <w:bookmarkEnd w:id="46"/>
      <w:r>
        <w:rPr>
          <w:rFonts w:ascii="Arial" w:hAnsi="Arial"/>
          <w:b/>
          <w:color w:val="F8991D"/>
          <w:sz w:val="20"/>
        </w:rPr>
        <w:t xml:space="preserve">COMMUNICATIONS WITH THE BOARD OF DIRECTORS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Stockholders and other interested parties wishing to communicate directly with our non-employee directors may do so by writing and sending the correspondence to our corporate secretary by mail to our principal executive offices at Athira Pharma, Inc., 18706 North Creek Parkway, Suite 104, Bothell, Washington 98011.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of directors to consider and (3) matters that are of a type that render them improper or irrelevant to the functioning of our board of directors or our business, for example, mass mailings, product complaints or inquiries, job inquiries, business solicitations and patently offensive or otherwise inappropriate material. If appropriate, our corporate secretary will route such communications to the appropriate director(s) or, if none is specified, then to the chairperson of the board of directors. These policies and procedures do not apply to communications to non-employee directors from our officers or directors who are stockholders or stockholder proposals submitted pursuant to Rule 14a-8 under the Exchange Act. </w:t>
      </w:r>
    </w:p>
    <w:p>
      <w:pPr>
        <w:pStyle w:val="TextBody"/>
        <w:bidi w:val="0"/>
        <w:spacing w:before="280" w:after="283"/>
        <w:ind w:left="0" w:right="0" w:hanging="0"/>
        <w:jc w:val="left"/>
        <w:rPr>
          <w:rFonts w:ascii="Arial" w:hAnsi="Arial"/>
          <w:b/>
          <w:color w:val="F8991D"/>
          <w:sz w:val="20"/>
        </w:rPr>
      </w:pPr>
      <w:bookmarkStart w:id="47" w:name="tITP"/>
      <w:bookmarkEnd w:id="47"/>
      <w:r>
        <w:rPr>
          <w:rFonts w:ascii="Arial" w:hAnsi="Arial"/>
          <w:b/>
          <w:color w:val="F8991D"/>
          <w:sz w:val="20"/>
        </w:rPr>
        <w:t>INSIDER TRADING POLICY</w:t>
      </w:r>
    </w:p>
    <w:p>
      <w:pPr>
        <w:pStyle w:val="TextBody"/>
        <w:bidi w:val="0"/>
        <w:spacing w:before="120" w:after="283"/>
        <w:ind w:left="0" w:right="0" w:hanging="0"/>
        <w:jc w:val="left"/>
        <w:rPr>
          <w:rFonts w:ascii="Arial" w:hAnsi="Arial"/>
          <w:color w:val="000000"/>
          <w:sz w:val="18"/>
        </w:rPr>
      </w:pPr>
      <w:r>
        <w:rPr>
          <w:rFonts w:ascii="Arial" w:hAnsi="Arial"/>
          <w:color w:val="000000"/>
          <w:sz w:val="18"/>
        </w:rPr>
        <w:t>We have adopted an insider trading policy that governs the purchase, sale, and other dispositions of our securities by our directors, officers, employees and other covered individuals, that we believe is reasonably designed to promote compliance with applicable insider trading laws, rules and regulations and the listing standards of Nasdaq. A copy of our insider trading policy was filed as an exhibit to our Annual Report on Form 10-K for fiscal year 2024. In addition, with regard to trading in our own securities, it is our policy to comply with the federal securities laws and the applicable exchange listing requirements.</w:t>
      </w:r>
    </w:p>
    <w:p>
      <w:pPr>
        <w:pStyle w:val="TextBody"/>
        <w:bidi w:val="0"/>
        <w:spacing w:before="160" w:after="283"/>
        <w:ind w:left="0" w:right="0" w:hanging="0"/>
        <w:jc w:val="left"/>
        <w:rPr>
          <w:rFonts w:ascii="Arial" w:hAnsi="Arial"/>
          <w:color w:val="000000"/>
          <w:sz w:val="18"/>
        </w:rPr>
      </w:pPr>
      <w:r>
        <w:rPr>
          <w:rFonts w:ascii="Arial" w:hAnsi="Arial"/>
          <w:color w:val="000000"/>
          <w:sz w:val="18"/>
        </w:rPr>
        <w:t>Under our insider trading policy, our employees, including our executive officers, consultants, contractors, advisors, and the members of our board of directors are prohibited from, directly or indirectly, among other things, (1) engaging in short sales, (2) trading in publicly 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w:t>
      </w:r>
    </w:p>
    <w:p>
      <w:pPr>
        <w:pStyle w:val="TextBody"/>
        <w:bidi w:val="0"/>
        <w:spacing w:before="280" w:after="283"/>
        <w:ind w:left="0" w:right="0" w:hanging="0"/>
        <w:jc w:val="left"/>
        <w:rPr>
          <w:rFonts w:ascii="Arial" w:hAnsi="Arial"/>
          <w:b/>
          <w:color w:val="F8991D"/>
          <w:sz w:val="20"/>
        </w:rPr>
      </w:pPr>
      <w:bookmarkStart w:id="48" w:name="tCBCE"/>
      <w:bookmarkEnd w:id="48"/>
      <w:r>
        <w:rPr>
          <w:rFonts w:ascii="Arial" w:hAnsi="Arial"/>
          <w:b/>
          <w:color w:val="F8991D"/>
          <w:sz w:val="20"/>
        </w:rPr>
        <w:t xml:space="preserve">CODE OF BUSINESS CONDUCT AND ETHICS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 governance-overview. We will post amendments to our code of business conduct and ethics or waivers of our code of business conduct and ethics for directors and executive officers on the same website. </w:t>
      </w:r>
    </w:p>
    <w:p>
      <w:pPr>
        <w:pStyle w:val="TextBody"/>
        <w:bidi w:val="0"/>
        <w:spacing w:before="280" w:after="283"/>
        <w:ind w:left="0" w:right="0" w:hanging="0"/>
        <w:jc w:val="left"/>
        <w:rPr>
          <w:rFonts w:ascii="Arial" w:hAnsi="Arial"/>
          <w:b/>
          <w:color w:val="F8991D"/>
          <w:sz w:val="20"/>
        </w:rPr>
      </w:pPr>
      <w:bookmarkStart w:id="49" w:name="tESGR"/>
      <w:bookmarkEnd w:id="49"/>
      <w:r>
        <w:rPr>
          <w:rFonts w:ascii="Arial" w:hAnsi="Arial"/>
          <w:b/>
          <w:color w:val="F8991D"/>
          <w:sz w:val="20"/>
        </w:rPr>
        <w:t xml:space="preserve">ENVIRONMENTAL, SOCIAL AND GOVERNANCE (ESG) AND RELATED MATTERS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ESG strategy is focused on areas that are material to our business and clearly connected to our business operations. We expect our ESG strategy to evolve as we continue to assess the appropriate framework for our disclosures and appropriate metrics to measure our actions. Our nominating and corporate governance committee has oversight of our overall ESG activities and programs, and we have discussed elsewhere in this proxy statement certain of our corporate governance policies and programs, including our code of business conduct and ethics, corporate governance guidelines, related-person transactions policy, clawback policy, and overall commitment to diversity of experience, gender, race and ethnicity to seek to ensure that there is diversity of thought among our directors. We also require training and compliance with other corporate policies including our whistleblower policy, global anti-bribery and anti-corruption policy, and insider trading policy and various quality assurance, cybersecurity and safety protocols. </w:t>
      </w:r>
    </w:p>
    <w:p>
      <w:pPr>
        <w:pStyle w:val="TextBody"/>
        <w:bidi w:val="0"/>
        <w:spacing w:before="320" w:after="283"/>
        <w:ind w:left="0" w:right="0" w:hanging="0"/>
        <w:jc w:val="left"/>
        <w:rPr>
          <w:rFonts w:ascii="Arial" w:hAnsi="Arial"/>
          <w:b/>
          <w:color w:val="255993"/>
          <w:sz w:val="18"/>
        </w:rPr>
      </w:pPr>
      <w:r>
        <w:rPr>
          <w:rFonts w:ascii="Arial" w:hAnsi="Arial"/>
          <w:b/>
          <w:color w:val="255993"/>
          <w:sz w:val="18"/>
        </w:rPr>
        <w:t xml:space="preserve">CORE VALUES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At Athira, we are guided by our mission to restore lives by advancing bold therapies for neuronal health, thoughtfully and urgently. We are committed to restoring, rebuilding and retaining connections. Our core values of people, integrity, collaboration, perseverance, transformation, inclusion and resourcefulness serve to guide us on our path toward achieving our mission. Our core values establish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50" w:name="ny20044300x2_def14a_106-board_pg1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foundation for how we conduct our business, how we interact with each other and our stakeholders, and how we evaluate employee performance.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EMPLOYEES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hiring, engagement and retention of a skilled workforce is particularly important in the highly competitive scientific fields in which we operate. Our employees play a key role in our ability to achieve our mission, and we strive to attract, empower and retain highly qualified employees who are inspired, diverse and driven. To attract and retain top talent, we strive to create opportunities for our employees to grow and develop in their careers and ensure they are supported by competitive compensation and a comprehensive benefits program.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We believe employee career development is an investment in our employees’ skills and our future. Additionally, we have an employee review program which evaluates employee performance and is designed to support our employees’ career and personal development, which ultimately contributes to achieving our mission. </w:t>
      </w:r>
    </w:p>
    <w:p>
      <w:pPr>
        <w:pStyle w:val="TextBody"/>
        <w:bidi w:val="0"/>
        <w:spacing w:before="250" w:after="283"/>
        <w:ind w:left="0" w:right="0" w:hanging="0"/>
        <w:jc w:val="left"/>
        <w:rPr>
          <w:rFonts w:ascii="Arial" w:hAnsi="Arial"/>
          <w:color w:val="000000"/>
          <w:sz w:val="18"/>
        </w:rPr>
      </w:pPr>
      <w:r>
        <w:rPr>
          <w:rFonts w:ascii="Arial" w:hAnsi="Arial"/>
          <w:color w:val="000000"/>
          <w:sz w:val="18"/>
        </w:rPr>
        <w:t xml:space="preserve">We believe it is important to encourage open and direct communication at all levels in our organization. </w:t>
      </w:r>
    </w:p>
    <w:p>
      <w:pPr>
        <w:pStyle w:val="TextBody"/>
        <w:bidi w:val="0"/>
        <w:spacing w:before="160" w:after="283"/>
        <w:ind w:left="0" w:right="0" w:hanging="0"/>
        <w:jc w:val="left"/>
        <w:rPr>
          <w:rFonts w:ascii="Arial" w:hAnsi="Arial"/>
          <w:color w:val="000000"/>
          <w:sz w:val="18"/>
        </w:rPr>
      </w:pPr>
      <w:r>
        <w:rPr>
          <w:rFonts w:ascii="Arial" w:hAnsi="Arial"/>
          <w:color w:val="000000"/>
          <w:sz w:val="18"/>
        </w:rPr>
        <w:t>We believe we provide competitive and comprehensive financial compensation and benefits for our employees and that our programs are designed to meet our employees’ needs. In addition to salaries, these programs include, for eligible employees, new employee equity grants, additional discretionary equity awards, discretionary merit-based annual bonuses, a voluntary employee stock purchase program, a 401(k) plan with company matching, healthcare and insurance benefits, health flexible spending accounts, dependent care flexible spending accounts, professional development opportunities and reimbursement, paid time off, and family leave.</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CONCLUDED OPEN-LABEL EXTENSION</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previously extended our now-concluded ACT-AD and LIFT-AD clinical trials in an open label extension intended to continue access to our prior drug candidate for Alzheimer’s disease in support of the patients in those clinical trials and their caregivers who are faced with such a devastating disease, again in furtherance of our mission to restore lives by advancing bold therapies for neuronal health, thoughtfully and urgently. </w:t>
      </w:r>
    </w:p>
    <w:p>
      <w:pPr>
        <w:pStyle w:val="TextBody"/>
        <w:bidi w:val="0"/>
        <w:spacing w:before="290" w:after="283"/>
        <w:ind w:left="0" w:right="0" w:hanging="0"/>
        <w:jc w:val="left"/>
        <w:rPr>
          <w:rFonts w:ascii="Arial" w:hAnsi="Arial"/>
          <w:b/>
          <w:color w:val="F8991D"/>
          <w:sz w:val="20"/>
        </w:rPr>
      </w:pPr>
      <w:bookmarkStart w:id="51" w:name="tDRCO"/>
      <w:bookmarkEnd w:id="51"/>
      <w:r>
        <w:rPr>
          <w:rFonts w:ascii="Arial" w:hAnsi="Arial"/>
          <w:b/>
          <w:color w:val="F8991D"/>
          <w:sz w:val="20"/>
        </w:rPr>
        <w:t xml:space="preserve">DIRECTOR COMPENSATION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following table provides information regarding compensation of our non-employee directors for service as directors for the year ended December 31, 2024. </w:t>
      </w:r>
    </w:p>
    <w:tbl>
      <w:tblPr>
        <w:tblW w:w="7365" w:type="dxa"/>
        <w:jc w:val="left"/>
        <w:tblInd w:w="0" w:type="dxa"/>
        <w:tblLayout w:type="fixed"/>
        <w:tblCellMar>
          <w:top w:w="0" w:type="dxa"/>
          <w:left w:w="0" w:type="dxa"/>
          <w:bottom w:w="0" w:type="dxa"/>
          <w:right w:w="0" w:type="dxa"/>
        </w:tblCellMar>
      </w:tblPr>
      <w:tblGrid>
        <w:gridCol w:w="185"/>
        <w:gridCol w:w="2510"/>
        <w:gridCol w:w="170"/>
        <w:gridCol w:w="170"/>
        <w:gridCol w:w="1400"/>
        <w:gridCol w:w="170"/>
        <w:gridCol w:w="170"/>
        <w:gridCol w:w="1355"/>
        <w:gridCol w:w="170"/>
        <w:gridCol w:w="170"/>
        <w:gridCol w:w="680"/>
        <w:gridCol w:w="215"/>
      </w:tblGrid>
      <w:tr>
        <w:trPr/>
        <w:tc>
          <w:tcPr>
            <w:tcW w:w="185" w:type="dxa"/>
            <w:tcBorders/>
            <w:shd w:fill="255993" w:val="clear"/>
            <w:vAlign w:val="center"/>
          </w:tcPr>
          <w:p>
            <w:pPr>
              <w:pStyle w:val="TableContents"/>
              <w:bidi w:val="0"/>
              <w:spacing w:before="0" w:after="0"/>
              <w:jc w:val="left"/>
              <w:rPr/>
            </w:pPr>
            <w:r>
              <w:rPr/>
              <w:t> </w:t>
            </w:r>
          </w:p>
        </w:tc>
        <w:tc>
          <w:tcPr>
            <w:tcW w:w="251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40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35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680" w:type="dxa"/>
            <w:tcBorders/>
            <w:shd w:fill="255993" w:val="clear"/>
            <w:vAlign w:val="center"/>
          </w:tcPr>
          <w:p>
            <w:pPr>
              <w:pStyle w:val="TableContents"/>
              <w:bidi w:val="0"/>
              <w:spacing w:before="0" w:after="0"/>
              <w:jc w:val="left"/>
              <w:rPr/>
            </w:pPr>
            <w:r>
              <w:rPr/>
              <w:t> </w:t>
            </w:r>
          </w:p>
        </w:tc>
        <w:tc>
          <w:tcPr>
            <w:tcW w:w="215"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255993" w:val="clear"/>
            <w:tcMar>
              <w:bottom w:w="40" w:type="dxa"/>
            </w:tcMar>
            <w:vAlign w:val="center"/>
          </w:tcPr>
          <w:p>
            <w:pPr>
              <w:pStyle w:val="TableContents"/>
              <w:bidi w:val="0"/>
              <w:spacing w:before="0" w:after="283"/>
              <w:ind w:left="100" w:right="0" w:hanging="0"/>
              <w:jc w:val="left"/>
              <w:rPr>
                <w:rFonts w:ascii="Arial" w:hAnsi="Arial"/>
                <w:b/>
                <w:color w:val="FFFFFF"/>
                <w:sz w:val="18"/>
              </w:rPr>
            </w:pPr>
            <w:r>
              <w:rPr>
                <w:rFonts w:ascii="Arial" w:hAnsi="Arial"/>
                <w:b/>
                <w:color w:val="FFFFFF"/>
                <w:sz w:val="18"/>
              </w:rPr>
              <w:t>Name</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255993" w:val="clear"/>
            <w:tcMar>
              <w:bottom w:w="4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Fees Earned or </w:t>
            </w:r>
          </w:p>
          <w:p>
            <w:pPr>
              <w:pStyle w:val="TableContents"/>
              <w:bidi w:val="0"/>
              <w:spacing w:before="0" w:after="283"/>
              <w:jc w:val="right"/>
              <w:rPr>
                <w:rFonts w:ascii="Arial" w:hAnsi="Arial"/>
                <w:b/>
                <w:color w:val="FFFFFF"/>
                <w:sz w:val="18"/>
              </w:rPr>
            </w:pPr>
            <w:r>
              <w:rPr>
                <w:rFonts w:ascii="Arial" w:hAnsi="Arial"/>
                <w:b/>
                <w:color w:val="FFFFFF"/>
                <w:sz w:val="18"/>
              </w:rPr>
              <w:t xml:space="preserve">Paid in Cash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255993" w:val="clear"/>
            <w:tcMar>
              <w:bottom w:w="4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Option Awards </w:t>
            </w:r>
          </w:p>
          <w:p>
            <w:pPr>
              <w:pStyle w:val="TableContents"/>
              <w:bidi w:val="0"/>
              <w:spacing w:before="0" w:after="283"/>
              <w:jc w:val="right"/>
              <w:rPr>
                <w:rFonts w:ascii="Arial" w:hAnsi="Arial"/>
                <w:b/>
                <w:color w:val="FFFFFF"/>
                <w:sz w:val="18"/>
              </w:rPr>
            </w:pPr>
            <w:r>
              <w:rPr>
                <w:rFonts w:ascii="Arial" w:hAnsi="Arial"/>
                <w:b/>
                <w:color w:val="FFFFFF"/>
                <w:sz w:val="18"/>
              </w:rPr>
              <w:t>($)</w:t>
            </w:r>
            <w:r>
              <w:rPr>
                <w:rFonts w:ascii="Arial" w:hAnsi="Arial"/>
                <w:b/>
                <w:color w:val="FFFFFF"/>
                <w:position w:val="6"/>
                <w:sz w:val="14"/>
                <w:sz w:val="18"/>
              </w:rPr>
              <w:t>(1)</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255993" w:val="clear"/>
            <w:tcMar>
              <w:bottom w:w="4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Total </w:t>
            </w:r>
          </w:p>
          <w:p>
            <w:pPr>
              <w:pStyle w:val="TableContents"/>
              <w:bidi w:val="0"/>
              <w:spacing w:before="0" w:after="283"/>
              <w:jc w:val="right"/>
              <w:rPr>
                <w:rFonts w:ascii="Arial" w:hAnsi="Arial"/>
                <w:b/>
                <w:color w:val="FFFFFF"/>
                <w:sz w:val="18"/>
              </w:rPr>
            </w:pPr>
            <w:r>
              <w:rPr>
                <w:rFonts w:ascii="Arial" w:hAnsi="Arial"/>
                <w:b/>
                <w:color w:val="FFFFFF"/>
                <w:sz w:val="18"/>
              </w:rPr>
              <w:t xml:space="preserve">($) </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EBEBEB" w:val="clear"/>
            <w:tcMar>
              <w:bottom w:w="43" w:type="dxa"/>
            </w:tcM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Kelly A. Romano</w:t>
            </w:r>
            <w:r>
              <w:rPr>
                <w:rFonts w:ascii="Arial" w:hAnsi="Arial"/>
                <w:b w:val="false"/>
                <w:color w:val="000000"/>
                <w:position w:val="5"/>
                <w:sz w:val="13"/>
                <w:sz w:val="16"/>
              </w:rPr>
              <w:t>(2)</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80,242</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123,646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FAFAFA" w:val="clear"/>
            <w:tcMar>
              <w:bottom w:w="43" w:type="dxa"/>
            </w:tcM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Joseph Edelman</w:t>
            </w:r>
            <w:r>
              <w:rPr>
                <w:rFonts w:ascii="Arial" w:hAnsi="Arial"/>
                <w:b w:val="false"/>
                <w:color w:val="000000"/>
                <w:position w:val="5"/>
                <w:sz w:val="13"/>
                <w:sz w:val="16"/>
              </w:rPr>
              <w:t>(3)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44,000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87,404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EBEBEB" w:val="clear"/>
            <w:tcMar>
              <w:bottom w:w="43" w:type="dxa"/>
            </w:tcM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John M. Fluke, Jr.</w:t>
            </w:r>
            <w:r>
              <w:rPr>
                <w:rFonts w:ascii="Arial" w:hAnsi="Arial"/>
                <w:b w:val="false"/>
                <w:color w:val="000000"/>
                <w:position w:val="5"/>
                <w:sz w:val="13"/>
                <w:sz w:val="16"/>
              </w:rPr>
              <w:t>(4)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90,904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FAFAFA" w:val="clear"/>
            <w:tcMar>
              <w:bottom w:w="43" w:type="dxa"/>
            </w:tcM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James A. Johnson</w:t>
            </w:r>
            <w:r>
              <w:rPr>
                <w:rFonts w:ascii="Arial" w:hAnsi="Arial"/>
                <w:b w:val="false"/>
                <w:color w:val="000000"/>
                <w:position w:val="5"/>
                <w:sz w:val="13"/>
                <w:sz w:val="16"/>
              </w:rPr>
              <w:t>(5)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61,495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104,899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EBEBEB" w:val="clear"/>
            <w:tcMar>
              <w:bottom w:w="43" w:type="dxa"/>
            </w:tcM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Barbara Kosacz</w:t>
            </w:r>
            <w:r>
              <w:rPr>
                <w:rFonts w:ascii="Arial" w:hAnsi="Arial"/>
                <w:b w:val="false"/>
                <w:color w:val="000000"/>
                <w:position w:val="5"/>
                <w:sz w:val="13"/>
                <w:sz w:val="16"/>
              </w:rPr>
              <w:t>(6)</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EBEBEB"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97,404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510" w:type="dxa"/>
            <w:tcBorders>
              <w:bottom w:val="single" w:sz="8" w:space="0" w:color="FFFFFF"/>
            </w:tcBorders>
            <w:shd w:fill="FAFAFA" w:val="clear"/>
            <w:tcMar>
              <w:bottom w:w="43" w:type="dxa"/>
            </w:tcM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Michael Panzara, M.D., M.P.H.</w:t>
            </w:r>
            <w:r>
              <w:rPr>
                <w:rFonts w:ascii="Arial" w:hAnsi="Arial"/>
                <w:b w:val="false"/>
                <w:color w:val="000000"/>
                <w:position w:val="5"/>
                <w:sz w:val="13"/>
                <w:sz w:val="16"/>
              </w:rPr>
              <w:t>(7)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00"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46,989</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55"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80" w:type="dxa"/>
            <w:tcBorders>
              <w:bottom w:val="single" w:sz="8" w:space="0" w:color="FFFFFF"/>
            </w:tcBorders>
            <w:shd w:fill="FAFAFA" w:val="clear"/>
            <w:tcMar>
              <w:bottom w:w="4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90,393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2510" w:type="dxa"/>
            <w:tcBorders/>
            <w:shd w:fill="EBEBEB" w:val="clear"/>
            <w:vAlign w:val="center"/>
          </w:tcPr>
          <w:p>
            <w:pPr>
              <w:pStyle w:val="TableContents"/>
              <w:bidi w:val="0"/>
              <w:spacing w:before="0" w:after="283"/>
              <w:ind w:left="100" w:right="0" w:hanging="0"/>
              <w:jc w:val="left"/>
              <w:rPr>
                <w:rFonts w:ascii="Arial" w:hAnsi="Arial"/>
                <w:b/>
                <w:color w:val="000000"/>
                <w:sz w:val="16"/>
              </w:rPr>
            </w:pPr>
            <w:r>
              <w:rPr>
                <w:rFonts w:ascii="Arial" w:hAnsi="Arial"/>
                <w:b/>
                <w:color w:val="000000"/>
                <w:sz w:val="16"/>
              </w:rPr>
              <w:t>Grant Pickering</w:t>
            </w:r>
            <w:r>
              <w:rPr>
                <w:rFonts w:ascii="Arial" w:hAnsi="Arial"/>
                <w:b w:val="false"/>
                <w:color w:val="000000"/>
                <w:position w:val="5"/>
                <w:sz w:val="13"/>
                <w:sz w:val="16"/>
              </w:rPr>
              <w:t>(8)</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40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50,258</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35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43,404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8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93,663</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251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40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35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80"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9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In accordance with SEC rules, the amount in this column reflects the aggregate grant date fair value of stock options granted during 2024 computed in accordance with Accounting Standards Codification (ASC) Topic 718, rather than the amount paid or realized by the director. For a discussion of valuation assumptions, see Note 9 to our financial statements included in our Annual Report on Form 10-K for the year ended December 31, 2024, filed with the SEC on February 27, 2025.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6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Ms. Romano was appointed to our board of directors in December 2020. As of December 31, 2024, Ms. Romano held stock options to purchase 83,413 shares of our common stock.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6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Mr. Edelman became a member of our board of directors in May 2020. As of December 31, 2024, Mr. Edelman held stock options to purchase 97,284 shares of our common stock.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52" w:name="ny20044300x2_def14a_106-board_pg13"/>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Board of Directors and Corporate Governance</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(4)</w:t>
            </w:r>
          </w:p>
        </w:tc>
        <w:tc>
          <w:tcPr>
            <w:tcW w:w="996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Mr. Fluke became a member of our board of directors in December 2014. As of December 31, 2024, Mr. Fluke held stock options to purchase 97,284 shares of our common stock.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(5)</w:t>
            </w:r>
          </w:p>
        </w:tc>
        <w:tc>
          <w:tcPr>
            <w:tcW w:w="996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Mr. Johnson became a member of our board of directors in August 2020. As of December 31, 2024, Mr. Johnson held stock options to purchase 97,284 shares of our common stock.</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(6)</w:t>
            </w:r>
          </w:p>
        </w:tc>
        <w:tc>
          <w:tcPr>
            <w:tcW w:w="996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Ms. Kosacz became a member of our board of directors in March 2021. As of December 31, 2024, Ms. Kosacz held stock options to purchase 83,413 shares of our common stock.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(7)</w:t>
            </w:r>
          </w:p>
        </w:tc>
        <w:tc>
          <w:tcPr>
            <w:tcW w:w="996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Dr. Panzara was appointed to our board of directors in March 2022. As of December 31, 2024, Dr. Panzara held stock options to purchase 71,853 shares of our common stock.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(8)</w:t>
            </w:r>
          </w:p>
        </w:tc>
        <w:tc>
          <w:tcPr>
            <w:tcW w:w="996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Mr. Pickering was appointed to our board of directors in January 2022. As of December 31, 2024, Mr. Pickering held stock options to purchase 73,009 shares of our common stock.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September 2020, based on discussions with and assistance from AON Radford, a third-party compensation consultant then retained by our compensation committee to provide our board of directors and our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and restated in January 2022, January 2023, and September 2024 in consultation with Pearl Meyer &amp; Partners, LLC, a third-party compensation consultant retained by our compensation committee beginning in October 2021 to provide our board of directors and our compensation committee with an analysis of publicly available market data and assistance in determining any proposed changes in non-employee director compensation.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CASH COMPENSATION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amended and restated outside director compensation policy provides for the following cash compensation program for our non-employee directors: </w:t>
      </w:r>
    </w:p>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0"/>
              <w:jc w:val="left"/>
              <w:rPr>
                <w:color w:val="255993"/>
              </w:rPr>
            </w:pPr>
            <w:r>
              <w:rPr>
                <w:color w:val="255993"/>
              </w:rPr>
              <w:t>•</w:t>
            </w:r>
          </w:p>
        </w:tc>
        <w:tc>
          <w:tcPr>
            <w:tcW w:w="473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$40,000 per year for service as a non-employee director; </w:t>
            </w:r>
          </w:p>
        </w:tc>
      </w:tr>
    </w:tbl>
    <w:tbl>
      <w:tblPr>
        <w:tblW w:w="5830" w:type="dxa"/>
        <w:jc w:val="left"/>
        <w:tblInd w:w="0" w:type="dxa"/>
        <w:tblLayout w:type="fixed"/>
        <w:tblCellMar>
          <w:top w:w="0" w:type="dxa"/>
          <w:left w:w="0" w:type="dxa"/>
          <w:bottom w:w="0" w:type="dxa"/>
          <w:right w:w="0" w:type="dxa"/>
        </w:tblCellMar>
      </w:tblPr>
      <w:tblGrid>
        <w:gridCol w:w="140"/>
        <w:gridCol w:w="5690"/>
      </w:tblGrid>
      <w:tr>
        <w:trPr/>
        <w:tc>
          <w:tcPr>
            <w:tcW w:w="140" w:type="dxa"/>
            <w:tcBorders/>
            <w:vAlign w:val="center"/>
          </w:tcPr>
          <w:p>
            <w:pPr>
              <w:pStyle w:val="TableContents"/>
              <w:bidi w:val="0"/>
              <w:spacing w:before="0" w:after="0"/>
              <w:jc w:val="left"/>
              <w:rPr>
                <w:color w:val="255993"/>
              </w:rPr>
            </w:pPr>
            <w:r>
              <w:rPr>
                <w:color w:val="255993"/>
              </w:rPr>
              <w:t>•</w:t>
            </w:r>
          </w:p>
        </w:tc>
        <w:tc>
          <w:tcPr>
            <w:tcW w:w="569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$30,000 per year for service as chairperson of our board of directors; </w:t>
            </w:r>
          </w:p>
        </w:tc>
      </w:tr>
    </w:tbl>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255993"/>
              </w:rPr>
            </w:pPr>
            <w:r>
              <w:rPr>
                <w:color w:val="255993"/>
              </w:rPr>
              <w:t>•</w:t>
            </w:r>
          </w:p>
        </w:tc>
        <w:tc>
          <w:tcPr>
            <w:tcW w:w="555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$15,000 per year for service as chairperson of our audit committee; </w:t>
            </w:r>
          </w:p>
        </w:tc>
      </w:tr>
    </w:tbl>
    <w:tbl>
      <w:tblPr>
        <w:tblW w:w="5440" w:type="dxa"/>
        <w:jc w:val="left"/>
        <w:tblInd w:w="0" w:type="dxa"/>
        <w:tblLayout w:type="fixed"/>
        <w:tblCellMar>
          <w:top w:w="0" w:type="dxa"/>
          <w:left w:w="0" w:type="dxa"/>
          <w:bottom w:w="0" w:type="dxa"/>
          <w:right w:w="0" w:type="dxa"/>
        </w:tblCellMar>
      </w:tblPr>
      <w:tblGrid>
        <w:gridCol w:w="140"/>
        <w:gridCol w:w="5300"/>
      </w:tblGrid>
      <w:tr>
        <w:trPr/>
        <w:tc>
          <w:tcPr>
            <w:tcW w:w="140" w:type="dxa"/>
            <w:tcBorders/>
            <w:vAlign w:val="center"/>
          </w:tcPr>
          <w:p>
            <w:pPr>
              <w:pStyle w:val="TableContents"/>
              <w:bidi w:val="0"/>
              <w:spacing w:before="0" w:after="0"/>
              <w:jc w:val="left"/>
              <w:rPr>
                <w:color w:val="255993"/>
              </w:rPr>
            </w:pPr>
            <w:r>
              <w:rPr>
                <w:color w:val="255993"/>
              </w:rPr>
              <w:t>•</w:t>
            </w:r>
          </w:p>
        </w:tc>
        <w:tc>
          <w:tcPr>
            <w:tcW w:w="530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$7,500 per year for service as a member of our audit committee; </w:t>
            </w:r>
          </w:p>
        </w:tc>
      </w:tr>
    </w:tbl>
    <w:tbl>
      <w:tblPr>
        <w:tblW w:w="6445" w:type="dxa"/>
        <w:jc w:val="left"/>
        <w:tblInd w:w="0" w:type="dxa"/>
        <w:tblLayout w:type="fixed"/>
        <w:tblCellMar>
          <w:top w:w="0" w:type="dxa"/>
          <w:left w:w="0" w:type="dxa"/>
          <w:bottom w:w="0" w:type="dxa"/>
          <w:right w:w="0" w:type="dxa"/>
        </w:tblCellMar>
      </w:tblPr>
      <w:tblGrid>
        <w:gridCol w:w="140"/>
        <w:gridCol w:w="6305"/>
      </w:tblGrid>
      <w:tr>
        <w:trPr/>
        <w:tc>
          <w:tcPr>
            <w:tcW w:w="140" w:type="dxa"/>
            <w:tcBorders/>
            <w:vAlign w:val="center"/>
          </w:tcPr>
          <w:p>
            <w:pPr>
              <w:pStyle w:val="TableContents"/>
              <w:bidi w:val="0"/>
              <w:spacing w:before="0" w:after="0"/>
              <w:jc w:val="left"/>
              <w:rPr>
                <w:color w:val="255993"/>
              </w:rPr>
            </w:pPr>
            <w:r>
              <w:rPr>
                <w:color w:val="255993"/>
              </w:rPr>
              <w:t>•</w:t>
            </w:r>
          </w:p>
        </w:tc>
        <w:tc>
          <w:tcPr>
            <w:tcW w:w="630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$10,000 per year for service as chairperson of our compensation committee; </w:t>
            </w:r>
          </w:p>
        </w:tc>
      </w:tr>
    </w:tbl>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255993"/>
              </w:rPr>
            </w:pPr>
            <w:r>
              <w:rPr>
                <w:color w:val="255993"/>
              </w:rPr>
              <w:t>•</w:t>
            </w:r>
          </w:p>
        </w:tc>
        <w:tc>
          <w:tcPr>
            <w:tcW w:w="605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$5,000 per year for service as a member of our compensation committee; </w:t>
            </w:r>
          </w:p>
        </w:tc>
      </w:tr>
    </w:tbl>
    <w:tbl>
      <w:tblPr>
        <w:tblW w:w="8260" w:type="dxa"/>
        <w:jc w:val="left"/>
        <w:tblInd w:w="0" w:type="dxa"/>
        <w:tblLayout w:type="fixed"/>
        <w:tblCellMar>
          <w:top w:w="0" w:type="dxa"/>
          <w:left w:w="0" w:type="dxa"/>
          <w:bottom w:w="0" w:type="dxa"/>
          <w:right w:w="0" w:type="dxa"/>
        </w:tblCellMar>
      </w:tblPr>
      <w:tblGrid>
        <w:gridCol w:w="140"/>
        <w:gridCol w:w="8120"/>
      </w:tblGrid>
      <w:tr>
        <w:trPr/>
        <w:tc>
          <w:tcPr>
            <w:tcW w:w="140" w:type="dxa"/>
            <w:tcBorders/>
            <w:vAlign w:val="center"/>
          </w:tcPr>
          <w:p>
            <w:pPr>
              <w:pStyle w:val="TableContents"/>
              <w:bidi w:val="0"/>
              <w:spacing w:before="0" w:after="0"/>
              <w:jc w:val="left"/>
              <w:rPr>
                <w:color w:val="255993"/>
              </w:rPr>
            </w:pPr>
            <w:r>
              <w:rPr>
                <w:color w:val="255993"/>
              </w:rPr>
              <w:t>•</w:t>
            </w:r>
          </w:p>
        </w:tc>
        <w:tc>
          <w:tcPr>
            <w:tcW w:w="812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$8,000 per year for service as chairperson of our nominating and corporate governance committee;</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255993"/>
              </w:rPr>
            </w:pPr>
            <w:r>
              <w:rPr>
                <w:color w:val="255993"/>
              </w:rPr>
              <w:t>•</w:t>
            </w:r>
          </w:p>
        </w:tc>
        <w:tc>
          <w:tcPr>
            <w:tcW w:w="801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$4,000 per year for service as a member of our nominating and corporate governance committee.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255993"/>
              </w:rPr>
            </w:pPr>
            <w:r>
              <w:rPr>
                <w:color w:val="255993"/>
              </w:rPr>
              <w:t>•</w:t>
            </w:r>
          </w:p>
        </w:tc>
        <w:tc>
          <w:tcPr>
            <w:tcW w:w="641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$10,000 per year for service as chairperson of our compliance committee; and</w:t>
            </w:r>
          </w:p>
        </w:tc>
      </w:tr>
    </w:tbl>
    <w:tbl>
      <w:tblPr>
        <w:tblW w:w="5890" w:type="dxa"/>
        <w:jc w:val="left"/>
        <w:tblInd w:w="0" w:type="dxa"/>
        <w:tblLayout w:type="fixed"/>
        <w:tblCellMar>
          <w:top w:w="0" w:type="dxa"/>
          <w:left w:w="0" w:type="dxa"/>
          <w:bottom w:w="0" w:type="dxa"/>
          <w:right w:w="0" w:type="dxa"/>
        </w:tblCellMar>
      </w:tblPr>
      <w:tblGrid>
        <w:gridCol w:w="140"/>
        <w:gridCol w:w="5750"/>
      </w:tblGrid>
      <w:tr>
        <w:trPr/>
        <w:tc>
          <w:tcPr>
            <w:tcW w:w="140" w:type="dxa"/>
            <w:tcBorders/>
            <w:vAlign w:val="center"/>
          </w:tcPr>
          <w:p>
            <w:pPr>
              <w:pStyle w:val="TableContents"/>
              <w:bidi w:val="0"/>
              <w:spacing w:before="0" w:after="0"/>
              <w:jc w:val="left"/>
              <w:rPr>
                <w:color w:val="255993"/>
              </w:rPr>
            </w:pPr>
            <w:r>
              <w:rPr>
                <w:color w:val="255993"/>
              </w:rPr>
              <w:t>•</w:t>
            </w:r>
          </w:p>
        </w:tc>
        <w:tc>
          <w:tcPr>
            <w:tcW w:w="575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$5,000 per year for service as a member of our compliance committee</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EQUITY COMPENSATION </w:t>
      </w:r>
    </w:p>
    <w:p>
      <w:pPr>
        <w:pStyle w:val="TextBody"/>
        <w:bidi w:val="0"/>
        <w:spacing w:before="120" w:after="283"/>
        <w:ind w:left="0" w:right="0" w:hanging="0"/>
        <w:jc w:val="left"/>
        <w:rPr>
          <w:rFonts w:ascii="Arial" w:hAnsi="Arial"/>
          <w:i/>
          <w:color w:val="000000"/>
          <w:sz w:val="18"/>
        </w:rPr>
      </w:pPr>
      <w:r>
        <w:rPr>
          <w:rFonts w:ascii="Arial" w:hAnsi="Arial"/>
          <w:i/>
          <w:color w:val="000000"/>
          <w:sz w:val="18"/>
        </w:rPr>
        <w:t>Initial Award</w:t>
      </w:r>
      <w:r>
        <w:rPr>
          <w:rFonts w:ascii="Arial" w:hAnsi="Arial"/>
          <w:i w:val="false"/>
          <w:caps w:val="false"/>
          <w:smallCaps w:val="false"/>
          <w:color w:val="000000"/>
          <w:sz w:val="18"/>
        </w:rPr>
        <w:t>. Pursuant to our amended and restated outside director compensation policy, each person who becomes a non-employee director will receive, on the first trading day on or after the date that the person first becomes a non-employee director, an initial award (the “Initial Award”), of stock options to purchase 41,800 shares of our common stock. The Initial Award vests in equal installments as to 1/36</w:t>
      </w:r>
      <w:r>
        <w:rPr>
          <w:rFonts w:ascii="Arial" w:hAnsi="Arial"/>
          <w:i w:val="false"/>
          <w:caps w:val="false"/>
          <w:smallCaps w:val="false"/>
          <w:color w:val="000000"/>
          <w:position w:val="6"/>
          <w:sz w:val="14"/>
          <w:sz w:val="18"/>
        </w:rPr>
        <w:t>th</w:t>
      </w:r>
      <w:r>
        <w:rPr>
          <w:rFonts w:ascii="Arial" w:hAnsi="Arial"/>
          <w:i w:val="false"/>
          <w:caps w:val="false"/>
          <w:smallCaps w:val="false"/>
          <w:color w:val="000000"/>
          <w:sz w:val="18"/>
        </w:rPr>
        <w:t xml:space="preserve"> of the shares of our common stock subject to the Initial Award on a monthly basis following the Initial Award’s grant date, on the same day of the month as the grant date, subject to continued services to us through the applicable vesting dates. If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53" w:name="ny20044300x2_def14a_106-board_pg14"/>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Board of Directors and Corporate Governance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person was a member of our board of directors and also an employee, then becoming a non-employee director due to termination of employment will not entitle the person to an Initial Award.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Annual Award</w:t>
      </w:r>
      <w:r>
        <w:rPr>
          <w:rFonts w:ascii="Arial" w:hAnsi="Arial"/>
          <w:i w:val="false"/>
          <w:caps w:val="false"/>
          <w:smallCaps w:val="false"/>
          <w:color w:val="000000"/>
          <w:sz w:val="18"/>
        </w:rPr>
        <w:t xml:space="preserve">. Pursuant to our amended and restated outside director compensation policy, each non-employee director automatically receives, on the first trading day immediately after the date of each annual meeting of our stockholders, an annual award (the “Annual Award”) of stock options to purchase 20,900 shares of our common stock. If, as of the date of the applicable annual meeting, such director has not been in continuous service as a non-employee director since the date of the most recently preceding annual meeting, their first annual award will be prorated and equal to the product of 20,900 multiplied by the quotient of (1) the number of whole months of continuous service as a non-employee director completed as of the date of such annual meeting divided by (2) 12, rounded down to the nearest whole share (up to a maximum of 20,900 shares). Each Annual Award vests on the earlier of the one-year anniversary of the grant date, or the day immediately before the day of the next annual meeting of our stockholders that occurs after the grant date of the Annual Award, subject to continued service to us through the applicable vesting date.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Change in Control</w:t>
      </w:r>
      <w:r>
        <w:rPr>
          <w:rFonts w:ascii="Arial" w:hAnsi="Arial"/>
          <w:i w:val="false"/>
          <w:caps w:val="false"/>
          <w:smallCaps w:val="false"/>
          <w:color w:val="000000"/>
          <w:sz w:val="18"/>
        </w:rPr>
        <w:t xml:space="preserve">. In the event of a “Change in Control” (as defined in our 2020 Equity Incentive Plan), each non-employee director’s then outstanding equity awards covering shares of our common stock will accelerate vesting in full, provided that he or she remains a non-employee director through the date of the Change in Control.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Other Award Terms</w:t>
      </w:r>
      <w:r>
        <w:rPr>
          <w:rFonts w:ascii="Arial" w:hAnsi="Arial"/>
          <w:i w:val="false"/>
          <w:caps w:val="false"/>
          <w:smallCaps w:val="false"/>
          <w:color w:val="000000"/>
          <w:sz w:val="18"/>
        </w:rPr>
        <w:t xml:space="preserve">. Each Initial Award and Annual Award will be granted under our 2020 Equity Incentive Plan (or its successor plan, as applicable) and form of award agreement under such plan. These awards will have a maximum term to expiration of 10 years from their grant and a per share exercise price equal to 100% of the fair market value of a share of our common stock on the award’s grant date.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Director Compensation Limits</w:t>
      </w:r>
      <w:r>
        <w:rPr>
          <w:rFonts w:ascii="Arial" w:hAnsi="Arial"/>
          <w:i w:val="false"/>
          <w:caps w:val="false"/>
          <w:smallCaps w:val="false"/>
          <w:color w:val="000000"/>
          <w:sz w:val="18"/>
        </w:rPr>
        <w:t xml:space="preserve">. Our amended and restated outside director compensation policy provides that in any fiscal year, a 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of the Company (other than a non-employee director), or granted or provided prior to the effective date of the registration statement relating to our initial public offering, do not count toward this annual limit.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54" w:name="ny20044300x2_def14a_107-prop1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 w:hAnsi="Arial"/>
          <w:b/>
          <w:color w:val="F8991D"/>
          <w:sz w:val="24"/>
        </w:rPr>
      </w:pPr>
      <w:r>
        <w:rPr>
          <w:rFonts w:ascii="Arial" w:hAnsi="Arial"/>
          <w:b/>
          <w:color w:val="F8991D"/>
          <w:sz w:val="24"/>
        </w:rPr>
        <w:t>ELECTION OF CLASS II DIRECTORS</w:t>
      </w:r>
    </w:p>
    <w:p>
      <w:pPr>
        <w:pStyle w:val="TextBody"/>
        <w:bidi w:val="0"/>
        <w:spacing w:before="80" w:after="283"/>
        <w:ind w:left="0" w:right="0" w:hanging="0"/>
        <w:jc w:val="left"/>
        <w:rPr>
          <w:rFonts w:ascii="Times;Georgia" w:hAnsi="Times;Georgia"/>
          <w:color w:val="255993"/>
          <w:sz w:val="64"/>
        </w:rPr>
      </w:pPr>
      <w:bookmarkStart w:id="55" w:name="tPROP1"/>
      <w:bookmarkEnd w:id="55"/>
      <w:r>
        <w:rPr>
          <w:rFonts w:ascii="Times;Georgia" w:hAnsi="Times;Georgia"/>
          <w:color w:val="255993"/>
          <w:sz w:val="64"/>
        </w:rPr>
        <w:t xml:space="preserve">Proposal One </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Our board of directors currently consists of eight directors and is divided into three classes with staggered three-year terms. At the Annual Meeting, three Class II directors of the Company will be elected for a three-year term to succeed the same class whose term is then expiring, each to continue until his respective successor is elected and qualified, or until his earlier death, resignation or removal. </w:t>
      </w:r>
    </w:p>
    <w:p>
      <w:pPr>
        <w:pStyle w:val="TextBody"/>
        <w:bidi w:val="0"/>
        <w:spacing w:before="280" w:after="283"/>
        <w:ind w:left="0" w:right="0" w:hanging="0"/>
        <w:jc w:val="left"/>
        <w:rPr>
          <w:rFonts w:ascii="Arial" w:hAnsi="Arial"/>
          <w:b/>
          <w:color w:val="F8991D"/>
          <w:sz w:val="20"/>
        </w:rPr>
      </w:pPr>
      <w:bookmarkStart w:id="56" w:name="tNOMI"/>
      <w:bookmarkEnd w:id="56"/>
      <w:r>
        <w:rPr>
          <w:rFonts w:ascii="Arial" w:hAnsi="Arial"/>
          <w:b/>
          <w:color w:val="F8991D"/>
          <w:sz w:val="20"/>
        </w:rPr>
        <w:t xml:space="preserve">NOMINEES </w:t>
      </w:r>
    </w:p>
    <w:p>
      <w:pPr>
        <w:pStyle w:val="TextBody"/>
        <w:bidi w:val="0"/>
        <w:spacing w:before="160" w:after="283"/>
        <w:ind w:left="0" w:right="0" w:hanging="0"/>
        <w:jc w:val="left"/>
        <w:rPr>
          <w:rFonts w:ascii="Arial" w:hAnsi="Arial"/>
          <w:color w:val="000000"/>
          <w:sz w:val="18"/>
        </w:rPr>
      </w:pPr>
      <w:r>
        <w:rPr>
          <w:rFonts w:ascii="Arial" w:hAnsi="Arial"/>
          <w:color w:val="000000"/>
          <w:sz w:val="18"/>
        </w:rPr>
        <w:t>Our nominating and corporate governance committee has recommended, and our board of directors has approved, Joseph Edelman, John M. Fluke, Jr., and Grant Pickering as nominees for election as Class II directors of the Company at the Annual Meeting. We believe that the nominees bring valuable experience and perspective to our board of directors. For more information concerning the nominees, please see the section titled “</w:t>
      </w:r>
      <w:r>
        <w:rPr>
          <w:rFonts w:ascii="Arial" w:hAnsi="Arial"/>
          <w:i/>
          <w:color w:val="000000"/>
          <w:sz w:val="18"/>
        </w:rPr>
        <w:t>Board of Directors and Corporate Governance.</w:t>
      </w:r>
      <w:r>
        <w:rPr>
          <w:rFonts w:ascii="Arial" w:hAnsi="Arial"/>
          <w:color w:val="000000"/>
          <w:sz w:val="18"/>
        </w:rPr>
        <w:t xml:space="preserve">” </w:t>
      </w:r>
    </w:p>
    <w:p>
      <w:pPr>
        <w:pStyle w:val="TextBody"/>
        <w:bidi w:val="0"/>
        <w:spacing w:before="160" w:after="283"/>
        <w:ind w:left="0" w:right="0" w:hanging="0"/>
        <w:jc w:val="left"/>
        <w:rPr>
          <w:rFonts w:ascii="Arial" w:hAnsi="Arial"/>
          <w:b/>
          <w:color w:val="255993"/>
          <w:sz w:val="18"/>
        </w:rPr>
      </w:pPr>
      <w:r>
        <w:rPr>
          <w:rFonts w:ascii="Arial" w:hAnsi="Arial"/>
          <w:b/>
          <w:color w:val="255993"/>
          <w:sz w:val="18"/>
        </w:rPr>
        <w:t xml:space="preserve">Mr. Edelman, Mr. Fluke </w:t>
      </w:r>
      <w:r>
        <w:rPr>
          <w:rFonts w:ascii="Arial" w:hAnsi="Arial"/>
          <w:b w:val="false"/>
          <w:color w:val="000000"/>
          <w:sz w:val="18"/>
        </w:rPr>
        <w:t>and</w:t>
      </w:r>
      <w:r>
        <w:rPr>
          <w:rFonts w:ascii="Arial" w:hAnsi="Arial"/>
          <w:b/>
          <w:color w:val="255993"/>
          <w:sz w:val="18"/>
        </w:rPr>
        <w:t xml:space="preserve"> Mr. Pickering </w:t>
      </w:r>
      <w:r>
        <w:rPr>
          <w:rFonts w:ascii="Arial" w:hAnsi="Arial"/>
          <w:b w:val="false"/>
          <w:color w:val="000000"/>
          <w:sz w:val="18"/>
        </w:rPr>
        <w:t xml:space="preserve">have agreed to serve as directors if elected, and management has no reason to believe that they will be unavailable to serve. In the event that a nominee is unable or declines to serve as a director at the time of the Annual Meeting, proxies will be voted for any nominee designated by the board of directors to fill the vacancy. </w:t>
      </w:r>
    </w:p>
    <w:p>
      <w:pPr>
        <w:pStyle w:val="TextBody"/>
        <w:bidi w:val="0"/>
        <w:spacing w:before="280" w:after="283"/>
        <w:ind w:left="0" w:right="0" w:hanging="0"/>
        <w:jc w:val="left"/>
        <w:rPr>
          <w:rFonts w:ascii="Arial" w:hAnsi="Arial"/>
          <w:b/>
          <w:color w:val="F8991D"/>
          <w:sz w:val="20"/>
        </w:rPr>
      </w:pPr>
      <w:bookmarkStart w:id="57" w:name="tVR"/>
      <w:bookmarkEnd w:id="57"/>
      <w:r>
        <w:rPr>
          <w:rFonts w:ascii="Arial" w:hAnsi="Arial"/>
          <w:b/>
          <w:color w:val="F8991D"/>
          <w:sz w:val="20"/>
        </w:rPr>
        <w:t>VOTE REQUIRED</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Each director is elected by a plurality of the voting power of the shares present or represented by proxy at the Annual Meeting and entitled to vote on the election of directors. A plurality means that the nominees with the largest number of </w:t>
      </w:r>
      <w:r>
        <w:rPr>
          <w:rFonts w:ascii="Arial" w:hAnsi="Arial"/>
          <w:b/>
          <w:color w:val="255993"/>
          <w:sz w:val="18"/>
        </w:rPr>
        <w:t>FOR</w:t>
      </w:r>
      <w:r>
        <w:rPr>
          <w:rFonts w:ascii="Arial" w:hAnsi="Arial"/>
          <w:color w:val="000000"/>
          <w:sz w:val="18"/>
        </w:rPr>
        <w:t xml:space="preserve"> votes are elected as directors. Because the outcome of this proposal will be determined by a plurality vote, any shares not voted </w:t>
      </w:r>
      <w:r>
        <w:rPr>
          <w:rFonts w:ascii="Arial" w:hAnsi="Arial"/>
          <w:b/>
          <w:color w:val="255993"/>
          <w:sz w:val="18"/>
        </w:rPr>
        <w:t>FOR</w:t>
      </w:r>
      <w:r>
        <w:rPr>
          <w:rFonts w:ascii="Arial" w:hAnsi="Arial"/>
          <w:color w:val="000000"/>
          <w:sz w:val="18"/>
        </w:rPr>
        <w:t xml:space="preserve"> a particular nominee, whether as a result of a </w:t>
      </w:r>
      <w:r>
        <w:rPr>
          <w:rFonts w:ascii="Arial" w:hAnsi="Arial"/>
          <w:b/>
          <w:color w:val="255993"/>
          <w:sz w:val="18"/>
        </w:rPr>
        <w:t>WITHHOLD</w:t>
      </w:r>
      <w:r>
        <w:rPr>
          <w:rFonts w:ascii="Arial" w:hAnsi="Arial"/>
          <w:color w:val="000000"/>
          <w:sz w:val="18"/>
        </w:rPr>
        <w:t xml:space="preserve"> vote or a broker non-vote, will have no effect on the outcome of the election. </w:t>
      </w:r>
    </w:p>
    <w:p>
      <w:pPr>
        <w:pStyle w:val="Normal"/>
        <w:bidi w:val="0"/>
        <w:spacing w:before="0" w:after="0"/>
        <w:jc w:val="left"/>
        <w:rPr>
          <w:sz w:val="4"/>
          <w:szCs w:val="4"/>
        </w:rPr>
      </w:pPr>
      <w:r>
        <w:rPr>
          <w:sz w:val="4"/>
          <w:szCs w:val="4"/>
        </w:rPr>
      </w:r>
      <w:bookmarkStart w:id="58" w:name="tBOR"/>
      <w:bookmarkStart w:id="59" w:name="tBOR"/>
      <w:bookmarkEnd w:id="59"/>
    </w:p>
    <w:tbl>
      <w:tblPr>
        <w:tblW w:w="9095" w:type="dxa"/>
        <w:jc w:val="left"/>
        <w:tblInd w:w="0" w:type="dxa"/>
        <w:tblLayout w:type="fixed"/>
        <w:tblCellMar>
          <w:top w:w="0" w:type="dxa"/>
          <w:left w:w="0" w:type="dxa"/>
          <w:bottom w:w="0" w:type="dxa"/>
          <w:right w:w="28" w:type="dxa"/>
        </w:tblCellMar>
      </w:tblPr>
      <w:tblGrid>
        <w:gridCol w:w="585"/>
        <w:gridCol w:w="8510"/>
      </w:tblGrid>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8510"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restart"/>
            <w:tcBorders>
              <w:right w:val="single" w:sz="16" w:space="0" w:color="FFFFFF"/>
            </w:tcBorders>
            <w:shd w:fill="255993" w:val="clear"/>
            <w:vAlign w:val="center"/>
          </w:tcPr>
          <w:p>
            <w:pPr>
              <w:pStyle w:val="TableContents"/>
              <w:bidi w:val="0"/>
              <w:spacing w:before="0" w:after="283"/>
              <w:jc w:val="center"/>
              <w:rPr>
                <w:color w:val="000000"/>
              </w:rPr>
            </w:pPr>
            <w:r>
              <w:rPr>
                <w:color w:val="000000"/>
              </w:rPr>
              <w:drawing>
                <wp:inline distT="0" distB="0" distL="0" distR="0">
                  <wp:extent cx="342900" cy="333375"/>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7"/>
                          <a:stretch>
                            <a:fillRect/>
                          </a:stretch>
                        </pic:blipFill>
                        <pic:spPr bwMode="auto">
                          <a:xfrm>
                            <a:off x="0" y="0"/>
                            <a:ext cx="3429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8510" w:type="dxa"/>
            <w:tcBorders/>
            <w:shd w:fill="EBEBEB" w:val="clear"/>
            <w:tcMar>
              <w:right w:w="0" w:type="dxa"/>
            </w:tcMar>
            <w:vAlign w:val="center"/>
          </w:tcPr>
          <w:p>
            <w:pPr>
              <w:pStyle w:val="TableContents"/>
              <w:bidi w:val="0"/>
              <w:spacing w:before="0" w:after="283"/>
              <w:ind w:left="24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Board Recommendation </w:t>
            </w:r>
          </w:p>
        </w:tc>
      </w:tr>
      <w:tr>
        <w:trPr/>
        <w:tc>
          <w:tcPr>
            <w:tcW w:w="585" w:type="dxa"/>
            <w:vMerge w:val="continue"/>
            <w:tcBorders>
              <w:right w:val="single" w:sz="16" w:space="0" w:color="FFFFFF"/>
            </w:tcBorders>
            <w:shd w:fill="255993" w:val="clear"/>
            <w:vAlign w:val="center"/>
          </w:tcPr>
          <w:p>
            <w:pPr>
              <w:pStyle w:val="Normal"/>
              <w:bidi w:val="0"/>
              <w:jc w:val="left"/>
              <w:rPr/>
            </w:pPr>
            <w:r>
              <w:rPr/>
            </w:r>
          </w:p>
        </w:tc>
        <w:tc>
          <w:tcPr>
            <w:tcW w:w="8510" w:type="dxa"/>
            <w:tcBorders/>
            <w:shd w:fill="EBEBEB" w:val="clear"/>
            <w:tcMar>
              <w:right w:w="0" w:type="dxa"/>
            </w:tcMar>
            <w:vAlign w:val="center"/>
          </w:tcPr>
          <w:p>
            <w:pPr>
              <w:pStyle w:val="TableContents"/>
              <w:bidi w:val="0"/>
              <w:spacing w:before="0" w:after="283"/>
              <w:ind w:left="240" w:right="0" w:hanging="0"/>
              <w:jc w:val="left"/>
              <w:rPr>
                <w:rFonts w:ascii="Arial" w:hAnsi="Arial"/>
                <w:color w:val="255993"/>
                <w:sz w:val="16"/>
              </w:rPr>
            </w:pPr>
            <w:r>
              <w:rPr>
                <w:rFonts w:ascii="Arial" w:hAnsi="Arial"/>
                <w:color w:val="255993"/>
                <w:sz w:val="16"/>
              </w:rPr>
              <w:t>The Board of Directors unanimously recommends that stockholders vote “</w:t>
            </w:r>
            <w:r>
              <w:rPr>
                <w:rFonts w:ascii="Arial" w:hAnsi="Arial"/>
                <w:b/>
                <w:color w:val="255993"/>
                <w:sz w:val="16"/>
              </w:rPr>
              <w:t xml:space="preserve">FOR” </w:t>
            </w:r>
            <w:r>
              <w:rPr>
                <w:rFonts w:ascii="Arial" w:hAnsi="Arial"/>
                <w:color w:val="255993"/>
                <w:sz w:val="16"/>
              </w:rPr>
              <w:t>each of the nominees listed above.</w:t>
            </w:r>
          </w:p>
        </w:tc>
      </w:tr>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8510" w:type="dxa"/>
            <w:tcBorders/>
            <w:shd w:fill="EBEBEB" w:val="clear"/>
            <w:tcMar>
              <w:right w:w="0" w:type="dxa"/>
            </w:tcMar>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60" w:name="ny20044300x2_def14a_108-prop2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 w:hAnsi="Arial"/>
          <w:b/>
          <w:color w:val="F8991D"/>
          <w:sz w:val="24"/>
        </w:rPr>
      </w:pPr>
      <w:r>
        <w:rPr>
          <w:rFonts w:ascii="Arial" w:hAnsi="Arial"/>
          <w:b/>
          <w:color w:val="F8991D"/>
          <w:sz w:val="24"/>
        </w:rPr>
        <w:t xml:space="preserve">RATIFICATION OF APPOINTMENT OF INDEPENDENT REGISTERED PUBLIC </w:t>
      </w:r>
    </w:p>
    <w:p>
      <w:pPr>
        <w:pStyle w:val="TextBody"/>
        <w:bidi w:val="0"/>
        <w:spacing w:before="0" w:after="283"/>
        <w:ind w:left="0" w:right="0" w:hanging="0"/>
        <w:jc w:val="left"/>
        <w:rPr>
          <w:rFonts w:ascii="Arial" w:hAnsi="Arial"/>
          <w:b/>
          <w:color w:val="F8991D"/>
          <w:sz w:val="24"/>
        </w:rPr>
      </w:pPr>
      <w:r>
        <w:rPr>
          <w:rFonts w:ascii="Arial" w:hAnsi="Arial"/>
          <w:b/>
          <w:color w:val="F8991D"/>
          <w:sz w:val="24"/>
        </w:rPr>
        <w:t xml:space="preserve">ACCOUNTING FIRM </w:t>
      </w:r>
    </w:p>
    <w:p>
      <w:pPr>
        <w:pStyle w:val="TextBody"/>
        <w:bidi w:val="0"/>
        <w:spacing w:before="120" w:after="283"/>
        <w:ind w:left="0" w:right="0" w:hanging="0"/>
        <w:jc w:val="left"/>
        <w:rPr>
          <w:rFonts w:ascii="Times;Georgia" w:hAnsi="Times;Georgia"/>
          <w:color w:val="255993"/>
          <w:sz w:val="64"/>
        </w:rPr>
      </w:pPr>
      <w:bookmarkStart w:id="61" w:name="tPROP2"/>
      <w:bookmarkEnd w:id="61"/>
      <w:r>
        <w:rPr>
          <w:rFonts w:ascii="Times;Georgia" w:hAnsi="Times;Georgia"/>
          <w:color w:val="255993"/>
          <w:sz w:val="64"/>
        </w:rPr>
        <w:t xml:space="preserve">Proposal Two </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Our audit committee has appointed Ernst &amp; Young LLP as our independent registered public accounting firm to audit our consolidated financial statements for our fiscal year ending December 31, 2025. Ernst &amp; Young LLP served as our independent registered public accounting firm for the fiscal year ended December 31, 2024.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At the Annual Meeting, we are asking our stockholders to ratify the appointment of Ernst &amp; Young LLP as our independent registered public accounting firm for our fiscal year ending December 31, 2025.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and are expected to be available to respond to appropriate questions from our stockholders. </w:t>
      </w:r>
    </w:p>
    <w:p>
      <w:pPr>
        <w:pStyle w:val="TextBody"/>
        <w:bidi w:val="0"/>
        <w:spacing w:before="280" w:after="283"/>
        <w:ind w:left="0" w:right="0" w:hanging="0"/>
        <w:jc w:val="left"/>
        <w:rPr>
          <w:rFonts w:ascii="Arial" w:hAnsi="Arial"/>
          <w:b/>
          <w:color w:val="F8991D"/>
          <w:sz w:val="20"/>
        </w:rPr>
      </w:pPr>
      <w:bookmarkStart w:id="62" w:name="tFPIR"/>
      <w:bookmarkEnd w:id="62"/>
      <w:r>
        <w:rPr>
          <w:rFonts w:ascii="Arial" w:hAnsi="Arial"/>
          <w:b/>
          <w:color w:val="F8991D"/>
          <w:sz w:val="20"/>
        </w:rPr>
        <w:t xml:space="preserve">FEES PAID TO THE INDEPENDENT REGISTERED PUBLIC ACCOUNTING FIRM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following table presents fees for professional audit services and other services rendered to us by Ernst &amp; Young LLP for our fiscal years ended December 31, 2024 and 2023 (in thousands): </w:t>
      </w:r>
    </w:p>
    <w:tbl>
      <w:tblPr>
        <w:tblW w:w="4557" w:type="dxa"/>
        <w:jc w:val="left"/>
        <w:tblInd w:w="0" w:type="dxa"/>
        <w:tblLayout w:type="fixed"/>
        <w:tblCellMar>
          <w:top w:w="0" w:type="dxa"/>
          <w:left w:w="0" w:type="dxa"/>
          <w:bottom w:w="0" w:type="dxa"/>
          <w:right w:w="0" w:type="dxa"/>
        </w:tblCellMar>
      </w:tblPr>
      <w:tblGrid>
        <w:gridCol w:w="185"/>
        <w:gridCol w:w="1490"/>
        <w:gridCol w:w="170"/>
        <w:gridCol w:w="170"/>
        <w:gridCol w:w="826"/>
        <w:gridCol w:w="298"/>
        <w:gridCol w:w="298"/>
        <w:gridCol w:w="905"/>
        <w:gridCol w:w="215"/>
      </w:tblGrid>
      <w:tr>
        <w:trPr/>
        <w:tc>
          <w:tcPr>
            <w:tcW w:w="185" w:type="dxa"/>
            <w:tcBorders/>
            <w:shd w:fill="255993" w:val="clear"/>
            <w:vAlign w:val="center"/>
          </w:tcPr>
          <w:p>
            <w:pPr>
              <w:pStyle w:val="TableContents"/>
              <w:bidi w:val="0"/>
              <w:spacing w:before="0" w:after="0"/>
              <w:jc w:val="left"/>
              <w:rPr/>
            </w:pPr>
            <w:r>
              <w:rPr/>
              <w:t> </w:t>
            </w:r>
          </w:p>
        </w:tc>
        <w:tc>
          <w:tcPr>
            <w:tcW w:w="149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2327" w:type="dxa"/>
            <w:gridSpan w:val="4"/>
            <w:tcBorders/>
            <w:shd w:fill="255993" w:val="clear"/>
            <w:vAlign w:val="center"/>
          </w:tcPr>
          <w:p>
            <w:pPr>
              <w:pStyle w:val="TableContents"/>
              <w:bidi w:val="0"/>
              <w:spacing w:before="0" w:after="0"/>
              <w:jc w:val="left"/>
              <w:rPr/>
            </w:pPr>
            <w:r>
              <w:rPr/>
              <w:t> </w:t>
            </w:r>
          </w:p>
        </w:tc>
        <w:tc>
          <w:tcPr>
            <w:tcW w:w="215" w:type="dxa"/>
            <w:tcBorders/>
            <w:shd w:fill="255993" w:val="clear"/>
            <w:vAlign w:val="center"/>
          </w:tcPr>
          <w:p>
            <w:pPr>
              <w:pStyle w:val="TableContents"/>
              <w:bidi w:val="0"/>
              <w:spacing w:before="0" w:after="0"/>
              <w:jc w:val="left"/>
              <w:rPr/>
            </w:pPr>
            <w:r>
              <w:rPr/>
              <w:t> </w:t>
            </w:r>
          </w:p>
        </w:tc>
      </w:tr>
      <w:tr>
        <w:trPr/>
        <w:tc>
          <w:tcPr>
            <w:tcW w:w="185" w:type="dxa"/>
            <w:vMerge w:val="restart"/>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490" w:type="dxa"/>
            <w:vMerge w:val="restart"/>
            <w:tcBorders>
              <w:bottom w:val="single" w:sz="8" w:space="0" w:color="FFFFFF"/>
            </w:tcBorders>
            <w:shd w:fill="255993" w:val="clear"/>
            <w:tcMar>
              <w:bottom w:w="90" w:type="dxa"/>
            </w:tcMar>
            <w:vAlign w:val="center"/>
          </w:tcPr>
          <w:p>
            <w:pPr>
              <w:pStyle w:val="TableContents"/>
              <w:bidi w:val="0"/>
              <w:spacing w:before="0" w:after="283"/>
              <w:ind w:left="70" w:right="0" w:hanging="0"/>
              <w:jc w:val="left"/>
              <w:rPr>
                <w:color w:val="FFFFFF"/>
              </w:rPr>
            </w:pPr>
            <w:r>
              <w:rPr>
                <w:color w:val="FFFFFF"/>
              </w:rPr>
              <w:t> </w:t>
            </w:r>
          </w:p>
        </w:tc>
        <w:tc>
          <w:tcPr>
            <w:tcW w:w="170" w:type="dxa"/>
            <w:vMerge w:val="restart"/>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2327" w:type="dxa"/>
            <w:gridSpan w:val="4"/>
            <w:tcBorders>
              <w:bottom w:val="single" w:sz="8" w:space="0" w:color="FFFFFF"/>
            </w:tcBorders>
            <w:shd w:fill="255993" w:val="clear"/>
            <w:tcMar>
              <w:bottom w:w="6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Year Ended December 31, </w:t>
            </w:r>
          </w:p>
        </w:tc>
        <w:tc>
          <w:tcPr>
            <w:tcW w:w="215" w:type="dxa"/>
            <w:tcBorders/>
            <w:shd w:fill="255993" w:val="clear"/>
            <w:vAlign w:val="center"/>
          </w:tcPr>
          <w:p>
            <w:pPr>
              <w:pStyle w:val="TableContents"/>
              <w:bidi w:val="0"/>
              <w:spacing w:before="0" w:after="0"/>
              <w:jc w:val="left"/>
              <w:rPr/>
            </w:pPr>
            <w:r>
              <w:rPr/>
              <w:t> </w:t>
            </w:r>
          </w:p>
        </w:tc>
      </w:tr>
      <w:tr>
        <w:trPr/>
        <w:tc>
          <w:tcPr>
            <w:tcW w:w="185"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490" w:type="dxa"/>
            <w:vMerge w:val="continue"/>
            <w:tcBorders>
              <w:bottom w:val="single" w:sz="8" w:space="0" w:color="FFFFFF"/>
            </w:tcBorders>
            <w:shd w:fill="255993" w:val="clear"/>
            <w:tcMar>
              <w:bottom w:w="90" w:type="dxa"/>
            </w:tcMar>
            <w:vAlign w:val="center"/>
          </w:tcPr>
          <w:p>
            <w:pPr>
              <w:pStyle w:val="Normal"/>
              <w:bidi w:val="0"/>
              <w:jc w:val="left"/>
              <w:rPr/>
            </w:pPr>
            <w:r>
              <w:rPr/>
            </w:r>
          </w:p>
        </w:tc>
        <w:tc>
          <w:tcPr>
            <w:tcW w:w="170"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826"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2024</w:t>
            </w:r>
          </w:p>
        </w:tc>
        <w:tc>
          <w:tcPr>
            <w:tcW w:w="298"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298"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905"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2023 </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90" w:type="dxa"/>
            <w:tcBorders>
              <w:bottom w:val="single" w:sz="8" w:space="0" w:color="FFFFFF"/>
            </w:tcBorders>
            <w:shd w:fill="EBEBEB"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Audit fees</w:t>
            </w:r>
            <w:r>
              <w:rPr>
                <w:rFonts w:ascii="Arial" w:hAnsi="Arial"/>
                <w:color w:val="000000"/>
                <w:position w:val="5"/>
                <w:sz w:val="13"/>
                <w:sz w:val="16"/>
              </w:rPr>
              <w:t>(1)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26"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w:t>
            </w:r>
            <w:r>
              <w:rPr>
                <w:rFonts w:ascii="Arial" w:hAnsi="Arial"/>
                <w:color w:val="000000"/>
                <w:sz w:val="16"/>
              </w:rPr>
              <w:t>$832</w:t>
            </w:r>
          </w:p>
        </w:tc>
        <w:tc>
          <w:tcPr>
            <w:tcW w:w="298"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298"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0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$639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90" w:type="dxa"/>
            <w:tcBorders>
              <w:bottom w:val="single" w:sz="8" w:space="0" w:color="FFFFFF"/>
            </w:tcBorders>
            <w:shd w:fill="FAFAFA"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Audit-related fees</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26" w:type="dxa"/>
            <w:tcBorders>
              <w:bottom w:val="single" w:sz="8" w:space="0" w:color="FFFFFF"/>
            </w:tcBorders>
            <w:shd w:fill="FAFAFA" w:val="clear"/>
            <w:tcMar>
              <w:bottom w:w="93" w:type="dxa"/>
            </w:tcMar>
            <w:vAlign w:val="center"/>
          </w:tcPr>
          <w:p>
            <w:pPr>
              <w:pStyle w:val="TableContents"/>
              <w:bidi w:val="0"/>
              <w:spacing w:before="0" w:after="283"/>
              <w:jc w:val="right"/>
              <w:rPr>
                <w:color w:val="000000"/>
              </w:rPr>
            </w:pPr>
            <w:r>
              <w:rPr>
                <w:color w:val="000000"/>
              </w:rPr>
              <w:t>—</w:t>
            </w:r>
          </w:p>
        </w:tc>
        <w:tc>
          <w:tcPr>
            <w:tcW w:w="298"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98"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05" w:type="dxa"/>
            <w:tcBorders>
              <w:bottom w:val="single" w:sz="8" w:space="0" w:color="FFFFFF"/>
            </w:tcBorders>
            <w:shd w:fill="FAFAFA" w:val="clear"/>
            <w:tcMar>
              <w:bottom w:w="93"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90" w:type="dxa"/>
            <w:tcBorders>
              <w:bottom w:val="single" w:sz="8" w:space="0" w:color="FFFFFF"/>
            </w:tcBorders>
            <w:shd w:fill="EBEBEB"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Tax fees</w:t>
            </w:r>
            <w:r>
              <w:rPr>
                <w:rFonts w:ascii="Arial" w:hAnsi="Arial"/>
                <w:color w:val="000000"/>
                <w:position w:val="5"/>
                <w:sz w:val="13"/>
                <w:sz w:val="16"/>
              </w:rPr>
              <w:t>(3)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26"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w:t>
            </w:r>
          </w:p>
        </w:tc>
        <w:tc>
          <w:tcPr>
            <w:tcW w:w="298"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298"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05"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90" w:type="dxa"/>
            <w:tcBorders>
              <w:bottom w:val="single" w:sz="8" w:space="0" w:color="FFFFFF"/>
            </w:tcBorders>
            <w:shd w:fill="FAFAFA"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All other fees</w:t>
            </w:r>
            <w:r>
              <w:rPr>
                <w:rFonts w:ascii="Arial" w:hAnsi="Arial"/>
                <w:color w:val="000000"/>
                <w:position w:val="5"/>
                <w:sz w:val="13"/>
                <w:sz w:val="16"/>
              </w:rPr>
              <w:t>(4)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26" w:type="dxa"/>
            <w:tcBorders>
              <w:bottom w:val="single" w:sz="8" w:space="0" w:color="FFFFFF"/>
            </w:tcBorders>
            <w:shd w:fill="FAFAFA" w:val="clear"/>
            <w:tcMar>
              <w:bottom w:w="93" w:type="dxa"/>
            </w:tcMar>
            <w:vAlign w:val="center"/>
          </w:tcPr>
          <w:p>
            <w:pPr>
              <w:pStyle w:val="TableContents"/>
              <w:bidi w:val="0"/>
              <w:spacing w:before="0" w:after="283"/>
              <w:jc w:val="right"/>
              <w:rPr>
                <w:color w:val="000000"/>
              </w:rPr>
            </w:pPr>
            <w:r>
              <w:rPr>
                <w:color w:val="000000"/>
              </w:rPr>
              <w:t>—</w:t>
            </w:r>
          </w:p>
        </w:tc>
        <w:tc>
          <w:tcPr>
            <w:tcW w:w="298"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98"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05" w:type="dxa"/>
            <w:tcBorders>
              <w:bottom w:val="single" w:sz="8" w:space="0" w:color="FFFFFF"/>
            </w:tcBorders>
            <w:shd w:fill="FAFAFA" w:val="clear"/>
            <w:tcMar>
              <w:bottom w:w="93"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1490" w:type="dxa"/>
            <w:tcBorders/>
            <w:shd w:fill="EBEBEB" w:val="cle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Total fees</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826" w:type="dxa"/>
            <w:tcBorders/>
            <w:shd w:fill="EBEBEB" w:val="clear"/>
            <w:vAlign w:val="center"/>
          </w:tcPr>
          <w:p>
            <w:pPr>
              <w:pStyle w:val="TableContents"/>
              <w:bidi w:val="0"/>
              <w:spacing w:before="0" w:after="283"/>
              <w:jc w:val="right"/>
              <w:rPr>
                <w:color w:val="000000"/>
              </w:rPr>
            </w:pPr>
            <w:r>
              <w:rPr>
                <w:color w:val="000000"/>
              </w:rPr>
              <w:t>​</w:t>
            </w:r>
            <w:r>
              <w:rPr>
                <w:rFonts w:ascii="Arial" w:hAnsi="Arial"/>
                <w:color w:val="000000"/>
                <w:sz w:val="16"/>
              </w:rPr>
              <w:t>$832</w:t>
            </w:r>
          </w:p>
        </w:tc>
        <w:tc>
          <w:tcPr>
            <w:tcW w:w="298" w:type="dxa"/>
            <w:tcBorders/>
            <w:shd w:fill="EBEBEB" w:val="clear"/>
            <w:vAlign w:val="center"/>
          </w:tcPr>
          <w:p>
            <w:pPr>
              <w:pStyle w:val="TableContents"/>
              <w:bidi w:val="0"/>
              <w:spacing w:before="0" w:after="0"/>
              <w:jc w:val="left"/>
              <w:rPr/>
            </w:pPr>
            <w:r>
              <w:rPr/>
              <w:t> </w:t>
            </w:r>
          </w:p>
        </w:tc>
        <w:tc>
          <w:tcPr>
            <w:tcW w:w="298" w:type="dxa"/>
            <w:tcBorders/>
            <w:shd w:fill="EBEBEB" w:val="clear"/>
            <w:vAlign w:val="center"/>
          </w:tcPr>
          <w:p>
            <w:pPr>
              <w:pStyle w:val="TableContents"/>
              <w:bidi w:val="0"/>
              <w:spacing w:before="0" w:after="0"/>
              <w:jc w:val="left"/>
              <w:rPr/>
            </w:pPr>
            <w:r>
              <w:rPr/>
              <w:t> </w:t>
            </w:r>
          </w:p>
        </w:tc>
        <w:tc>
          <w:tcPr>
            <w:tcW w:w="90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$639</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149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826" w:type="dxa"/>
            <w:tcBorders/>
            <w:shd w:fill="EBEBEB" w:val="clear"/>
            <w:vAlign w:val="center"/>
          </w:tcPr>
          <w:p>
            <w:pPr>
              <w:pStyle w:val="TableContents"/>
              <w:bidi w:val="0"/>
              <w:spacing w:before="0" w:after="0"/>
              <w:jc w:val="left"/>
              <w:rPr/>
            </w:pPr>
            <w:r>
              <w:rPr/>
              <w:t> </w:t>
            </w:r>
          </w:p>
        </w:tc>
        <w:tc>
          <w:tcPr>
            <w:tcW w:w="298" w:type="dxa"/>
            <w:tcBorders/>
            <w:shd w:fill="EBEBEB" w:val="clear"/>
            <w:vAlign w:val="center"/>
          </w:tcPr>
          <w:p>
            <w:pPr>
              <w:pStyle w:val="TableContents"/>
              <w:bidi w:val="0"/>
              <w:spacing w:before="0" w:after="0"/>
              <w:jc w:val="left"/>
              <w:rPr/>
            </w:pPr>
            <w:r>
              <w:rPr/>
              <w:t> </w:t>
            </w:r>
          </w:p>
        </w:tc>
        <w:tc>
          <w:tcPr>
            <w:tcW w:w="298" w:type="dxa"/>
            <w:tcBorders/>
            <w:shd w:fill="EBEBEB" w:val="clear"/>
            <w:vAlign w:val="center"/>
          </w:tcPr>
          <w:p>
            <w:pPr>
              <w:pStyle w:val="TableContents"/>
              <w:bidi w:val="0"/>
              <w:spacing w:before="0" w:after="0"/>
              <w:jc w:val="left"/>
              <w:rPr/>
            </w:pPr>
            <w:r>
              <w:rPr/>
              <w:t> </w:t>
            </w:r>
          </w:p>
        </w:tc>
        <w:tc>
          <w:tcPr>
            <w:tcW w:w="905"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9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Audit fees include fees incurred associated with the annual audit, the reviews of the Company’s interim financial information, consents to documents filed with the SEC, and services provided in connection with the preparation and filing of our registration statements. The amount under Audit Fees for the year ended December 31, 2023 includes a true-up to the final agreed upon billing amount by EY, which represents an increase of approximately $7,000 as compared to the amount of such Audit Fees disclosed in our definitive proxy statement filed with the SEC on April 9, 2024.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6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Audit-related fees include fees for assurance and related services that are reasonably related to the performance of the audit or review of our financial statements. There were no such fees incurred in 2024 or 2023.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5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Tax fees consist of fees for professional services, including tax compliance services and tax advisory services. There were no such fees incurred in 2024 or 2023.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(4)</w:t>
            </w:r>
          </w:p>
        </w:tc>
        <w:tc>
          <w:tcPr>
            <w:tcW w:w="994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All other fees include any fees billed that are not audit fees, audit-related fees or tax fees. There were no such fees incurred in 2024 or 2023.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63" w:name="ny20044300x2_def14a_108-prop2_pg2"/>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Proposal Two</w:t>
      </w:r>
    </w:p>
    <w:p>
      <w:pPr>
        <w:pStyle w:val="TextBody"/>
        <w:bidi w:val="0"/>
        <w:spacing w:before="135" w:after="283"/>
        <w:ind w:left="0" w:right="0" w:hanging="0"/>
        <w:jc w:val="left"/>
        <w:rPr>
          <w:rFonts w:ascii="Arial" w:hAnsi="Arial"/>
          <w:b/>
          <w:color w:val="F8991D"/>
          <w:sz w:val="20"/>
        </w:rPr>
      </w:pPr>
      <w:bookmarkStart w:id="64" w:name="tAUIN"/>
      <w:bookmarkEnd w:id="64"/>
      <w:r>
        <w:rPr>
          <w:rFonts w:ascii="Arial" w:hAnsi="Arial"/>
          <w:b/>
          <w:color w:val="F8991D"/>
          <w:sz w:val="20"/>
        </w:rPr>
        <w:t xml:space="preserve">AUDITOR INDEPENDENCE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2024, there were no other professional services provided by Ernst &amp; Young LLP, other than those listed above, that would have required our audit committee to consider their compatibility with maintaining the independence of Ernst &amp; Young LLP. </w:t>
      </w:r>
    </w:p>
    <w:p>
      <w:pPr>
        <w:pStyle w:val="TextBody"/>
        <w:bidi w:val="0"/>
        <w:spacing w:before="280" w:after="283"/>
        <w:ind w:left="0" w:right="0" w:hanging="0"/>
        <w:jc w:val="left"/>
        <w:rPr>
          <w:rFonts w:ascii="Arial" w:hAnsi="Arial"/>
          <w:b/>
          <w:color w:val="F8991D"/>
          <w:sz w:val="20"/>
        </w:rPr>
      </w:pPr>
      <w:bookmarkStart w:id="65" w:name="tAPAP"/>
      <w:bookmarkEnd w:id="65"/>
      <w:r>
        <w:rPr>
          <w:rFonts w:ascii="Arial" w:hAnsi="Arial"/>
          <w:b/>
          <w:color w:val="F8991D"/>
          <w:sz w:val="20"/>
        </w:rPr>
        <w:t xml:space="preserve">AUDIT COMMITTEE POLICY ON PRE-APPROVAL OF AUDIT AND PERMISSIBLE NON-AUDIT SERVICES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 approval, and the fees for the services performed to date. The audit committee may delegate to the chairperson of the audit committee authority to approve in advance permitted services to be performed by the independent auditor or other registered public accounting firms along with any associated fees.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All services related to the fees described in the table above were pre-approved by our audit committee. </w:t>
      </w:r>
    </w:p>
    <w:p>
      <w:pPr>
        <w:pStyle w:val="TextBody"/>
        <w:bidi w:val="0"/>
        <w:spacing w:before="280" w:after="283"/>
        <w:ind w:left="0" w:right="0" w:hanging="0"/>
        <w:jc w:val="left"/>
        <w:rPr>
          <w:rFonts w:ascii="Arial" w:hAnsi="Arial"/>
          <w:b/>
          <w:color w:val="F8991D"/>
          <w:sz w:val="20"/>
        </w:rPr>
      </w:pPr>
      <w:bookmarkStart w:id="66" w:name="tVR2"/>
      <w:bookmarkEnd w:id="66"/>
      <w:r>
        <w:rPr>
          <w:rFonts w:ascii="Arial" w:hAnsi="Arial"/>
          <w:b/>
          <w:color w:val="F8991D"/>
          <w:sz w:val="20"/>
        </w:rPr>
        <w:t>VOTE REQUIRED</w:t>
      </w:r>
    </w:p>
    <w:p>
      <w:pPr>
        <w:pStyle w:val="TextBody"/>
        <w:bidi w:val="0"/>
        <w:spacing w:before="160" w:after="283"/>
        <w:ind w:left="0" w:right="0" w:hanging="0"/>
        <w:jc w:val="left"/>
        <w:rPr>
          <w:rFonts w:ascii="Arial" w:hAnsi="Arial"/>
          <w:color w:val="000000"/>
          <w:sz w:val="18"/>
        </w:rPr>
      </w:pPr>
      <w:r>
        <w:rPr>
          <w:rFonts w:ascii="Arial" w:hAnsi="Arial"/>
          <w:color w:val="000000"/>
          <w:sz w:val="18"/>
        </w:rPr>
        <w:t>The ratification of the appointment of Ernst &amp; Young LLP as our independent registered public accounting firm for our fiscal year ending December 31, 2025 requires the affirmative vote of a majority of the voting power of the shares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pStyle w:val="Normal"/>
        <w:bidi w:val="0"/>
        <w:spacing w:before="0" w:after="0"/>
        <w:jc w:val="left"/>
        <w:rPr>
          <w:sz w:val="4"/>
          <w:szCs w:val="4"/>
        </w:rPr>
      </w:pPr>
      <w:r>
        <w:rPr>
          <w:sz w:val="4"/>
          <w:szCs w:val="4"/>
        </w:rPr>
      </w:r>
      <w:bookmarkStart w:id="67" w:name="tBRN2"/>
      <w:bookmarkStart w:id="68" w:name="tBRN2"/>
      <w:bookmarkEnd w:id="68"/>
    </w:p>
    <w:tbl>
      <w:tblPr>
        <w:tblW w:w="5420" w:type="dxa"/>
        <w:jc w:val="left"/>
        <w:tblInd w:w="0" w:type="dxa"/>
        <w:tblLayout w:type="fixed"/>
        <w:tblCellMar>
          <w:top w:w="0" w:type="dxa"/>
          <w:left w:w="0" w:type="dxa"/>
          <w:bottom w:w="0" w:type="dxa"/>
          <w:right w:w="28" w:type="dxa"/>
        </w:tblCellMar>
      </w:tblPr>
      <w:tblGrid>
        <w:gridCol w:w="585"/>
        <w:gridCol w:w="4835"/>
      </w:tblGrid>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4835"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restart"/>
            <w:tcBorders>
              <w:right w:val="single" w:sz="16" w:space="0" w:color="FFFFFF"/>
            </w:tcBorders>
            <w:shd w:fill="255993" w:val="clear"/>
            <w:vAlign w:val="center"/>
          </w:tcPr>
          <w:p>
            <w:pPr>
              <w:pStyle w:val="TableContents"/>
              <w:bidi w:val="0"/>
              <w:spacing w:before="0" w:after="283"/>
              <w:jc w:val="center"/>
              <w:rPr>
                <w:color w:val="000000"/>
              </w:rPr>
            </w:pPr>
            <w:r>
              <w:rPr>
                <w:color w:val="000000"/>
              </w:rPr>
              <w:drawing>
                <wp:inline distT="0" distB="0" distL="0" distR="0">
                  <wp:extent cx="342900" cy="333375"/>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8"/>
                          <a:stretch>
                            <a:fillRect/>
                          </a:stretch>
                        </pic:blipFill>
                        <pic:spPr bwMode="auto">
                          <a:xfrm>
                            <a:off x="0" y="0"/>
                            <a:ext cx="3429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4835" w:type="dxa"/>
            <w:tcBorders/>
            <w:shd w:fill="EBEBEB" w:val="clear"/>
            <w:tcMar>
              <w:right w:w="0" w:type="dxa"/>
            </w:tcMar>
            <w:vAlign w:val="center"/>
          </w:tcPr>
          <w:p>
            <w:pPr>
              <w:pStyle w:val="TableContents"/>
              <w:bidi w:val="0"/>
              <w:spacing w:before="0" w:after="283"/>
              <w:ind w:left="24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Board Recommendation </w:t>
            </w:r>
          </w:p>
        </w:tc>
      </w:tr>
      <w:tr>
        <w:trPr/>
        <w:tc>
          <w:tcPr>
            <w:tcW w:w="585" w:type="dxa"/>
            <w:vMerge w:val="continue"/>
            <w:tcBorders>
              <w:right w:val="single" w:sz="16" w:space="0" w:color="FFFFFF"/>
            </w:tcBorders>
            <w:shd w:fill="255993" w:val="clear"/>
            <w:vAlign w:val="center"/>
          </w:tcPr>
          <w:p>
            <w:pPr>
              <w:pStyle w:val="Normal"/>
              <w:bidi w:val="0"/>
              <w:jc w:val="left"/>
              <w:rPr/>
            </w:pPr>
            <w:r>
              <w:rPr/>
            </w:r>
          </w:p>
        </w:tc>
        <w:tc>
          <w:tcPr>
            <w:tcW w:w="4835" w:type="dxa"/>
            <w:tcBorders/>
            <w:shd w:fill="EBEBEB" w:val="clear"/>
            <w:tcMar>
              <w:right w:w="0" w:type="dxa"/>
            </w:tcMar>
            <w:vAlign w:val="center"/>
          </w:tcPr>
          <w:p>
            <w:pPr>
              <w:pStyle w:val="TableContents"/>
              <w:bidi w:val="0"/>
              <w:spacing w:before="0" w:after="283"/>
              <w:ind w:left="240" w:right="0" w:hanging="0"/>
              <w:jc w:val="left"/>
              <w:rPr>
                <w:rFonts w:ascii="Arial" w:hAnsi="Arial"/>
                <w:color w:val="255993"/>
                <w:sz w:val="16"/>
              </w:rPr>
            </w:pPr>
            <w:r>
              <w:rPr>
                <w:rFonts w:ascii="Arial" w:hAnsi="Arial"/>
                <w:color w:val="255993"/>
                <w:sz w:val="16"/>
              </w:rPr>
              <w:t>Our Board of Directors recommends a vote “</w:t>
            </w:r>
            <w:r>
              <w:rPr>
                <w:rFonts w:ascii="Arial" w:hAnsi="Arial"/>
                <w:b/>
                <w:color w:val="255993"/>
                <w:sz w:val="16"/>
              </w:rPr>
              <w:t xml:space="preserve">FOR” </w:t>
            </w:r>
            <w:r>
              <w:rPr>
                <w:rFonts w:ascii="Arial" w:hAnsi="Arial"/>
                <w:color w:val="255993"/>
                <w:sz w:val="16"/>
              </w:rPr>
              <w:t>this proposal.</w:t>
            </w:r>
          </w:p>
        </w:tc>
      </w:tr>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4835" w:type="dxa"/>
            <w:tcBorders/>
            <w:shd w:fill="EBEBEB" w:val="clear"/>
            <w:tcMar>
              <w:right w:w="0" w:type="dxa"/>
            </w:tcMar>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69" w:name="ny20044300x2_def14a_109-report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70" w:name="tRAC"/>
      <w:bookmarkEnd w:id="70"/>
      <w:r>
        <w:rPr>
          <w:rFonts w:ascii="Times;Georgia" w:hAnsi="Times;Georgia"/>
          <w:color w:val="255993"/>
          <w:sz w:val="64"/>
        </w:rPr>
        <w:t xml:space="preserve">Report of the Audit Committee </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 </w:t>
      </w:r>
    </w:p>
    <w:tbl>
      <w:tblPr>
        <w:tblW w:w="9460" w:type="dxa"/>
        <w:jc w:val="left"/>
        <w:tblInd w:w="0" w:type="dxa"/>
        <w:tblLayout w:type="fixed"/>
        <w:tblCellMar>
          <w:top w:w="0" w:type="dxa"/>
          <w:left w:w="0" w:type="dxa"/>
          <w:bottom w:w="0" w:type="dxa"/>
          <w:right w:w="0" w:type="dxa"/>
        </w:tblCellMar>
      </w:tblPr>
      <w:tblGrid>
        <w:gridCol w:w="140"/>
        <w:gridCol w:w="9320"/>
      </w:tblGrid>
      <w:tr>
        <w:trPr/>
        <w:tc>
          <w:tcPr>
            <w:tcW w:w="140" w:type="dxa"/>
            <w:tcBorders/>
            <w:vAlign w:val="center"/>
          </w:tcPr>
          <w:p>
            <w:pPr>
              <w:pStyle w:val="TableContents"/>
              <w:bidi w:val="0"/>
              <w:spacing w:before="0" w:after="0"/>
              <w:jc w:val="left"/>
              <w:rPr>
                <w:color w:val="255993"/>
              </w:rPr>
            </w:pPr>
            <w:r>
              <w:rPr>
                <w:color w:val="255993"/>
              </w:rPr>
              <w:t>•</w:t>
            </w:r>
          </w:p>
        </w:tc>
        <w:tc>
          <w:tcPr>
            <w:tcW w:w="932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reviewed and discussed the audited consolidated financial statements with management and Ernst &amp; Young LLP;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discussed with Ernst &amp; Young LLP the matters required to be discussed by the applicable requirements of the Public Company Accounting Oversight Board (the “PCAOB”) and the SEC;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2024, filed with the SEC on February 27, 2025. </w:t>
      </w:r>
    </w:p>
    <w:p>
      <w:pPr>
        <w:pStyle w:val="TextBody"/>
        <w:bidi w:val="0"/>
        <w:spacing w:before="240" w:after="283"/>
        <w:ind w:left="0" w:right="0" w:hanging="0"/>
        <w:jc w:val="left"/>
        <w:rPr>
          <w:rFonts w:ascii="Arial" w:hAnsi="Arial"/>
          <w:color w:val="000000"/>
          <w:sz w:val="18"/>
        </w:rPr>
      </w:pPr>
      <w:r>
        <w:rPr>
          <w:rFonts w:ascii="Arial" w:hAnsi="Arial"/>
          <w:color w:val="000000"/>
          <w:sz w:val="18"/>
        </w:rPr>
        <w:t xml:space="preserve">Respectfully submitted by the members of the audit committee of the board of directors: </w:t>
      </w:r>
    </w:p>
    <w:p>
      <w:pPr>
        <w:pStyle w:val="TextBody"/>
        <w:bidi w:val="0"/>
        <w:spacing w:before="240" w:after="283"/>
        <w:ind w:left="0" w:right="0" w:hanging="0"/>
        <w:jc w:val="left"/>
        <w:rPr>
          <w:rFonts w:ascii="Arial" w:hAnsi="Arial"/>
          <w:b/>
          <w:color w:val="000000"/>
          <w:sz w:val="18"/>
        </w:rPr>
      </w:pPr>
      <w:r>
        <w:rPr>
          <w:rFonts w:ascii="Arial" w:hAnsi="Arial"/>
          <w:b/>
          <w:color w:val="000000"/>
          <w:sz w:val="18"/>
        </w:rPr>
        <w:t xml:space="preserve">JAMES A. JOHNSON (CHAIR), JOHN M. FLUKE, JR., KELLY ROMANO. </w:t>
      </w:r>
    </w:p>
    <w:p>
      <w:pPr>
        <w:pStyle w:val="TextBody"/>
        <w:bidi w:val="0"/>
        <w:spacing w:before="160" w:after="283"/>
        <w:ind w:left="0" w:right="0" w:hanging="0"/>
        <w:jc w:val="left"/>
        <w:rPr>
          <w:rFonts w:ascii="Arial" w:hAnsi="Arial"/>
          <w:i/>
          <w:color w:val="000000"/>
          <w:sz w:val="18"/>
        </w:rPr>
      </w:pPr>
      <w:r>
        <w:rPr>
          <w:rFonts w:ascii="Arial" w:hAnsi="Arial"/>
          <w:i/>
          <w:color w:val="000000"/>
          <w:sz w:val="18"/>
        </w:rPr>
        <w:t>This audit committee report shall not be deemed to be “soliciting material” or to be “filed” with the SEC or subject to Regulation 14A promulgated by the SEC or to the liabilities of Section 18 of the Exchange Act (the “Exchange Act”), and shall not be deemed incorporated by reference into any prior or subsequent filing by the Company under the Securities Act of 1933, as amended (the “Securities Act”), or the Exchange Act, except to the extent the Company specifically requests that the information be treated as “soliciting material” or specifically incorporates it by reference.</w:t>
      </w:r>
      <w:r>
        <w:rPr>
          <w:rFonts w:ascii="Arial" w:hAnsi="Arial"/>
          <w:i/>
          <w:caps w:val="false"/>
          <w:smallCaps w:val="false"/>
          <w:color w:val="000000"/>
          <w:sz w:val="18"/>
        </w:rPr>
        <w:t xml:space="preserve">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71" w:name="ny20044300x2_def14a_109-report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Proposal Three</w:t>
      </w:r>
    </w:p>
    <w:p>
      <w:pPr>
        <w:pStyle w:val="TextBody"/>
        <w:bidi w:val="0"/>
        <w:spacing w:before="160" w:after="283"/>
        <w:ind w:left="0" w:right="0" w:hanging="0"/>
        <w:jc w:val="left"/>
        <w:rPr>
          <w:rFonts w:ascii="Arial" w:hAnsi="Arial"/>
          <w:b/>
          <w:color w:val="F8991D"/>
          <w:sz w:val="24"/>
        </w:rPr>
      </w:pPr>
      <w:r>
        <w:rPr>
          <w:rFonts w:ascii="Arial" w:hAnsi="Arial"/>
          <w:b/>
          <w:color w:val="F8991D"/>
          <w:sz w:val="24"/>
        </w:rPr>
        <w:t>APPROVAL OF PROPOSED AMENDMENTS TO OUR AMENDED AND RESTATED CERTIFICATE OF INCORPORATION TO EFFECT A REVERSE STOCK SPLIT AND REDUCE THE TOTAL NUMBER OF AUTHORIZED SHARES OF COMMON STOCK</w:t>
      </w:r>
    </w:p>
    <w:p>
      <w:pPr>
        <w:pStyle w:val="TextBody"/>
        <w:bidi w:val="0"/>
        <w:spacing w:before="120" w:after="283"/>
        <w:ind w:left="0" w:right="0" w:hanging="0"/>
        <w:jc w:val="left"/>
        <w:rPr>
          <w:rFonts w:ascii="Times;Georgia" w:hAnsi="Times;Georgia"/>
          <w:color w:val="255993"/>
          <w:sz w:val="64"/>
        </w:rPr>
      </w:pPr>
      <w:bookmarkStart w:id="72" w:name="tPROP3"/>
      <w:bookmarkEnd w:id="72"/>
      <w:r>
        <w:rPr>
          <w:rFonts w:ascii="Times;Georgia" w:hAnsi="Times;Georgia"/>
          <w:color w:val="255993"/>
          <w:sz w:val="64"/>
        </w:rPr>
        <w:t>Proposal Three</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At the Annual Meeting, we are asking our stockholders to approve proposed amendments to our amended and restated certificate of incorporation to effect a reverse stock split and reduce the total number of authorized shares of common stock. The board of directors has unanimously adopted and declared advisable, and resolved to recommend to the Company’s stockholders that they approve and adopt, the Reverse Stock Split Proposal. </w:t>
      </w:r>
    </w:p>
    <w:p>
      <w:pPr>
        <w:pStyle w:val="TextBody"/>
        <w:bidi w:val="0"/>
        <w:spacing w:before="280" w:after="283"/>
        <w:ind w:left="0" w:right="0" w:hanging="0"/>
        <w:jc w:val="left"/>
        <w:rPr>
          <w:rFonts w:ascii="Arial" w:hAnsi="Arial"/>
          <w:b/>
          <w:color w:val="F8991D"/>
          <w:sz w:val="20"/>
        </w:rPr>
      </w:pPr>
      <w:bookmarkStart w:id="73" w:name="tPAA3"/>
      <w:bookmarkEnd w:id="73"/>
      <w:r>
        <w:rPr>
          <w:rFonts w:ascii="Arial" w:hAnsi="Arial"/>
          <w:b/>
          <w:color w:val="F8991D"/>
          <w:sz w:val="20"/>
        </w:rPr>
        <w:t>PROPOSED AMENDMENTS TO THE AMENDED AND RESTATED CERTIFICATE OF INCORPORATION</w:t>
      </w:r>
    </w:p>
    <w:p>
      <w:pPr>
        <w:pStyle w:val="TextBody"/>
        <w:bidi w:val="0"/>
        <w:spacing w:before="160" w:after="283"/>
        <w:ind w:left="0" w:right="0" w:hanging="0"/>
        <w:jc w:val="left"/>
        <w:rPr>
          <w:rFonts w:ascii="Arial" w:hAnsi="Arial"/>
          <w:b/>
          <w:color w:val="255993"/>
          <w:sz w:val="18"/>
        </w:rPr>
      </w:pPr>
      <w:r>
        <w:rPr>
          <w:rFonts w:ascii="Arial" w:hAnsi="Arial"/>
          <w:b/>
          <w:color w:val="255993"/>
          <w:sz w:val="18"/>
        </w:rPr>
        <w:t xml:space="preserve">OVERVIEW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On April 2, 2025, our board of directors approved and adopted resolutions (1) approving and finding advisable a series of proposed amendments to our Amended and Restated Certificate of Incorporation (the “Restated Certificate”), to effect a reverse stock split of our common stock issued and outstanding or held in treasury (the “Reverse Stock Split”), and a corresponding reduction in the total number of authorized shares of our common stock (the “Authorized Share Reduction”), and (2) directing that a proposal (the “Reverse Stock Split Proposal”) to approve the Reverse Stock Split and the Authorized Share Reduction be submitted to our stockholders for their approval.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approved by our stockholders, the Reverse Stock Split Proposal would permit, but would not require, our board of directors to effect a reverse stock split of our common stock issued and outstanding or held in treasury by a ratio of either 5 for 1, 10 for 1, 15 for 1 or 20 for 1, with the final ratio to be set as determined by the board of directors (or a duly authorized committee thereof) in its sole discretion in the manner described herein. At the same time, the total number of authorized shares of our common stock would be reduced from 900,000,000 to 180,000,000, 90,000,000, 60,000,000, or 45,000,000, and our total number of authorized shares would be reduced from 1,000,000,000 to 280,000,000, 190,000,000, 160,000,000, or 145,000,000, based on the final Reverse Stock Split ratio set by the board of directors in the manner described herein. The par value per share of our common and preferred stock would remain unchanged at $0.0001. The Reverse Stock Split would also affect outstanding options, outstanding restricted stock units (“RSUs”), any share-based award limits, and shares reserved for issuance under our equity compensation plans, as described in “—Effect on Equity Compensation Plans, Outstanding Options and RSUs” below. The Reverse Stock Split would affect all shares of common stock uniformly (subject to the treatment of fractional shares described below). The following description of the proposed amendments is a summary and is subject to the full text of the proposed Certificates of Amendment to our Restated Certificate (the “Certificates of Amendment”), forms of which are attached to this Proxy Statement as Annex A, Annex B, Annex C, and Annex D. </w:t>
      </w:r>
    </w:p>
    <w:p>
      <w:pPr>
        <w:pStyle w:val="TextBody"/>
        <w:bidi w:val="0"/>
        <w:spacing w:before="160" w:after="283"/>
        <w:ind w:left="0" w:right="0" w:hanging="0"/>
        <w:jc w:val="left"/>
        <w:rPr>
          <w:rFonts w:ascii="Arial" w:hAnsi="Arial"/>
          <w:color w:val="000000"/>
          <w:sz w:val="18"/>
        </w:rPr>
      </w:pPr>
      <w:r>
        <w:rPr>
          <w:rFonts w:ascii="Arial" w:hAnsi="Arial"/>
          <w:color w:val="000000"/>
          <w:sz w:val="18"/>
        </w:rPr>
        <w:t>If stockholders approve the Reverse Stock Split Proposal, the board of directors in its discretion could determine to cause one Certificate of Amendment to be filed with the Delaware Secretary of State and effect the Reverse Stock Split and the Authorized Share Reduction. The board of directors also may determine in its discretion not to effect the Reverse Stock Split and the Authorized Share Reduction and not to file any Certificate of Amendment. We could decide not to proceed with the Reverse Stock Split and the Authorized Share Reduction even if the Reverse Stock Split Proposal is approved by stockholders. No further action on the part of stockholders will be required to either implement or abandon the Reverse Stock Split and the Authorized Share Reduction.</w:t>
      </w:r>
    </w:p>
    <w:p>
      <w:pPr>
        <w:pStyle w:val="TextBody"/>
        <w:bidi w:val="0"/>
        <w:spacing w:before="260" w:after="283"/>
        <w:ind w:left="0" w:right="0" w:hanging="0"/>
        <w:jc w:val="left"/>
        <w:rPr>
          <w:rFonts w:ascii="Arial" w:hAnsi="Arial"/>
          <w:b/>
          <w:color w:val="F8991D"/>
          <w:sz w:val="20"/>
        </w:rPr>
      </w:pPr>
      <w:bookmarkStart w:id="74" w:name="tRTR"/>
      <w:bookmarkEnd w:id="74"/>
      <w:r>
        <w:rPr>
          <w:rFonts w:ascii="Arial" w:hAnsi="Arial"/>
          <w:b/>
          <w:color w:val="F8991D"/>
          <w:sz w:val="20"/>
        </w:rPr>
        <w:t xml:space="preserve">REASONS FOR THE REVERSE STOCK SPLIT </w:t>
      </w:r>
    </w:p>
    <w:p>
      <w:pPr>
        <w:pStyle w:val="TextBody"/>
        <w:bidi w:val="0"/>
        <w:spacing w:before="160" w:after="283"/>
        <w:ind w:left="0" w:right="0" w:hanging="0"/>
        <w:jc w:val="left"/>
        <w:rPr>
          <w:rFonts w:ascii="Arial" w:hAnsi="Arial"/>
          <w:b/>
          <w:color w:val="255993"/>
          <w:sz w:val="18"/>
        </w:rPr>
      </w:pPr>
      <w:r>
        <w:rPr>
          <w:rFonts w:ascii="Arial" w:hAnsi="Arial"/>
          <w:b/>
          <w:color w:val="255993"/>
          <w:sz w:val="18"/>
        </w:rPr>
        <w:t xml:space="preserve">MEET CERTAIN CONTINUED LISTING REQUIREMENTS OF NASDAQ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To continue our listing on The Nasdaq Global Select Market, we must comply with Nasdaq rules.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business days. On October 16, 2024, we received written notice from the Listing Qualifications Department of Nasdaq notifying us that because the closing bid price for our common stock listed on Nasdaq was below $1.00 per share for 30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75" w:name="ny20044300x2_def14a_109-report_pg3"/>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color w:val="000000"/>
          <w:sz w:val="18"/>
        </w:rPr>
      </w:pPr>
      <w:r>
        <w:rPr>
          <w:rFonts w:ascii="Arial" w:hAnsi="Arial"/>
          <w:color w:val="000000"/>
          <w:sz w:val="18"/>
        </w:rPr>
        <w:t>consecutive business days, we did not meet the Minimum Bid Price Requirement for continued listing on The Nasdaq Global Select Market. Pursuant to Nasdaq Listing Rule 5810(c)(3)(A), we have been provided an initial compliance period of 180 calendar days to regain compliance with the Minimum Bid Price Requirement. To regain compliance, the closing bid price of the common stock must be at least $1.00 per share for a minimum of 10 consecutive business days by April 14, 2025, and we must otherwise satisfy The Nasdaq Global Select Market’s requirements for listing.</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Nasdaq listing rules provide an additional 180 calendar day compliance period for companies that elect (and meet the listing standards) to transfer to The Nasdaq Capital Market, unless it does not appear to Nasdaq that it is possible for the company to cure the deficiency. Accordingly, on April 4, 2025 we submitted an application to Nasdaq to transfer to The Nasdaq Capital Market. If Nasdaq approves our application, we would be eligible for an additional 180 calendar day compliance period to cure the Minimum Bid Price Requirement deficiency.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has considered the potential harm to our Company and our stockholders should Nasdaq delist our common stock.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 The board of directors believes that the Reverse Stock Split is a potentially effective means for us to increase the per share market price of our common stock and to avoid, or at least mitigate, the likely adverse consequences of our common stock being delisted from Nasdaq by producing the immediate effect of increasing the bid price of our common stock. </w:t>
      </w:r>
    </w:p>
    <w:p>
      <w:pPr>
        <w:pStyle w:val="TextBody"/>
        <w:bidi w:val="0"/>
        <w:spacing w:before="310" w:after="283"/>
        <w:ind w:left="0" w:right="0" w:hanging="0"/>
        <w:jc w:val="left"/>
        <w:rPr>
          <w:rFonts w:ascii="Arial" w:hAnsi="Arial"/>
          <w:b/>
          <w:color w:val="255993"/>
          <w:sz w:val="18"/>
        </w:rPr>
      </w:pPr>
      <w:r>
        <w:rPr>
          <w:rFonts w:ascii="Arial" w:hAnsi="Arial"/>
          <w:b/>
          <w:color w:val="255993"/>
          <w:sz w:val="18"/>
        </w:rPr>
        <w:t xml:space="preserve">TO POTENTIALLY IMPROVE THE MARKETABILITY OF OUR COMMON STOCK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board of directors believes that the increased market price of our common stock expected as a result of implementing the Reverse Stock Split could improve the marketability of our common stock and encourage interest and trading in our common stock. </w:t>
      </w:r>
    </w:p>
    <w:p>
      <w:pPr>
        <w:pStyle w:val="TextBody"/>
        <w:bidi w:val="0"/>
        <w:spacing w:before="310" w:after="283"/>
        <w:ind w:left="0" w:right="0" w:hanging="0"/>
        <w:jc w:val="left"/>
        <w:rPr>
          <w:rFonts w:ascii="Arial" w:hAnsi="Arial"/>
          <w:b/>
          <w:color w:val="255993"/>
          <w:sz w:val="18"/>
        </w:rPr>
      </w:pPr>
      <w:r>
        <w:rPr>
          <w:rFonts w:ascii="Arial" w:hAnsi="Arial"/>
          <w:b/>
          <w:color w:val="255993"/>
          <w:sz w:val="18"/>
        </w:rPr>
        <w:t xml:space="preserve">APPEAL TO A BROADER RANGE OF INVESTORS TO GENERATE GREATER INVESTOR INTEREST IN THE COMPANY </w:t>
      </w:r>
    </w:p>
    <w:p>
      <w:pPr>
        <w:pStyle w:val="TextBody"/>
        <w:bidi w:val="0"/>
        <w:spacing w:before="120" w:after="283"/>
        <w:ind w:left="0" w:right="0" w:hanging="0"/>
        <w:jc w:val="left"/>
        <w:rPr>
          <w:rFonts w:ascii="Arial" w:hAnsi="Arial"/>
          <w:color w:val="000000"/>
          <w:sz w:val="18"/>
        </w:rPr>
      </w:pPr>
      <w:r>
        <w:rPr>
          <w:rFonts w:ascii="Arial" w:hAnsi="Arial"/>
          <w:color w:val="000000"/>
          <w:sz w:val="18"/>
        </w:rPr>
        <w:t>We believe that the Reverse Stock Split and an increase in our stock price may make our common stock more attractive to a broader range of institutional and other investors. Many brokerage firms and institutional investors have internal policies and practices that either prohibit them from investing in low-priced stocks or tend to discourage individual brokers from recommending low-priced stocks to their customers, which reduces the number of potential purchasers of our common stock. In addition, some of those policies and practices may function to make the processing of 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 brokerage firms do not monitor the trading activity or otherwise provide coverage of lower-priced stocks. Further, lower-priced stocks have a perception in the investment community as being riskier and more speculative, which may negatively impact not only the price of our common stock, but also our market liquidity.</w:t>
      </w:r>
    </w:p>
    <w:p>
      <w:pPr>
        <w:pStyle w:val="TextBody"/>
        <w:bidi w:val="0"/>
        <w:spacing w:before="270" w:after="283"/>
        <w:ind w:left="0" w:right="0" w:hanging="0"/>
        <w:jc w:val="left"/>
        <w:rPr>
          <w:rFonts w:ascii="Arial" w:hAnsi="Arial"/>
          <w:b/>
          <w:color w:val="F8991D"/>
          <w:sz w:val="20"/>
        </w:rPr>
      </w:pPr>
      <w:bookmarkStart w:id="76" w:name="tRFT"/>
      <w:bookmarkEnd w:id="76"/>
      <w:r>
        <w:rPr>
          <w:rFonts w:ascii="Arial" w:hAnsi="Arial"/>
          <w:b/>
          <w:color w:val="F8991D"/>
          <w:sz w:val="20"/>
        </w:rPr>
        <w:t xml:space="preserve">REASONS FOR THE REDUCTION IN THE AUTHORIZED NUMBER OF SHARES OF COMMON STOCK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As a matter of Delaware law, implementation of the Reverse Stock Split does not require a change in the total number of shares of our common stock authorized for issuance under the Restated Certificate. However, the proposed reduction in the total number of authorized shares of our common stock is designed to maintain approximately the same proportion of the total number of authorized shares of common stock that are not issued or outstanding following the Reverse Stock Split. The proposed reduction in the total number of authorized shares of common stock from 900,000,000 to 180,000,000, 90,000,000, 60,000,000, or 45,000,000, and in the total number of authorized shares of all stock from 1,000,000,000 to 280,000,000, 190,000,000, 160,000,000, or 145,000,000, is intended to satisfy the voting policies of certain of our stockholders, conform to the requirements of certain entities that make recommendations to stockholders regarding proposals submitted by us, and ensure that we do not have what some stockholders might view as an unreasonably high number of authorized but unissued shares of common stock. In addition, the reduction in the number of authorized shares of our stock may also reduce certain of our costs.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77" w:name="ny20044300x2_def14a_109-report_pg4"/>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Proposal Three</w:t>
      </w:r>
    </w:p>
    <w:p>
      <w:pPr>
        <w:pStyle w:val="TextBody"/>
        <w:bidi w:val="0"/>
        <w:spacing w:before="135" w:after="283"/>
        <w:ind w:left="0" w:right="0" w:hanging="0"/>
        <w:jc w:val="left"/>
        <w:rPr>
          <w:rFonts w:ascii="Arial" w:hAnsi="Arial"/>
          <w:b/>
          <w:color w:val="F8991D"/>
          <w:sz w:val="20"/>
        </w:rPr>
      </w:pPr>
      <w:bookmarkStart w:id="78" w:name="tCRA"/>
      <w:bookmarkEnd w:id="78"/>
      <w:r>
        <w:rPr>
          <w:rFonts w:ascii="Arial" w:hAnsi="Arial"/>
          <w:b/>
          <w:color w:val="F8991D"/>
          <w:sz w:val="20"/>
        </w:rPr>
        <w:t xml:space="preserve">CERTAIN RISKS ASSOCIATED WITH A REVERSE STOCK SPLIT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There are certain risks associated with a reverse stock split, and we cannot accurately predict or assure you that the Reverse Stock Split will produce or maintain the desired results. However, our board of directors believes that the potential benefits to us and our stockholders outweigh the risks and recommends that you vote in favor of the Reverse Stock Split Proposal. </w:t>
      </w:r>
    </w:p>
    <w:p>
      <w:pPr>
        <w:pStyle w:val="TextBody"/>
        <w:bidi w:val="0"/>
        <w:spacing w:before="240" w:after="283"/>
        <w:ind w:left="0" w:right="0" w:hanging="0"/>
        <w:jc w:val="left"/>
        <w:rPr>
          <w:rFonts w:ascii="Arial" w:hAnsi="Arial"/>
          <w:b/>
          <w:color w:val="255993"/>
          <w:sz w:val="18"/>
        </w:rPr>
      </w:pPr>
      <w:r>
        <w:rPr>
          <w:rFonts w:ascii="Arial" w:hAnsi="Arial"/>
          <w:b/>
          <w:color w:val="255993"/>
          <w:sz w:val="18"/>
        </w:rPr>
        <w:t xml:space="preserve">WE CANNOT ASSURE YOU THAT THE PROPOSED REVERSE STOCK SPLIT, IF EFFECTED, WILL INCREASE OUR STOCK PRICE. THERE CAN BE NO ASSURANCE THAT THE TOTAL MARKET CAPITALIZATION OF OUR COMMON STOCK (THE AGGREGATE VALUE OF ALL OF OUR OUTSTANDING COMMON STOCK AT THE THEN MARKET PRICE) AFTER THE REVERSE STOCK SPLIT WILL BE EQUAL TO OR GREATER THAN THE TOTAL MARKET CAPITALIZATION BEFORE THE REVERSE STOCK SPLIT, OR THAT THE PER SHARE MARKET PRICE OF OUR COMMON STOCK FOLLOWING THE REVERSE STOCK SPLIT WILL EITHER EQUAL OR EXCEED THE CURRENT PER SHARE MARKET PRICE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closing sale price of our common stock on Nasdaq was $0.455 per share on October 16, 2024 and was $0.2393 per share on April 10, 2025. We expect that the Reverse Stock Split, if effected, will increase the per share trading price of our common stock. However, we cannot assure you that the market price per share of our common stock after the Reverse Stock Split will rise or remain constant in proportion to the reduction in the number of shares of common stock outstanding before the Reverse Stock Split. The effect of the Reverse Stock Split on the per share trading price of our common stock cannot be predicted with any certainty, and the history 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such reverse stock split. Accordingly, the total market capitalization of our common stock after the Reverse Stock Split may be lower than the total market capitalization before the Reverse Stock Split, and it is possible that the Reverse Stock Split may not result in a per share trading price that would attract investors who do not trade in lower-priced stocks.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Reducing the number of outstanding shares of our common stock through the Reverse Stock Split, if we decide to proceed with the Reverse Stock Split, is intended, absent other factors, to increase the per share trading price of our common stock. However, even if we implement the Reverse Stock Split, the per share trading price of our common stock may decrease due to factors unrelated to the Reverse Stock Split. Other factors, such as our clinical trial results, research and development results and plans, financial results, market conditions and the market perception of our business, may adversely affect the per share trading price of our common stock. As a result, there can be no assurance that the Reverse Stock Split, if completed, will result in the benefits that we anticipate, that the per share trading price of our common stock will increase following the Reverse Stock Split, or that the per share trading price of our common stock will not decrease in the future. Although no assurances are possible concerning the trading price of our common stock if the Reverse Stock Split is effected or concerning future fluctuations in the market price of our common stock after the Reverse Stock Split, our intention in determining the reverse stock split ratio to be reflected in the Reverse Stock Split is that such ratio will result in an increase in the per share market price of our common stock immediately after the Reverse Stock Split, although whether the price of our common stock is sufficient or is maintained for a sufficient period of time to satisfy the relevant Nasdaq listing rules depends in part on the ratio of the Reverse Stock Split and future fluctuations in the price of our common stock. </w:t>
      </w:r>
    </w:p>
    <w:p>
      <w:pPr>
        <w:pStyle w:val="TextBody"/>
        <w:bidi w:val="0"/>
        <w:spacing w:before="240" w:after="283"/>
        <w:ind w:left="0" w:right="0" w:hanging="0"/>
        <w:jc w:val="left"/>
        <w:rPr>
          <w:rFonts w:ascii="Arial" w:hAnsi="Arial"/>
          <w:b/>
          <w:color w:val="255993"/>
          <w:sz w:val="18"/>
        </w:rPr>
      </w:pPr>
      <w:r>
        <w:rPr>
          <w:rFonts w:ascii="Arial" w:hAnsi="Arial"/>
          <w:b/>
          <w:color w:val="255993"/>
          <w:sz w:val="18"/>
        </w:rPr>
        <w:t xml:space="preserve">THE PROPOSED REVERSE STOCK SPLIT MAY DECREASE THE LIQUIDITY OF OUR COMMON STOCK AND RESULT IN HIGHER TRANSACTION COSTS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liquidity of our common stock may be negatively impacted by the Reverse Stock Split, given the reduced number of shares that would be outstanding after the Reverse Stock Split, particularly if the per share trading price does not increase proportionately as a result of the Reverse Stock Split. In addition, if the Reverse Stock Split is implemented, it will likely increase the number of our stockholders who own “odd lots” of fewer than 100 shares of common stock. Brokerage commission and other costs of transactions in odd lots are generally higher than the costs of transactions of more than 100 shares of common stock. In addition, although we believe the Reverse Stock Split may enhance the marketability of our common stock to certain potential investors, we cannot assure you that, if the Reverse Stock Split is implemented, our common stock will be more attractive to investors. While our board of directors believes that a higher stock price may help generate interest of new investors, the Reverse Stock Split may not result in a per share price that will attract certain types of investors, such as institutional investors or investment funds, and such share price may not satisfy the investing guidelines of certain institutional investors or investment funds. As a result, the trading liquidity of our common stock may not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79" w:name="ny20044300x2_def14a_109-report_pg5"/>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improve as a result of the Reverse Stock Split and could be adversely affected by a higher per share price. Accordingly, the Reverse Stock Split may not achieve the desired results of increasing marketability of our common stock as described above. </w:t>
      </w:r>
    </w:p>
    <w:p>
      <w:pPr>
        <w:pStyle w:val="TextBody"/>
        <w:bidi w:val="0"/>
        <w:spacing w:before="290" w:after="283"/>
        <w:ind w:left="0" w:right="0" w:hanging="0"/>
        <w:jc w:val="left"/>
        <w:rPr>
          <w:rFonts w:ascii="Arial" w:hAnsi="Arial"/>
          <w:b/>
          <w:color w:val="F8991D"/>
          <w:sz w:val="20"/>
        </w:rPr>
      </w:pPr>
      <w:bookmarkStart w:id="80" w:name="tPTR"/>
      <w:bookmarkEnd w:id="80"/>
      <w:r>
        <w:rPr>
          <w:rFonts w:ascii="Arial" w:hAnsi="Arial"/>
          <w:b/>
          <w:color w:val="F8991D"/>
          <w:sz w:val="20"/>
        </w:rPr>
        <w:t xml:space="preserve">PRINCIPAL EFFECTS OF THE REVERSE STOCK SPLIT AND THE AUTHORIZED SHARE REDUCTION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approved and implemented, the Reverse Stock Split will be realized simultaneously and in the same ratio for all of our issued and outstanding shares of common stock. Any fractional shares that would otherwise be issuable as a result of the Reverse Stock Split will be paid out in cash. The Reverse Stock Split will affect all shares of common stock uniformly and will not affect any stockholder’s percentage ownership interest in the Company (subject to the treatment of fractional shares). In addition, the Reverse Stock Split will not affect any stockholder’s proportionate voting power (subject to the treatment of fractional shares).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authorized capital stock currently consists of 900,000,000 shares of common stock, par value $0.0001 per share, and 100,000,000 shares of preferred stock, par value $0.0001 per share. At the effective time of the Reverse Stock Split (the “Effective Time”), the total number of authorized shares of our common stock will be reduced from 900,000,000 to 180,000,000, 90,000,000, 60,000,000, or 45,000,000, and the total number of authorized shares will be reduced from 1,000,000,000 to 280,000,000, 190,000,000, 160,000,000, or 145,000,000, based on which, if any, of the approved reverse stock split ratios is ultimately selected by the board of directors. The par value per share of our common and preferred stock would remain unchanged at $0.0001 after the Reverse Stock Split and the Authorized Share Reduction. The total number of authorized shares of preferred stock will not be reduced and would remain at 100,000,000 shares.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TABULAR ILLUSTRATION OF EFFECT OF THE REVERSE STOCK SPLIT AND AUTHORIZED SHARE REDUCTION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table below sets forth, as of April 4, 2025 and for illustrative purposes only, certain effects of potential Reverse Stock Split ratios of 5 for 1, 10 for 1, 15 for 1 and 20 for 1, including on our total outstanding common stock equivalents (without giving effect to the treatment of fractional shares). </w:t>
      </w:r>
    </w:p>
    <w:tbl>
      <w:tblPr>
        <w:tblW w:w="10205" w:type="dxa"/>
        <w:jc w:val="left"/>
        <w:tblInd w:w="0" w:type="dxa"/>
        <w:tblLayout w:type="fixed"/>
        <w:tblCellMar>
          <w:top w:w="0" w:type="dxa"/>
          <w:left w:w="0" w:type="dxa"/>
          <w:bottom w:w="0" w:type="dxa"/>
          <w:right w:w="0" w:type="dxa"/>
        </w:tblCellMar>
      </w:tblPr>
      <w:tblGrid>
        <w:gridCol w:w="185"/>
        <w:gridCol w:w="3129"/>
        <w:gridCol w:w="170"/>
        <w:gridCol w:w="170"/>
        <w:gridCol w:w="1397"/>
        <w:gridCol w:w="170"/>
        <w:gridCol w:w="170"/>
        <w:gridCol w:w="961"/>
        <w:gridCol w:w="170"/>
        <w:gridCol w:w="170"/>
        <w:gridCol w:w="871"/>
        <w:gridCol w:w="170"/>
        <w:gridCol w:w="170"/>
        <w:gridCol w:w="871"/>
        <w:gridCol w:w="170"/>
        <w:gridCol w:w="170"/>
        <w:gridCol w:w="871"/>
        <w:gridCol w:w="220"/>
      </w:tblGrid>
      <w:tr>
        <w:trPr/>
        <w:tc>
          <w:tcPr>
            <w:tcW w:w="185" w:type="dxa"/>
            <w:tcBorders/>
            <w:shd w:fill="255993" w:val="clear"/>
            <w:vAlign w:val="center"/>
          </w:tcPr>
          <w:p>
            <w:pPr>
              <w:pStyle w:val="TableContents"/>
              <w:bidi w:val="0"/>
              <w:spacing w:before="0" w:after="0"/>
              <w:jc w:val="left"/>
              <w:rPr/>
            </w:pPr>
            <w:r>
              <w:rPr/>
              <w:t> </w:t>
            </w:r>
          </w:p>
        </w:tc>
        <w:tc>
          <w:tcPr>
            <w:tcW w:w="3129"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397"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4594" w:type="dxa"/>
            <w:gridSpan w:val="10"/>
            <w:tcBorders/>
            <w:shd w:fill="255993" w:val="clear"/>
            <w:vAlign w:val="center"/>
          </w:tcPr>
          <w:p>
            <w:pPr>
              <w:pStyle w:val="TableContents"/>
              <w:bidi w:val="0"/>
              <w:spacing w:before="0" w:after="0"/>
              <w:jc w:val="left"/>
              <w:rPr/>
            </w:pPr>
            <w:r>
              <w:rPr/>
              <w:t> </w:t>
            </w:r>
          </w:p>
        </w:tc>
        <w:tc>
          <w:tcPr>
            <w:tcW w:w="220" w:type="dxa"/>
            <w:tcBorders/>
            <w:shd w:fill="255993" w:val="clear"/>
            <w:vAlign w:val="center"/>
          </w:tcPr>
          <w:p>
            <w:pPr>
              <w:pStyle w:val="TableContents"/>
              <w:bidi w:val="0"/>
              <w:spacing w:before="0" w:after="0"/>
              <w:jc w:val="left"/>
              <w:rPr/>
            </w:pPr>
            <w:r>
              <w:rPr/>
              <w:t> </w:t>
            </w:r>
          </w:p>
        </w:tc>
      </w:tr>
      <w:tr>
        <w:trPr/>
        <w:tc>
          <w:tcPr>
            <w:tcW w:w="185" w:type="dxa"/>
            <w:tcBorders/>
            <w:shd w:fill="255993" w:val="clear"/>
            <w:vAlign w:val="center"/>
          </w:tcPr>
          <w:p>
            <w:pPr>
              <w:pStyle w:val="TableContents"/>
              <w:bidi w:val="0"/>
              <w:spacing w:before="0" w:after="0"/>
              <w:jc w:val="left"/>
              <w:rPr/>
            </w:pPr>
            <w:r>
              <w:rPr/>
              <w:t> </w:t>
            </w:r>
          </w:p>
        </w:tc>
        <w:tc>
          <w:tcPr>
            <w:tcW w:w="3129" w:type="dxa"/>
            <w:tcBorders/>
            <w:shd w:fill="255993" w:val="clear"/>
            <w:vAlign w:val="center"/>
          </w:tcPr>
          <w:p>
            <w:pPr>
              <w:pStyle w:val="TableContents"/>
              <w:bidi w:val="0"/>
              <w:spacing w:before="0" w:after="283"/>
              <w:ind w:left="100" w:right="0" w:hanging="0"/>
              <w:jc w:val="left"/>
              <w:rPr>
                <w:color w:val="FFFFFF"/>
              </w:rPr>
            </w:pPr>
            <w:r>
              <w:rPr>
                <w:color w:val="FFFFFF"/>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397" w:type="dxa"/>
            <w:tcBorders/>
            <w:shd w:fill="255993" w:val="clear"/>
            <w:vAlign w:val="center"/>
          </w:tcPr>
          <w:p>
            <w:pPr>
              <w:pStyle w:val="TableContents"/>
              <w:bidi w:val="0"/>
              <w:spacing w:before="0" w:after="283"/>
              <w:jc w:val="right"/>
              <w:rPr>
                <w:color w:val="FFFFFF"/>
              </w:rPr>
            </w:pPr>
            <w:r>
              <w:rPr>
                <w:color w:val="FFFFFF"/>
              </w:rPr>
              <w:t>​</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4594" w:type="dxa"/>
            <w:gridSpan w:val="10"/>
            <w:tcBorders>
              <w:bottom w:val="single" w:sz="8" w:space="0" w:color="FFFFFF"/>
            </w:tcBorders>
            <w:shd w:fill="255993" w:val="clear"/>
            <w:tcMar>
              <w:bottom w:w="11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Post-Reverse Stock Split</w:t>
            </w:r>
          </w:p>
          <w:p>
            <w:pPr>
              <w:pStyle w:val="TableContents"/>
              <w:bidi w:val="0"/>
              <w:spacing w:before="0" w:after="283"/>
              <w:jc w:val="center"/>
              <w:rPr>
                <w:rFonts w:ascii="Arial" w:hAnsi="Arial"/>
                <w:b/>
                <w:color w:val="FFFFFF"/>
                <w:sz w:val="18"/>
              </w:rPr>
            </w:pPr>
            <w:r>
              <w:rPr>
                <w:rFonts w:ascii="Arial" w:hAnsi="Arial"/>
                <w:b/>
                <w:color w:val="FFFFFF"/>
                <w:sz w:val="18"/>
              </w:rPr>
              <w:t xml:space="preserve">Amendment, see Annex: </w:t>
            </w:r>
          </w:p>
        </w:tc>
        <w:tc>
          <w:tcPr>
            <w:tcW w:w="220"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255993" w:val="clear"/>
            <w:tcMar>
              <w:bottom w:w="70" w:type="dxa"/>
            </w:tcMar>
            <w:vAlign w:val="center"/>
          </w:tcPr>
          <w:p>
            <w:pPr>
              <w:pStyle w:val="TableContents"/>
              <w:bidi w:val="0"/>
              <w:spacing w:before="0" w:after="283"/>
              <w:ind w:left="100" w:right="0" w:hanging="0"/>
              <w:jc w:val="left"/>
              <w:rPr>
                <w:color w:val="FFFFFF"/>
              </w:rPr>
            </w:pPr>
            <w:r>
              <w:rPr>
                <w:color w:val="FFFFFF"/>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255993" w:val="clear"/>
            <w:tcMar>
              <w:bottom w:w="7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Pre-Reverse Stock Split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255993" w:val="clear"/>
            <w:tcMar>
              <w:bottom w:w="7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A</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255993" w:val="clear"/>
            <w:tcMar>
              <w:bottom w:w="7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B</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255993" w:val="clear"/>
            <w:tcMar>
              <w:bottom w:w="7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C</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255993" w:val="clear"/>
            <w:tcMar>
              <w:bottom w:w="7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D </w:t>
            </w:r>
          </w:p>
        </w:tc>
        <w:tc>
          <w:tcPr>
            <w:tcW w:w="22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F8991D" w:val="clear"/>
            <w:tcMar>
              <w:bottom w:w="73" w:type="dxa"/>
            </w:tcMar>
            <w:vAlign w:val="center"/>
          </w:tcPr>
          <w:p>
            <w:pPr>
              <w:pStyle w:val="TableContents"/>
              <w:bidi w:val="0"/>
              <w:spacing w:before="0" w:after="283"/>
              <w:ind w:left="100" w:right="0" w:hanging="0"/>
              <w:jc w:val="left"/>
              <w:rPr>
                <w:color w:val="FFFFFF"/>
              </w:rPr>
            </w:pPr>
            <w:r>
              <w:rPr>
                <w:color w:val="FFFFFF"/>
              </w:rPr>
              <w:t>​</w:t>
            </w:r>
            <w:r>
              <w:rPr>
                <w:rFonts w:ascii="Arial" w:hAnsi="Arial"/>
                <w:b/>
                <w:color w:val="FFFFFF"/>
                <w:sz w:val="16"/>
              </w:rPr>
              <w:t>Reverse Stock Split Ratio</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F8991D" w:val="clear"/>
            <w:tcMar>
              <w:bottom w:w="73" w:type="dxa"/>
            </w:tcMar>
            <w:vAlign w:val="center"/>
          </w:tcPr>
          <w:p>
            <w:pPr>
              <w:pStyle w:val="TableContents"/>
              <w:bidi w:val="0"/>
              <w:spacing w:before="0" w:after="283"/>
              <w:jc w:val="right"/>
              <w:rPr>
                <w:color w:val="FFFFFF"/>
              </w:rPr>
            </w:pPr>
            <w:r>
              <w:rPr>
                <w:color w:val="FFFFFF"/>
              </w:rPr>
              <w:t> </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F8991D" w:val="clear"/>
            <w:tcMar>
              <w:bottom w:w="73" w:type="dxa"/>
            </w:tcMar>
            <w:vAlign w:val="center"/>
          </w:tcPr>
          <w:p>
            <w:pPr>
              <w:pStyle w:val="TableContents"/>
              <w:bidi w:val="0"/>
              <w:spacing w:before="0" w:after="283"/>
              <w:jc w:val="right"/>
              <w:rPr>
                <w:color w:val="FFFFFF"/>
              </w:rPr>
            </w:pPr>
            <w:r>
              <w:rPr>
                <w:color w:val="FFFFFF"/>
              </w:rPr>
              <w:t>​</w:t>
            </w:r>
            <w:r>
              <w:rPr>
                <w:rFonts w:ascii="Arial" w:hAnsi="Arial"/>
                <w:b/>
                <w:color w:val="FFFFFF"/>
                <w:sz w:val="16"/>
              </w:rPr>
              <w:t>5 for 1</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8991D" w:val="clear"/>
            <w:tcMar>
              <w:bottom w:w="73" w:type="dxa"/>
            </w:tcMar>
            <w:vAlign w:val="center"/>
          </w:tcPr>
          <w:p>
            <w:pPr>
              <w:pStyle w:val="TableContents"/>
              <w:bidi w:val="0"/>
              <w:spacing w:before="0" w:after="283"/>
              <w:jc w:val="right"/>
              <w:rPr>
                <w:color w:val="FFFFFF"/>
              </w:rPr>
            </w:pPr>
            <w:r>
              <w:rPr>
                <w:color w:val="FFFFFF"/>
              </w:rPr>
              <w:t>​</w:t>
            </w:r>
            <w:r>
              <w:rPr>
                <w:rFonts w:ascii="Arial" w:hAnsi="Arial"/>
                <w:b/>
                <w:color w:val="FFFFFF"/>
                <w:sz w:val="16"/>
              </w:rPr>
              <w:t>10 for 1</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8991D" w:val="clear"/>
            <w:tcMar>
              <w:bottom w:w="73" w:type="dxa"/>
            </w:tcMar>
            <w:vAlign w:val="center"/>
          </w:tcPr>
          <w:p>
            <w:pPr>
              <w:pStyle w:val="TableContents"/>
              <w:bidi w:val="0"/>
              <w:spacing w:before="0" w:after="283"/>
              <w:jc w:val="right"/>
              <w:rPr>
                <w:color w:val="FFFFFF"/>
              </w:rPr>
            </w:pPr>
            <w:r>
              <w:rPr>
                <w:color w:val="FFFFFF"/>
              </w:rPr>
              <w:t>​</w:t>
            </w:r>
            <w:r>
              <w:rPr>
                <w:rFonts w:ascii="Arial" w:hAnsi="Arial"/>
                <w:b/>
                <w:color w:val="FFFFFF"/>
                <w:sz w:val="16"/>
              </w:rPr>
              <w:t>15 for 1</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8991D" w:val="clear"/>
            <w:tcMar>
              <w:bottom w:w="73" w:type="dxa"/>
            </w:tcMar>
            <w:vAlign w:val="center"/>
          </w:tcPr>
          <w:p>
            <w:pPr>
              <w:pStyle w:val="TableContents"/>
              <w:bidi w:val="0"/>
              <w:spacing w:before="0" w:after="283"/>
              <w:jc w:val="right"/>
              <w:rPr>
                <w:color w:val="FFFFFF"/>
              </w:rPr>
            </w:pPr>
            <w:r>
              <w:rPr>
                <w:color w:val="FFFFFF"/>
              </w:rPr>
              <w:t>​</w:t>
            </w:r>
            <w:r>
              <w:rPr>
                <w:rFonts w:ascii="Arial" w:hAnsi="Arial"/>
                <w:b/>
                <w:color w:val="FFFFFF"/>
                <w:sz w:val="16"/>
              </w:rPr>
              <w:t xml:space="preserve">20 for 1 </w:t>
            </w:r>
          </w:p>
        </w:tc>
        <w:tc>
          <w:tcPr>
            <w:tcW w:w="220" w:type="dxa"/>
            <w:tcBorders>
              <w:bottom w:val="single" w:sz="8" w:space="0" w:color="FFFFFF"/>
            </w:tcBorders>
            <w:shd w:fill="F8991D"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FAFAFA"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Percentage reduction of shares of common stock outstanding post-Reverse Stock Split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80%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90%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93%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 xml:space="preserve">95% </w:t>
            </w:r>
          </w:p>
        </w:tc>
        <w:tc>
          <w:tcPr>
            <w:tcW w:w="22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EBEBEB"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Authorized shares of common stock</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900,000,000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180,000,000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90,000,000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60,000,000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45,000,000 </w:t>
            </w:r>
          </w:p>
        </w:tc>
        <w:tc>
          <w:tcPr>
            <w:tcW w:w="22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FAFAFA"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Shares of common stock outstanding</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39,042,445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7,808,489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3,904,244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2,602,829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1,952,122</w:t>
            </w:r>
          </w:p>
        </w:tc>
        <w:tc>
          <w:tcPr>
            <w:tcW w:w="22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EBEBEB"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Issued but not outstanding (held by the Company in Treasury Stock)</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p>
        </w:tc>
        <w:tc>
          <w:tcPr>
            <w:tcW w:w="22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FAFAFA"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Shares of common stock reserved for issuance upon exercise or settlement of outstanding equity incentive plan awards</w:t>
            </w:r>
            <w:r>
              <w:rPr>
                <w:rFonts w:ascii="Arial" w:hAnsi="Arial"/>
                <w:color w:val="000000"/>
                <w:position w:val="5"/>
                <w:sz w:val="13"/>
                <w:sz w:val="16"/>
              </w:rPr>
              <w:t>(1)</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10,237,270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2,047,454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1,023,727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682,484</w:t>
            </w:r>
            <w:r>
              <w:rPr>
                <w:rFonts w:ascii="Arial" w:hAnsi="Arial"/>
                <w:color w:val="000000"/>
                <w:sz w:val="16"/>
              </w:rPr>
              <w:t xml:space="preserve">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511,863</w:t>
            </w:r>
          </w:p>
        </w:tc>
        <w:tc>
          <w:tcPr>
            <w:tcW w:w="22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EBEBEB" w:val="clear"/>
            <w:tcMar>
              <w:bottom w:w="73" w:type="dxa"/>
            </w:tcMar>
            <w:vAlign w:val="center"/>
          </w:tcPr>
          <w:p>
            <w:pPr>
              <w:pStyle w:val="TableContents"/>
              <w:bidi w:val="0"/>
              <w:spacing w:before="0" w:after="283"/>
              <w:ind w:left="100" w:right="0" w:hanging="0"/>
              <w:jc w:val="left"/>
              <w:rPr>
                <w:color w:val="000000"/>
              </w:rPr>
            </w:pPr>
            <w:r>
              <w:rPr>
                <w:color w:val="000000"/>
              </w:rPr>
              <w:t>​</w:t>
            </w:r>
            <w:r>
              <w:rPr>
                <w:rFonts w:ascii="Arial" w:hAnsi="Arial"/>
                <w:color w:val="000000"/>
                <w:sz w:val="16"/>
              </w:rPr>
              <w:t>Shares of common stock reserved for future awards under our equity incentive plans</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 xml:space="preserve">5,693,482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1,138,696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569,348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379,565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284,674</w:t>
            </w:r>
          </w:p>
        </w:tc>
        <w:tc>
          <w:tcPr>
            <w:tcW w:w="22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FAFAFA"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Fully diluted shares of common stock (issued and reserved for issuance)</w:t>
            </w:r>
            <w:r>
              <w:rPr>
                <w:rFonts w:ascii="Arial" w:hAnsi="Arial"/>
                <w:color w:val="000000"/>
                <w:position w:val="5"/>
                <w:sz w:val="13"/>
                <w:sz w:val="16"/>
              </w:rPr>
              <w:t>(1)</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54,973,197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10,994,639</w:t>
            </w:r>
            <w:r>
              <w:rPr>
                <w:rFonts w:ascii="Arial" w:hAnsi="Arial"/>
                <w:color w:val="000000"/>
                <w:sz w:val="16"/>
              </w:rPr>
              <w:t xml:space="preserve">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5,497,319</w:t>
            </w:r>
            <w:r>
              <w:rPr>
                <w:rFonts w:ascii="Arial" w:hAnsi="Arial"/>
                <w:color w:val="000000"/>
                <w:sz w:val="16"/>
              </w:rPr>
              <w:t xml:space="preserve">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3,664,878</w:t>
            </w:r>
            <w:r>
              <w:rPr>
                <w:rFonts w:ascii="Arial" w:hAnsi="Arial"/>
                <w:color w:val="000000"/>
                <w:sz w:val="16"/>
              </w:rPr>
              <w:t xml:space="preserve">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FAFAFA"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2,748,659</w:t>
            </w:r>
          </w:p>
        </w:tc>
        <w:tc>
          <w:tcPr>
            <w:tcW w:w="22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3129" w:type="dxa"/>
            <w:tcBorders>
              <w:bottom w:val="single" w:sz="8" w:space="0" w:color="FFFFFF"/>
            </w:tcBorders>
            <w:shd w:fill="EBEBEB" w:val="clear"/>
            <w:tcMar>
              <w:bottom w:w="73" w:type="dxa"/>
            </w:tcM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Shares of common stock authorized but not issued or reserved for issuance</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97"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845,026,803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6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169,005,361</w:t>
            </w:r>
            <w:r>
              <w:rPr>
                <w:rFonts w:ascii="Arial" w:hAnsi="Arial"/>
                <w:color w:val="000000"/>
                <w:sz w:val="16"/>
              </w:rPr>
              <w:t xml:space="preserve">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84,502,681</w:t>
            </w:r>
            <w:r>
              <w:rPr>
                <w:rFonts w:ascii="Arial" w:hAnsi="Arial"/>
                <w:color w:val="000000"/>
                <w:sz w:val="16"/>
              </w:rPr>
              <w:t xml:space="preserve">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56,335,122</w:t>
            </w:r>
            <w:r>
              <w:rPr>
                <w:rFonts w:ascii="Arial" w:hAnsi="Arial"/>
                <w:color w:val="000000"/>
                <w:sz w:val="16"/>
              </w:rPr>
              <w:t xml:space="preserve">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71" w:type="dxa"/>
            <w:tcBorders>
              <w:bottom w:val="single" w:sz="8" w:space="0" w:color="FFFFFF"/>
            </w:tcBorders>
            <w:shd w:fill="EBEBEB" w:val="clear"/>
            <w:tcMar>
              <w:bottom w:w="73" w:type="dxa"/>
            </w:tcMar>
            <w:vAlign w:val="center"/>
          </w:tcPr>
          <w:p>
            <w:pPr>
              <w:pStyle w:val="TableContents"/>
              <w:bidi w:val="0"/>
              <w:spacing w:before="0" w:after="283"/>
              <w:jc w:val="right"/>
              <w:rPr>
                <w:color w:val="000000"/>
              </w:rPr>
            </w:pPr>
            <w:r>
              <w:rPr>
                <w:color w:val="000000"/>
              </w:rPr>
              <w:t>​</w:t>
            </w:r>
            <w:r>
              <w:rPr>
                <w:rFonts w:ascii="Arial" w:hAnsi="Arial"/>
                <w:color w:val="000000"/>
                <w:sz w:val="16"/>
              </w:rPr>
              <w:t>42,251,341</w:t>
            </w:r>
          </w:p>
        </w:tc>
        <w:tc>
          <w:tcPr>
            <w:tcW w:w="22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3129" w:type="dxa"/>
            <w:tcBorders/>
            <w:shd w:fill="FAFAFA" w:val="clear"/>
            <w:vAlign w:val="center"/>
          </w:tcPr>
          <w:p>
            <w:pPr>
              <w:pStyle w:val="TableContents"/>
              <w:bidi w:val="0"/>
              <w:spacing w:before="0" w:after="283"/>
              <w:ind w:left="100" w:right="0" w:hanging="0"/>
              <w:jc w:val="left"/>
              <w:rPr>
                <w:rFonts w:ascii="Arial" w:hAnsi="Arial"/>
                <w:color w:val="000000"/>
                <w:sz w:val="16"/>
              </w:rPr>
            </w:pPr>
            <w:r>
              <w:rPr>
                <w:rFonts w:ascii="Arial" w:hAnsi="Arial"/>
                <w:color w:val="000000"/>
                <w:sz w:val="16"/>
              </w:rPr>
              <w:t>Percentage of shares of common stock authorized but not issued or reserved for issuance</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397"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93.9%</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961" w:type="dxa"/>
            <w:tcBorders/>
            <w:shd w:fill="FAFAFA" w:val="clear"/>
            <w:vAlign w:val="center"/>
          </w:tcPr>
          <w:p>
            <w:pPr>
              <w:pStyle w:val="TableContents"/>
              <w:bidi w:val="0"/>
              <w:spacing w:before="0" w:after="283"/>
              <w:jc w:val="right"/>
              <w:rPr>
                <w:color w:val="000000"/>
              </w:rPr>
            </w:pPr>
            <w:r>
              <w:rPr>
                <w:color w:val="000000"/>
              </w:rPr>
              <w:t>​</w:t>
            </w:r>
            <w:r>
              <w:rPr>
                <w:rFonts w:ascii="Arial" w:hAnsi="Arial"/>
                <w:color w:val="000000"/>
                <w:sz w:val="16"/>
              </w:rPr>
              <w:t xml:space="preserve">93.9%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71" w:type="dxa"/>
            <w:tcBorders/>
            <w:shd w:fill="FAFAFA" w:val="clear"/>
            <w:vAlign w:val="center"/>
          </w:tcPr>
          <w:p>
            <w:pPr>
              <w:pStyle w:val="TableContents"/>
              <w:bidi w:val="0"/>
              <w:spacing w:before="0" w:after="283"/>
              <w:jc w:val="right"/>
              <w:rPr>
                <w:color w:val="000000"/>
              </w:rPr>
            </w:pPr>
            <w:r>
              <w:rPr>
                <w:color w:val="000000"/>
              </w:rPr>
              <w:t>​</w:t>
            </w:r>
            <w:r>
              <w:rPr>
                <w:rFonts w:ascii="Arial" w:hAnsi="Arial"/>
                <w:color w:val="000000"/>
                <w:sz w:val="16"/>
              </w:rPr>
              <w:t xml:space="preserve">93.9%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71" w:type="dxa"/>
            <w:tcBorders/>
            <w:shd w:fill="FAFAFA" w:val="clear"/>
            <w:vAlign w:val="center"/>
          </w:tcPr>
          <w:p>
            <w:pPr>
              <w:pStyle w:val="TableContents"/>
              <w:bidi w:val="0"/>
              <w:spacing w:before="0" w:after="283"/>
              <w:jc w:val="right"/>
              <w:rPr>
                <w:color w:val="000000"/>
              </w:rPr>
            </w:pPr>
            <w:r>
              <w:rPr>
                <w:color w:val="000000"/>
              </w:rPr>
              <w:t>​</w:t>
            </w:r>
            <w:r>
              <w:rPr>
                <w:rFonts w:ascii="Arial" w:hAnsi="Arial"/>
                <w:color w:val="000000"/>
                <w:sz w:val="16"/>
              </w:rPr>
              <w:t xml:space="preserve">93.9%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71" w:type="dxa"/>
            <w:tcBorders/>
            <w:shd w:fill="FAFAFA" w:val="clear"/>
            <w:vAlign w:val="center"/>
          </w:tcPr>
          <w:p>
            <w:pPr>
              <w:pStyle w:val="TableContents"/>
              <w:bidi w:val="0"/>
              <w:spacing w:before="0" w:after="283"/>
              <w:jc w:val="right"/>
              <w:rPr>
                <w:color w:val="000000"/>
              </w:rPr>
            </w:pPr>
            <w:r>
              <w:rPr>
                <w:color w:val="000000"/>
              </w:rPr>
              <w:t>​</w:t>
            </w:r>
            <w:r>
              <w:rPr>
                <w:rFonts w:ascii="Arial" w:hAnsi="Arial"/>
                <w:color w:val="000000"/>
                <w:sz w:val="16"/>
              </w:rPr>
              <w:t>93.9%</w:t>
            </w:r>
          </w:p>
        </w:tc>
        <w:tc>
          <w:tcPr>
            <w:tcW w:w="220" w:type="dxa"/>
            <w:tcBorders/>
            <w:shd w:fill="FAFAFA" w:val="cle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3129"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397"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961"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71"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71"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71" w:type="dxa"/>
            <w:tcBorders/>
            <w:shd w:fill="FAFAFA" w:val="clear"/>
            <w:vAlign w:val="center"/>
          </w:tcPr>
          <w:p>
            <w:pPr>
              <w:pStyle w:val="TableContents"/>
              <w:bidi w:val="0"/>
              <w:spacing w:before="0" w:after="0"/>
              <w:jc w:val="left"/>
              <w:rPr/>
            </w:pPr>
            <w:r>
              <w:rPr/>
              <w:t> </w:t>
            </w:r>
          </w:p>
        </w:tc>
        <w:tc>
          <w:tcPr>
            <w:tcW w:w="220" w:type="dxa"/>
            <w:tcBorders/>
            <w:shd w:fill="FAFAF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6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Includes shares issuable upon exercise of awards under our 2014 Equity Incentive Plan, 2020 Equity Incentive Plan, 2020 Employee Stock Purchase Plan, and 2024 Inducement Equity Incentive Plan (the “Plans”).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81" w:name="ny20044300x2_def14a_109-report_pg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b/>
          <w:color w:val="255993"/>
          <w:sz w:val="18"/>
        </w:rPr>
      </w:pPr>
      <w:bookmarkStart w:id="82" w:name="tEOE"/>
      <w:bookmarkEnd w:id="82"/>
      <w:r>
        <w:rPr>
          <w:rFonts w:ascii="Arial" w:hAnsi="Arial"/>
          <w:b/>
          <w:color w:val="255993"/>
          <w:sz w:val="18"/>
        </w:rPr>
        <w:t xml:space="preserve">EFFECT ON EQUITY COMPENSATION PLANS, OUTSTANDING OPTIONS AND RSUs </w:t>
      </w:r>
    </w:p>
    <w:p>
      <w:pPr>
        <w:pStyle w:val="TextBody"/>
        <w:bidi w:val="0"/>
        <w:spacing w:before="120" w:after="283"/>
        <w:ind w:left="0" w:right="0" w:hanging="0"/>
        <w:jc w:val="left"/>
        <w:rPr>
          <w:rFonts w:ascii="Arial" w:hAnsi="Arial"/>
          <w:color w:val="000000"/>
          <w:sz w:val="18"/>
        </w:rPr>
      </w:pPr>
      <w:r>
        <w:rPr>
          <w:rFonts w:ascii="Arial" w:hAnsi="Arial"/>
          <w:color w:val="000000"/>
          <w:sz w:val="18"/>
        </w:rPr>
        <w:t>As shown in the table above, if the Reverse Stock Split is approved and effected, the total number of shares of common stock reserved for issuance under our equity incentive plans would be reduced in proportion to the ratio selected by our board of directors. As of April 4, 2025, there were a total of (1) 146,591 shares of common stock reserved for issuance upon the exercise of stock options outstanding under the 2014 Equity Incentive Plan, (2) 8,489,199 shares of common stock reserved for issuance upon the exercise of applicable stock options and 1,201,480 shares reserved for restricted stock units outstanding under the 2020 Equity Incentive Plan (3) 400,000 shares of common stock reserved for issuance upon the exercise of stock options outstanding under the 2024 Inducement Equity Incentive Plan, (4) 3,614,629 shares of common stock reserved for issuance under future equity awards granted under the 2020 Equity Incentive Plan, plus our 2020 Equity Incentive Plan includes provisions providing for an annual increase in the number of shares of common stock available for future issuance on the first day of each fiscal year, equal to the least of: (A) 3,230,000 shares of common stock; (B) 5% of the outstanding shares of common stock as of the last day of the immediately preceding fiscal year; and (C) such lesser number of shares determined by the board of directors, (5) 1,728,853 shares reserved for future issuance under the 2020 Employee Stock Purchase Plan (including shares that may be purchased pursuant to options outstanding in the current offering period), plus our 2020 Employee Stock Purchase Plan includes provisions providing for an annual increase in the number of shares of common stock available for future issuance on the first day of each fiscal year, equal to the least of: (A) 1% of the outstanding shares of common stock as of the last day of the immediately preceding fiscal year; (B) 646,000 shares; and (C) such lesser number of shares determined by the board of directors and (6) 350,000 shares reserved for issuance under future equity awards granted under the 2024 Inducement Equity Incentive Plan. Following the Reverse Stock Split, if any, all shares of common stock available for issuance upon the exercise of outstanding equity awards under each Plan and shares remaining available for future awards under each Plan (other than our 2014 Equity Incentive Plan, which is no longer in use) would be converted at the Effective Time into one-fifth, one-tenth, one-fifteenth or one-twentieth of the number of such shares immediately preceding the Reverse Stock Split (with the result, if not a whole share, rounded down to the nearest whole share).</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Under the terms of our outstanding options and RSUs, the Reverse Stock Split would adjust and proportionately reduce the number of shares of common stock issuable upon exercise or settlement, as applicable, of such options and RSUs in the same ratio of the Reverse Stock Split (with the result, if not a whole share, rounded down to the nearest whole share) and, correspondingly, would proportionately increase the exercise price of such options (with the result, if not a whole cent, rounded up to the nearest whole cent). This will result in approximately the same aggregate price being required to be paid upon exercise as immediately preceding the Reverse Stock Split. The number of shares of common stock issuable upon exercise or settlement of outstanding options and RSUs and the exercise price related thereto, as applicable, would be equitably adjusted in accordance with the terms of the Plans, which may include rounding down the number of shares of common stock issuable to the nearest whole share. </w:t>
      </w:r>
    </w:p>
    <w:p>
      <w:pPr>
        <w:pStyle w:val="TextBody"/>
        <w:bidi w:val="0"/>
        <w:spacing w:before="330" w:after="283"/>
        <w:ind w:left="0" w:right="0" w:hanging="0"/>
        <w:jc w:val="left"/>
        <w:rPr>
          <w:rFonts w:ascii="Arial" w:hAnsi="Arial"/>
          <w:b/>
          <w:color w:val="255993"/>
          <w:sz w:val="18"/>
        </w:rPr>
      </w:pPr>
      <w:bookmarkStart w:id="83" w:name="tAM"/>
      <w:bookmarkEnd w:id="83"/>
      <w:r>
        <w:rPr>
          <w:rFonts w:ascii="Arial" w:hAnsi="Arial"/>
          <w:b/>
          <w:color w:val="255993"/>
          <w:sz w:val="18"/>
        </w:rPr>
        <w:t xml:space="preserve">ACCOUNTING MATTERS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Reverse Stock Split will not affect the par value of a share of our common stock. As a result, as of the Effective Time, the stated capital attributable to common stock on our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 </w:t>
      </w:r>
    </w:p>
    <w:p>
      <w:pPr>
        <w:pStyle w:val="TextBody"/>
        <w:bidi w:val="0"/>
        <w:spacing w:before="290" w:after="283"/>
        <w:ind w:left="0" w:right="0" w:hanging="0"/>
        <w:jc w:val="left"/>
        <w:rPr>
          <w:rFonts w:ascii="Arial" w:hAnsi="Arial"/>
          <w:b/>
          <w:color w:val="F8991D"/>
          <w:sz w:val="20"/>
        </w:rPr>
      </w:pPr>
      <w:bookmarkStart w:id="84" w:name="tMOT"/>
      <w:bookmarkEnd w:id="84"/>
      <w:r>
        <w:rPr>
          <w:rFonts w:ascii="Arial" w:hAnsi="Arial"/>
          <w:b/>
          <w:color w:val="F8991D"/>
          <w:sz w:val="20"/>
        </w:rPr>
        <w:t xml:space="preserve">MECHANICS OF THE REVERSE STOCK SPLIT </w:t>
      </w:r>
    </w:p>
    <w:p>
      <w:pPr>
        <w:pStyle w:val="TextBody"/>
        <w:bidi w:val="0"/>
        <w:spacing w:before="170" w:after="283"/>
        <w:ind w:left="0" w:right="0" w:hanging="0"/>
        <w:jc w:val="left"/>
        <w:rPr>
          <w:rFonts w:ascii="Arial" w:hAnsi="Arial"/>
          <w:b/>
          <w:color w:val="255993"/>
          <w:sz w:val="18"/>
        </w:rPr>
      </w:pPr>
      <w:r>
        <w:rPr>
          <w:rFonts w:ascii="Arial" w:hAnsi="Arial"/>
          <w:b/>
          <w:color w:val="255993"/>
          <w:sz w:val="18"/>
        </w:rPr>
        <w:t xml:space="preserve">EFFECT ON BENEFICIAL HOLDERS (I.E., STOCKHOLDERS WHO HOLD IN “STREET NAME”)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Upon the Reverse Stock Split, we intend to treat common stock held by stockholders in “street name,” through a bank, broker or other nominee, in the same manner as stockholders whose shares are registered in their own names. Banks, brokers or other nominees will be instructed to effect the Reverse Stock Split for their customers holding common stock in “street name.” However, these banks, brokers or other nominees may have different procedures than registered stockholders for processing the Reverse Stock Split. If you hold shares of common stock with a bank, broker or other nominee and have any questions in this regard, you are encouraged to contact your bank, broker or other nominee.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85" w:name="ny20044300x2_def14a_109-report_pg7"/>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b/>
          <w:color w:val="255993"/>
          <w:sz w:val="18"/>
        </w:rPr>
      </w:pPr>
      <w:r>
        <w:rPr>
          <w:rFonts w:ascii="Arial" w:hAnsi="Arial"/>
          <w:b/>
          <w:color w:val="255993"/>
          <w:sz w:val="18"/>
        </w:rPr>
        <w:t xml:space="preserve">EFFECT ON REGISTERED “BOOK-ENTRY” HOLDERS OF COMMON STOCK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Stockholders may hold some or all of their common stock electronically in book-entry form with our transfer agent, Computershare Trust Company, N.A. These stockholders will not have stock certificates evidencing their ownership of common stock. They are, however, provided with a statement reflecting the number of shares of common stock registered in their accounts. If you hold registered common stock in book-entry form, you do not need to take any action to receive your post-split shares, if applicable. If a stockholder is entitled to post-Reverse Stock Split shares, a transaction statement will automatically be sent to the stockholder’s address of record indicating the number of shares of common stock held following the Reverse Stock Split.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EFFECT ON HOLDERS OF STOCK CERTIFICATES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Stockholders may hold stock certificates representing some or all of their common stock. As of the Effective Time, each certificate representing pre-split shares of common stock will, until surrendered and exchanged, be deemed to represent only the relevant number of post-split shares of common stock as a result and at the time of the Reverse Stock Split. If applicable to you, as soon as practicable after the Effective Time, our transfer agent, Computershare Trust Company, N.A., will mail you a letter of transmittal. Upon receipt of your properly completed and executed letter of transmittal and your stock certificate(s), you will be issued the appropriate number of shares of the Company’s common stock either as stock certificates (including legends, if appropriate) or electronically in book-entry form, as determined by the Company. </w:t>
      </w:r>
    </w:p>
    <w:p>
      <w:pPr>
        <w:pStyle w:val="TextBody"/>
        <w:bidi w:val="0"/>
        <w:spacing w:before="320" w:after="283"/>
        <w:ind w:left="0" w:right="0" w:hanging="0"/>
        <w:jc w:val="left"/>
        <w:rPr>
          <w:rFonts w:ascii="Arial" w:hAnsi="Arial"/>
          <w:b/>
          <w:color w:val="255993"/>
          <w:sz w:val="18"/>
        </w:rPr>
      </w:pPr>
      <w:r>
        <w:rPr>
          <w:rFonts w:ascii="Arial" w:hAnsi="Arial"/>
          <w:b/>
          <w:color w:val="255993"/>
          <w:sz w:val="18"/>
        </w:rPr>
        <w:t xml:space="preserve">FRACTIONAL SHARES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will not issue fractional shares in connection with the Reverse Stock Split. Instead, any fractional share that would otherwise result from the Reverse Stock Split because the stockholder owns a number of shares not evenly divisible by the ratio would instead settle in cash. The cash amount to be paid to each stockholder would be equal to the resulting fractional interest in one share of our common stock to which the stockholder would otherwise be entitled, multiplied by the closing trading price of our common stock on the trading day immediately preceding the Effective Time (as adjusted to give effect to the Reverse Stock Split), without interest. We do not anticipate that the aggregate cash amount paid by the Company for fractional interests will be material to the Company. </w:t>
      </w:r>
    </w:p>
    <w:p>
      <w:pPr>
        <w:pStyle w:val="TextBody"/>
        <w:bidi w:val="0"/>
        <w:spacing w:before="280" w:after="283"/>
        <w:ind w:left="0" w:right="0" w:hanging="0"/>
        <w:jc w:val="left"/>
        <w:rPr>
          <w:rFonts w:ascii="Arial" w:hAnsi="Arial"/>
          <w:b/>
          <w:color w:val="F8991D"/>
          <w:sz w:val="20"/>
        </w:rPr>
      </w:pPr>
      <w:bookmarkStart w:id="86" w:name="tPFI"/>
      <w:bookmarkEnd w:id="86"/>
      <w:r>
        <w:rPr>
          <w:rFonts w:ascii="Arial" w:hAnsi="Arial"/>
          <w:b/>
          <w:color w:val="F8991D"/>
          <w:sz w:val="20"/>
        </w:rPr>
        <w:t xml:space="preserve">PROCEDURE FOR IMPLEMENTING THE REVERSE STOCK SPLIT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Effective Time, if the Reverse Stock Split is approved by stockholders and implemented by us, will be the date and time set forth in the applicable Certificate of Amendment that is filed with the Delaware Secretary of State. If the Reverse Stock Split Proposal is approved and the board of directors determines to proceed with the Reverse Stock Split, the exact timing of the filing of the applicable Certificate of Amendment will be determined by our board of directors. By approving the Reverse Stock Split Proposal, the stockholders will approve each of the four (4) amendments proposed by the board of directors. The Certificate of Amendment filed with the Secretary of State of the State of Delaware will include only that amendment determined by the board of directors to be in the best interests of the Company and its stockholders. The other three (3) proposed amendments will be abandoned pursuant to Section 242(c) of the Delaware General Corporation Law.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at any time prior to the filing of any Certificate of Amendment with the Delaware Secretary of State, notwithstanding stockholder approval, and without further action by the stockholders, the board of directors, in its sole discretion, determines that it is in our best interests and the best interests of our stockholders to delay the filing of the Certificate of Amendment or abandon the Reverse Stock Split Proposal, the Reverse Stock Split Proposal may be delayed or abandoned. We reserve the right to abandon any three (3) proposed amendments or the Reverse Stock Split Proposal in its entirety without further action by our stockholders at any time before the effectiveness of the filing with the Secretary of the State of Delaware of the Certificate of Amendment, even if the authority to effect the Reverse Stock Split Proposal has been approved by our stockholders at the Annual Meeting. By voting in favor of the Reverse Stock Split Proposal, you are expressly also authorizing the board of directors to delay, not to proceed with, and abandon, any three (3) proposed amendments or the Reverse Stock Split Proposal in its entirety if it should so decide, in its sole discretion.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a Reverse Stock Split is effected, then after the Effective Time, our common stock will have a new Committee on Uniform Securities Identification Procedures (“CUSIP”) number, which is a number used to identify our equity securities, and stock certificates with the older CUSIP number will need to be exchanged for stock certificates with the new CUSIP number by following the procedures described below. After the Reverse Stock Split, we will continue to be subject to the periodic reporting and other requirements of the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87" w:name="ny20044300x2_def14a_109-report_pg8"/>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Exchange Act. We currently expect that our common stock will continue to be listed on Nasdaq under the symbol “ATHA” subject to any future change of listing of our securities, although it will be considered a new listing with a new CUSIP number. The Reverse Stock Split is not intended to be, and we do not believe that it will have the effect of, a “going private transaction” covered by Rule 13e-3 under the Exchange Act. </w:t>
      </w:r>
    </w:p>
    <w:p>
      <w:pPr>
        <w:pStyle w:val="TextBody"/>
        <w:bidi w:val="0"/>
        <w:spacing w:before="270" w:after="283"/>
        <w:ind w:left="0" w:right="0" w:hanging="0"/>
        <w:jc w:val="left"/>
        <w:rPr>
          <w:rFonts w:ascii="Arial" w:hAnsi="Arial"/>
          <w:b/>
          <w:color w:val="F8991D"/>
          <w:sz w:val="20"/>
        </w:rPr>
      </w:pPr>
      <w:bookmarkStart w:id="88" w:name="tNAR"/>
      <w:bookmarkEnd w:id="88"/>
      <w:r>
        <w:rPr>
          <w:rFonts w:ascii="Arial" w:hAnsi="Arial"/>
          <w:b/>
          <w:color w:val="F8991D"/>
          <w:sz w:val="20"/>
        </w:rPr>
        <w:t xml:space="preserve">NO APPRAISAL RIGHTS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Under the Delaware General Corporation Law, stockholders are not entitled to dissenter’s or appraisal rights with respect to the Reverse Stock Split, and we will not independently provide stockholders with any such rights. </w:t>
      </w:r>
    </w:p>
    <w:p>
      <w:pPr>
        <w:pStyle w:val="TextBody"/>
        <w:bidi w:val="0"/>
        <w:spacing w:before="270" w:after="283"/>
        <w:ind w:left="0" w:right="0" w:hanging="0"/>
        <w:jc w:val="left"/>
        <w:rPr>
          <w:rFonts w:ascii="Arial" w:hAnsi="Arial"/>
          <w:b/>
          <w:color w:val="F8991D"/>
          <w:sz w:val="20"/>
        </w:rPr>
      </w:pPr>
      <w:bookmarkStart w:id="89" w:name="tMUS"/>
      <w:bookmarkEnd w:id="89"/>
      <w:r>
        <w:rPr>
          <w:rFonts w:ascii="Arial" w:hAnsi="Arial"/>
          <w:b/>
          <w:color w:val="F8991D"/>
          <w:sz w:val="20"/>
        </w:rPr>
        <w:t xml:space="preserve">MATERIAL U.S. FEDERAL INCOME TAX CONSIDERATIONS OF THE REVERSE STOCK SPLIT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following discussion is a summary of material U.S. federal income tax consequences of the Reverse Stock Split to stockholders but does not purport to be a complete analysis of all potential tax effects that may be relevant to stockholders. The effects of other U.S. federal tax laws, such as estate and gift tax laws, and any applicable state, local, or foreign tax laws are not discussed. This discussion is based on the Internal Revenue Code of 1986 (the “Code”), U.S. Treasury Regulations promulgated thereunder, judicial decisions, and published rulings and administrative pronouncements of the Internal Revenue Service (the “IRS”), in effect as of the date of this proxy statement. These authorities may change or be subject to differing interpretations. Any such change may be applied retroactively in a manner that could adversely affect a holder of our common stock. We have not sought, and will not seek, any ruling from the IRS or an opinion of tax counsel with respect to the matters discussed herein. The discussion below regarding the U.S. federal income tax consequences of the Reverse Stock Split is not binding on the IRS or the courts. Accordingly, each stockholder is urged to consult with his, her or its own tax advisor with respect to the tax consequences of the Reverse Stock Split. </w:t>
      </w:r>
    </w:p>
    <w:p>
      <w:pPr>
        <w:pStyle w:val="TextBody"/>
        <w:bidi w:val="0"/>
        <w:spacing w:before="160" w:after="283"/>
        <w:ind w:left="0" w:right="0" w:hanging="0"/>
        <w:jc w:val="left"/>
        <w:rPr>
          <w:rFonts w:ascii="Arial" w:hAnsi="Arial"/>
          <w:color w:val="000000"/>
          <w:sz w:val="18"/>
        </w:rPr>
      </w:pPr>
      <w:r>
        <w:rPr>
          <w:rFonts w:ascii="Arial" w:hAnsi="Arial"/>
          <w:color w:val="000000"/>
          <w:sz w:val="18"/>
        </w:rPr>
        <w:t>This summary is limited to U.S. stockholders who hold shares of our common stock prior to the Reverse Stock Split (the “Old Shares”), and the shares of our common stock immediately after the Reverse Stock Split (the “New Shares”), as a “capital asset” within the meaning of Section 1221 of the Code (generally, property held for investment). This discussion does not address all U.S. federal income tax consequences relevant to the particular circumstances of a stockholder. In addition, it does not address consequences relevant to stockholders that are subject to particular rules, including:</w:t>
      </w:r>
    </w:p>
    <w:tbl>
      <w:tblPr>
        <w:tblW w:w="8515" w:type="dxa"/>
        <w:jc w:val="left"/>
        <w:tblInd w:w="0" w:type="dxa"/>
        <w:tblLayout w:type="fixed"/>
        <w:tblCellMar>
          <w:top w:w="0" w:type="dxa"/>
          <w:left w:w="0" w:type="dxa"/>
          <w:bottom w:w="0" w:type="dxa"/>
          <w:right w:w="0" w:type="dxa"/>
        </w:tblCellMar>
      </w:tblPr>
      <w:tblGrid>
        <w:gridCol w:w="140"/>
        <w:gridCol w:w="8375"/>
      </w:tblGrid>
      <w:tr>
        <w:trPr/>
        <w:tc>
          <w:tcPr>
            <w:tcW w:w="140" w:type="dxa"/>
            <w:tcBorders/>
            <w:vAlign w:val="center"/>
          </w:tcPr>
          <w:p>
            <w:pPr>
              <w:pStyle w:val="TableContents"/>
              <w:bidi w:val="0"/>
              <w:spacing w:before="0" w:after="0"/>
              <w:jc w:val="left"/>
              <w:rPr>
                <w:color w:val="255993"/>
              </w:rPr>
            </w:pPr>
            <w:r>
              <w:rPr>
                <w:color w:val="255993"/>
              </w:rPr>
              <w:t>•</w:t>
            </w:r>
          </w:p>
        </w:tc>
        <w:tc>
          <w:tcPr>
            <w:tcW w:w="837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subject to the alternative minimum tax or Medicare contribution tax on net investment income; </w:t>
            </w:r>
          </w:p>
        </w:tc>
      </w:tr>
    </w:tbl>
    <w:tbl>
      <w:tblPr>
        <w:tblW w:w="4825" w:type="dxa"/>
        <w:jc w:val="left"/>
        <w:tblInd w:w="0" w:type="dxa"/>
        <w:tblLayout w:type="fixed"/>
        <w:tblCellMar>
          <w:top w:w="0" w:type="dxa"/>
          <w:left w:w="0" w:type="dxa"/>
          <w:bottom w:w="0" w:type="dxa"/>
          <w:right w:w="0" w:type="dxa"/>
        </w:tblCellMar>
      </w:tblPr>
      <w:tblGrid>
        <w:gridCol w:w="140"/>
        <w:gridCol w:w="4685"/>
      </w:tblGrid>
      <w:tr>
        <w:trPr/>
        <w:tc>
          <w:tcPr>
            <w:tcW w:w="140" w:type="dxa"/>
            <w:tcBorders/>
            <w:vAlign w:val="center"/>
          </w:tcPr>
          <w:p>
            <w:pPr>
              <w:pStyle w:val="TableContents"/>
              <w:bidi w:val="0"/>
              <w:spacing w:before="0" w:after="0"/>
              <w:jc w:val="left"/>
              <w:rPr>
                <w:color w:val="255993"/>
              </w:rPr>
            </w:pPr>
            <w:r>
              <w:rPr>
                <w:color w:val="255993"/>
              </w:rPr>
              <w:t>•</w:t>
            </w:r>
          </w:p>
        </w:tc>
        <w:tc>
          <w:tcPr>
            <w:tcW w:w="468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holding our common stock as part of a hedge, straddle, or other risk reduction strategy or as part of a conversion transaction or other integrated investment;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255993"/>
              </w:rPr>
            </w:pPr>
            <w:r>
              <w:rPr>
                <w:color w:val="255993"/>
              </w:rPr>
              <w:t>•</w:t>
            </w:r>
          </w:p>
        </w:tc>
        <w:tc>
          <w:tcPr>
            <w:tcW w:w="498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who are former U.S. citizens or long-term residents; </w:t>
            </w:r>
          </w:p>
        </w:tc>
      </w:tr>
    </w:tbl>
    <w:tbl>
      <w:tblPr>
        <w:tblW w:w="4615" w:type="dxa"/>
        <w:jc w:val="left"/>
        <w:tblInd w:w="0" w:type="dxa"/>
        <w:tblLayout w:type="fixed"/>
        <w:tblCellMar>
          <w:top w:w="0" w:type="dxa"/>
          <w:left w:w="0" w:type="dxa"/>
          <w:bottom w:w="0" w:type="dxa"/>
          <w:right w:w="0" w:type="dxa"/>
        </w:tblCellMar>
      </w:tblPr>
      <w:tblGrid>
        <w:gridCol w:w="140"/>
        <w:gridCol w:w="4475"/>
      </w:tblGrid>
      <w:tr>
        <w:trPr/>
        <w:tc>
          <w:tcPr>
            <w:tcW w:w="140" w:type="dxa"/>
            <w:tcBorders/>
            <w:vAlign w:val="center"/>
          </w:tcPr>
          <w:p>
            <w:pPr>
              <w:pStyle w:val="TableContents"/>
              <w:bidi w:val="0"/>
              <w:spacing w:before="0" w:after="0"/>
              <w:jc w:val="left"/>
              <w:rPr>
                <w:color w:val="255993"/>
              </w:rPr>
            </w:pPr>
            <w:r>
              <w:rPr>
                <w:color w:val="255993"/>
              </w:rPr>
              <w:t>•</w:t>
            </w:r>
          </w:p>
        </w:tc>
        <w:tc>
          <w:tcPr>
            <w:tcW w:w="447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who are not U.S. Holders (as defined below); </w:t>
            </w:r>
          </w:p>
        </w:tc>
      </w:tr>
    </w:tbl>
    <w:tbl>
      <w:tblPr>
        <w:tblW w:w="5170" w:type="dxa"/>
        <w:jc w:val="left"/>
        <w:tblInd w:w="0" w:type="dxa"/>
        <w:tblLayout w:type="fixed"/>
        <w:tblCellMar>
          <w:top w:w="0" w:type="dxa"/>
          <w:left w:w="0" w:type="dxa"/>
          <w:bottom w:w="0" w:type="dxa"/>
          <w:right w:w="0" w:type="dxa"/>
        </w:tblCellMar>
      </w:tblPr>
      <w:tblGrid>
        <w:gridCol w:w="140"/>
        <w:gridCol w:w="5030"/>
      </w:tblGrid>
      <w:tr>
        <w:trPr/>
        <w:tc>
          <w:tcPr>
            <w:tcW w:w="140" w:type="dxa"/>
            <w:tcBorders/>
            <w:vAlign w:val="center"/>
          </w:tcPr>
          <w:p>
            <w:pPr>
              <w:pStyle w:val="TableContents"/>
              <w:bidi w:val="0"/>
              <w:spacing w:before="0" w:after="0"/>
              <w:jc w:val="left"/>
              <w:rPr>
                <w:color w:val="255993"/>
              </w:rPr>
            </w:pPr>
            <w:r>
              <w:rPr>
                <w:color w:val="255993"/>
              </w:rPr>
              <w:t>•</w:t>
            </w:r>
          </w:p>
        </w:tc>
        <w:tc>
          <w:tcPr>
            <w:tcW w:w="503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banks, insurance companies, and other financial institutions; </w:t>
            </w:r>
          </w:p>
        </w:tc>
      </w:tr>
    </w:tbl>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255993"/>
              </w:rPr>
            </w:pPr>
            <w:r>
              <w:rPr>
                <w:color w:val="255993"/>
              </w:rPr>
              <w:t>•</w:t>
            </w:r>
          </w:p>
        </w:tc>
        <w:tc>
          <w:tcPr>
            <w:tcW w:w="648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mutual funds, real estate investment trusts or regulated investment companies; </w:t>
            </w:r>
          </w:p>
        </w:tc>
      </w:tr>
    </w:tbl>
    <w:tbl>
      <w:tblPr>
        <w:tblW w:w="3520" w:type="dxa"/>
        <w:jc w:val="left"/>
        <w:tblInd w:w="0" w:type="dxa"/>
        <w:tblLayout w:type="fixed"/>
        <w:tblCellMar>
          <w:top w:w="0" w:type="dxa"/>
          <w:left w:w="0" w:type="dxa"/>
          <w:bottom w:w="0" w:type="dxa"/>
          <w:right w:w="0" w:type="dxa"/>
        </w:tblCellMar>
      </w:tblPr>
      <w:tblGrid>
        <w:gridCol w:w="140"/>
        <w:gridCol w:w="3380"/>
      </w:tblGrid>
      <w:tr>
        <w:trPr/>
        <w:tc>
          <w:tcPr>
            <w:tcW w:w="140" w:type="dxa"/>
            <w:tcBorders/>
            <w:vAlign w:val="center"/>
          </w:tcPr>
          <w:p>
            <w:pPr>
              <w:pStyle w:val="TableContents"/>
              <w:bidi w:val="0"/>
              <w:spacing w:before="0" w:after="0"/>
              <w:jc w:val="left"/>
              <w:rPr>
                <w:color w:val="255993"/>
              </w:rPr>
            </w:pPr>
            <w:r>
              <w:rPr>
                <w:color w:val="255993"/>
              </w:rPr>
              <w:t>•</w:t>
            </w:r>
          </w:p>
        </w:tc>
        <w:tc>
          <w:tcPr>
            <w:tcW w:w="338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brokers, dealers, or traders in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partnerships, other entities or arrangements treated as partnerships for U.S. federal income tax purposes, and other pass-through entities (and investors therein); </w:t>
            </w:r>
          </w:p>
        </w:tc>
      </w:tr>
    </w:tbl>
    <w:tbl>
      <w:tblPr>
        <w:tblW w:w="4900" w:type="dxa"/>
        <w:jc w:val="left"/>
        <w:tblInd w:w="0" w:type="dxa"/>
        <w:tblLayout w:type="fixed"/>
        <w:tblCellMar>
          <w:top w:w="0" w:type="dxa"/>
          <w:left w:w="0" w:type="dxa"/>
          <w:bottom w:w="0" w:type="dxa"/>
          <w:right w:w="0" w:type="dxa"/>
        </w:tblCellMar>
      </w:tblPr>
      <w:tblGrid>
        <w:gridCol w:w="140"/>
        <w:gridCol w:w="4760"/>
      </w:tblGrid>
      <w:tr>
        <w:trPr/>
        <w:tc>
          <w:tcPr>
            <w:tcW w:w="140" w:type="dxa"/>
            <w:tcBorders/>
            <w:vAlign w:val="center"/>
          </w:tcPr>
          <w:p>
            <w:pPr>
              <w:pStyle w:val="TableContents"/>
              <w:bidi w:val="0"/>
              <w:spacing w:before="0" w:after="0"/>
              <w:jc w:val="left"/>
              <w:rPr>
                <w:color w:val="255993"/>
              </w:rPr>
            </w:pPr>
            <w:r>
              <w:rPr>
                <w:color w:val="255993"/>
              </w:rPr>
              <w:t>•</w:t>
            </w:r>
          </w:p>
        </w:tc>
        <w:tc>
          <w:tcPr>
            <w:tcW w:w="476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tax-exempt organizations or governmental organizations;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255993"/>
              </w:rPr>
            </w:pPr>
            <w:r>
              <w:rPr>
                <w:color w:val="255993"/>
              </w:rPr>
              <w:t>•</w:t>
            </w:r>
          </w:p>
        </w:tc>
        <w:tc>
          <w:tcPr>
            <w:tcW w:w="771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deemed to sell our common stock under the constructive sale provisions of the Code;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who hold or receive our common stock pursuant to the exercise of any stock options or otherwise as compensation; </w:t>
            </w:r>
          </w:p>
        </w:tc>
      </w:tr>
    </w:tbl>
    <w:tbl>
      <w:tblPr>
        <w:tblW w:w="7570" w:type="dxa"/>
        <w:jc w:val="left"/>
        <w:tblInd w:w="0" w:type="dxa"/>
        <w:tblLayout w:type="fixed"/>
        <w:tblCellMar>
          <w:top w:w="0" w:type="dxa"/>
          <w:left w:w="0" w:type="dxa"/>
          <w:bottom w:w="0" w:type="dxa"/>
          <w:right w:w="0" w:type="dxa"/>
        </w:tblCellMar>
      </w:tblPr>
      <w:tblGrid>
        <w:gridCol w:w="140"/>
        <w:gridCol w:w="7430"/>
      </w:tblGrid>
      <w:tr>
        <w:trPr/>
        <w:tc>
          <w:tcPr>
            <w:tcW w:w="140" w:type="dxa"/>
            <w:tcBorders/>
            <w:vAlign w:val="center"/>
          </w:tcPr>
          <w:p>
            <w:pPr>
              <w:pStyle w:val="TableContents"/>
              <w:bidi w:val="0"/>
              <w:spacing w:before="0" w:after="0"/>
              <w:jc w:val="left"/>
              <w:rPr>
                <w:color w:val="255993"/>
              </w:rPr>
            </w:pPr>
            <w:r>
              <w:rPr>
                <w:color w:val="255993"/>
              </w:rPr>
              <w:t>•</w:t>
            </w:r>
          </w:p>
        </w:tc>
        <w:tc>
          <w:tcPr>
            <w:tcW w:w="743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who are subject to special tax accounting rules under Section 451(b) of the Code; </w:t>
            </w:r>
          </w:p>
        </w:tc>
      </w:tr>
    </w:tbl>
    <w:tbl>
      <w:tblPr>
        <w:tblW w:w="9565" w:type="dxa"/>
        <w:jc w:val="left"/>
        <w:tblInd w:w="0" w:type="dxa"/>
        <w:tblLayout w:type="fixed"/>
        <w:tblCellMar>
          <w:top w:w="0" w:type="dxa"/>
          <w:left w:w="0" w:type="dxa"/>
          <w:bottom w:w="0" w:type="dxa"/>
          <w:right w:w="0" w:type="dxa"/>
        </w:tblCellMar>
      </w:tblPr>
      <w:tblGrid>
        <w:gridCol w:w="140"/>
        <w:gridCol w:w="9425"/>
      </w:tblGrid>
      <w:tr>
        <w:trPr/>
        <w:tc>
          <w:tcPr>
            <w:tcW w:w="140" w:type="dxa"/>
            <w:tcBorders/>
            <w:vAlign w:val="center"/>
          </w:tcPr>
          <w:p>
            <w:pPr>
              <w:pStyle w:val="TableContents"/>
              <w:bidi w:val="0"/>
              <w:spacing w:before="0" w:after="0"/>
              <w:jc w:val="left"/>
              <w:rPr>
                <w:color w:val="255993"/>
              </w:rPr>
            </w:pPr>
            <w:r>
              <w:rPr>
                <w:color w:val="255993"/>
              </w:rPr>
              <w:t>•</w:t>
            </w:r>
          </w:p>
        </w:tc>
        <w:tc>
          <w:tcPr>
            <w:tcW w:w="942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persons who hold our common stock as “qualified small business stock” pursuant to Section 1202 of the Code; and </w:t>
            </w:r>
          </w:p>
        </w:tc>
      </w:tr>
    </w:tbl>
    <w:tbl>
      <w:tblPr>
        <w:tblW w:w="2680" w:type="dxa"/>
        <w:jc w:val="left"/>
        <w:tblInd w:w="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0"/>
              <w:jc w:val="left"/>
              <w:rPr>
                <w:color w:val="255993"/>
              </w:rPr>
            </w:pPr>
            <w:r>
              <w:rPr>
                <w:color w:val="255993"/>
              </w:rPr>
              <w:t>•</w:t>
            </w:r>
          </w:p>
        </w:tc>
        <w:tc>
          <w:tcPr>
            <w:tcW w:w="254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tax-qualified retirement plans.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90" w:name="ny20044300x2_def14a_109-report_pg9"/>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This discussion is limited to stockholders that are U.S. Holders. For purposes of this discussion, a “U.S. Holder” is a beneficial owner of our common stock that, for U.S. federal income tax purposes, is or is treated as: </w:t>
      </w:r>
    </w:p>
    <w:tbl>
      <w:tblPr>
        <w:tblW w:w="5200" w:type="dxa"/>
        <w:jc w:val="left"/>
        <w:tblInd w:w="0" w:type="dxa"/>
        <w:tblLayout w:type="fixed"/>
        <w:tblCellMar>
          <w:top w:w="0" w:type="dxa"/>
          <w:left w:w="0" w:type="dxa"/>
          <w:bottom w:w="0" w:type="dxa"/>
          <w:right w:w="0" w:type="dxa"/>
        </w:tblCellMar>
      </w:tblPr>
      <w:tblGrid>
        <w:gridCol w:w="140"/>
        <w:gridCol w:w="5060"/>
      </w:tblGrid>
      <w:tr>
        <w:trPr/>
        <w:tc>
          <w:tcPr>
            <w:tcW w:w="140" w:type="dxa"/>
            <w:tcBorders/>
            <w:vAlign w:val="center"/>
          </w:tcPr>
          <w:p>
            <w:pPr>
              <w:pStyle w:val="TableContents"/>
              <w:bidi w:val="0"/>
              <w:spacing w:before="0" w:after="0"/>
              <w:jc w:val="left"/>
              <w:rPr>
                <w:color w:val="255993"/>
              </w:rPr>
            </w:pPr>
            <w:r>
              <w:rPr>
                <w:color w:val="255993"/>
              </w:rPr>
              <w:t>•</w:t>
            </w:r>
          </w:p>
        </w:tc>
        <w:tc>
          <w:tcPr>
            <w:tcW w:w="506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 corporation (or other entity taxable as a corporation for U.S. Federal income tax purposes) created or organized under the laws of the United States, any state thereof, or the District of Columbia;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255993"/>
              </w:rPr>
            </w:pPr>
            <w:r>
              <w:rPr>
                <w:color w:val="255993"/>
              </w:rPr>
              <w:t>•</w:t>
            </w:r>
          </w:p>
        </w:tc>
        <w:tc>
          <w:tcPr>
            <w:tcW w:w="771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 trust if either a court within the United States is able to exercise primary supervision over the administration of such trust and one or more U.S. persons (within the meaning of Section 7701(a)(30) of the Code) have the authority to control all substantial decisions of such trust, or the trust has a valid election in effect under applicable Treasury Regulations to be treated as a U.S. person for U.S. federal income tax purposes.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addition, the following discussion does not address the tax consequences of the Reverse Stock Split under state, local and foreign tax laws. Furthermore, the following discussion does not address any tax consequences of transactions effectuated before, after or at the same time as the Reverse Stock Split, whether or not they are in connection with the Reverse Stock Split. </w:t>
      </w:r>
    </w:p>
    <w:p>
      <w:pPr>
        <w:pStyle w:val="TextBody"/>
        <w:bidi w:val="0"/>
        <w:spacing w:before="160" w:after="283"/>
        <w:ind w:left="0" w:right="0" w:hanging="0"/>
        <w:jc w:val="left"/>
        <w:rPr>
          <w:rFonts w:ascii="Arial" w:hAnsi="Arial"/>
          <w:b/>
          <w:color w:val="255993"/>
          <w:sz w:val="18"/>
        </w:rPr>
      </w:pPr>
      <w:r>
        <w:rPr>
          <w:rFonts w:ascii="Arial" w:hAnsi="Arial"/>
          <w:b/>
          <w:color w:val="255993"/>
          <w:sz w:val="18"/>
        </w:rPr>
        <w:t>STOCKHOLDERS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 JURISDICTION OR UNDER ANY APPLICABLE INCOME TAX TREATY.</w:t>
      </w:r>
      <w:r>
        <w:rPr>
          <w:rFonts w:ascii="Arial" w:hAnsi="Arial"/>
          <w:b/>
          <w:color w:val="000000"/>
          <w:sz w:val="18"/>
        </w:rPr>
        <w:t xml:space="preserve">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U.S. FEDERAL INCOME TAX CONSEQUENCES OF THE REVERSE STOCK SPLIT TO U.S. STOCKHOLDERS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Reverse Stock Split is intended to constitute a “recapitalization” within the meaning of Section 368(a)(1)(E) of the Code for U.S. federal income tax purposes. If so treated, in general, and except as described below with respect to cash in lieu of fractional shares, no gain or loss should be recognized by a U.S. stockholder upon such stockholder’s exchange, or deemed exchange, of Old Shares for New Shares pursuant to the Reverse Stock Split. Accordingly, the aggregate tax basis of the New Shares received in the Reverse Stock Split should be the same as such stockholder's aggregate tax basis in the Old Shares being exchanged (excluding the portion of the tax basis allocable to any fractional share), and the holding period for the New Shares received should include the holding period for the Old Shares being exchanged. Special tax basis and holding period rules may apply to holders that acquired different blocks of stock at different prices or at different times. Stockholders should consult their own tax advisors as to the applicability of these special rules to their particular circumstances.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CASH IN LIEU OF FRACTIONAL SHARES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A U.S. stockholder who receives cash in lieu of a fractional share of New Shares pursuant to the Reverse Stock Split will be treated as having received the fractional share pursuant to the Reverse Stock Split and then as having sold such fractional share for cash. Such a U.S. stockholder should generally recognize capital gain or loss in an amount equal to the difference between the amount of cash received and the U.S. stockholder’s tax basis in the Old Shares being exchanged that is allocated to the fractional share of New Shares. The capital gain or loss should be long-term capital gain or loss if the U.S. stockholder’s holding period for such Old Shares being exchanged that is allocated to the fractional share of New Shares exceeded one year at the Effective Time. The deductibility of net capital losses by individuals and corporations is subject to limitations. U.S. stockholders are advised to consult their tax advisors regarding the tax treatment of their receipt of cash in lieu of a fractional share of common stock pursuant to the Reverse Stock Split.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91" w:name="ny20044300x2_def14a_109-report_pg10"/>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Proposal Three</w:t>
      </w:r>
    </w:p>
    <w:p>
      <w:pPr>
        <w:pStyle w:val="TextBody"/>
        <w:bidi w:val="0"/>
        <w:spacing w:before="120" w:after="283"/>
        <w:ind w:left="0" w:right="0" w:hanging="0"/>
        <w:jc w:val="left"/>
        <w:rPr>
          <w:rFonts w:ascii="Arial" w:hAnsi="Arial"/>
          <w:b/>
          <w:color w:val="255993"/>
          <w:sz w:val="18"/>
        </w:rPr>
      </w:pPr>
      <w:r>
        <w:rPr>
          <w:rFonts w:ascii="Arial" w:hAnsi="Arial"/>
          <w:b/>
          <w:color w:val="255993"/>
          <w:sz w:val="18"/>
        </w:rPr>
        <w:t xml:space="preserve">INFORMATION REPORTING AND BACKUP WITHHOLDING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Information returns generally will be required to be filed with the IRS with respect to the payment of cash in lieu of a fractional share of New Shares pursuant to the Reverse Stock Split, unless a U.S. stockholder is an exempt recipient. In addition, U.S. stockholders may be subject to a backup withholding tax (at the current applicable rate of 24%) on the payment of such cash if they do not provide their taxpayer identification numbers and complete an IRS Form W-9 in the manner required or otherwise fail to comply with applicable backup withholding tax rules. Backup withholding is not an additional tax. Any amounts withheld under the backup withholding rules may be refunded or allowed as a credit against the U.S. stockholder’s federal income tax liability, if any, provided the required information is timely furnished to the IRS. U.S. stockholders should consult their own tax advisors regarding their qualification for an exemption from backup withholding and the procedures for obtaining such an exemption. </w:t>
      </w:r>
    </w:p>
    <w:p>
      <w:pPr>
        <w:pStyle w:val="TextBody"/>
        <w:bidi w:val="0"/>
        <w:spacing w:before="280" w:after="283"/>
        <w:ind w:left="0" w:right="0" w:hanging="0"/>
        <w:jc w:val="left"/>
        <w:rPr>
          <w:rFonts w:ascii="Arial" w:hAnsi="Arial"/>
          <w:b/>
          <w:color w:val="F8991D"/>
          <w:sz w:val="20"/>
        </w:rPr>
      </w:pPr>
      <w:bookmarkStart w:id="92" w:name="tVR3"/>
      <w:bookmarkEnd w:id="92"/>
      <w:r>
        <w:rPr>
          <w:rFonts w:ascii="Arial" w:hAnsi="Arial"/>
          <w:b/>
          <w:color w:val="F8991D"/>
          <w:sz w:val="20"/>
        </w:rPr>
        <w:t>VOTE REQUIRED</w:t>
      </w:r>
    </w:p>
    <w:p>
      <w:pPr>
        <w:pStyle w:val="TextBody"/>
        <w:bidi w:val="0"/>
        <w:spacing w:before="160" w:after="283"/>
        <w:ind w:left="0" w:right="0" w:hanging="0"/>
        <w:jc w:val="left"/>
        <w:rPr>
          <w:rFonts w:ascii="Arial" w:hAnsi="Arial"/>
          <w:color w:val="000000"/>
          <w:sz w:val="18"/>
        </w:rPr>
      </w:pPr>
      <w:r>
        <w:rPr>
          <w:rFonts w:ascii="Arial" w:hAnsi="Arial"/>
          <w:color w:val="000000"/>
          <w:sz w:val="18"/>
        </w:rPr>
        <w:t>The affirmative vote of a majority of the voting power of the shares cast, affirmatively or negatively, is required for approval of the Reverse Stock Split Proposal, in accordance with Section 242(d)(2) of the DGCL. You may vote “FOR,” “AGAINST,” or “ABSTAIN” 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pStyle w:val="Normal"/>
        <w:bidi w:val="0"/>
        <w:spacing w:before="0" w:after="0"/>
        <w:jc w:val="left"/>
        <w:rPr>
          <w:sz w:val="4"/>
          <w:szCs w:val="4"/>
        </w:rPr>
      </w:pPr>
      <w:r>
        <w:rPr>
          <w:sz w:val="4"/>
          <w:szCs w:val="4"/>
        </w:rPr>
      </w:r>
      <w:bookmarkStart w:id="93" w:name="tBRN3"/>
      <w:bookmarkStart w:id="94" w:name="tBRN3"/>
      <w:bookmarkEnd w:id="94"/>
    </w:p>
    <w:tbl>
      <w:tblPr>
        <w:tblW w:w="10205" w:type="dxa"/>
        <w:jc w:val="left"/>
        <w:tblInd w:w="0" w:type="dxa"/>
        <w:tblLayout w:type="fixed"/>
        <w:tblCellMar>
          <w:top w:w="0" w:type="dxa"/>
          <w:left w:w="0" w:type="dxa"/>
          <w:bottom w:w="0" w:type="dxa"/>
          <w:right w:w="28" w:type="dxa"/>
        </w:tblCellMar>
      </w:tblPr>
      <w:tblGrid>
        <w:gridCol w:w="585"/>
        <w:gridCol w:w="9620"/>
      </w:tblGrid>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9620" w:type="dxa"/>
            <w:tcBorders/>
            <w:shd w:fill="EBEBEB" w:val="clear"/>
            <w:tcMar>
              <w:right w:w="0" w:type="dxa"/>
            </w:tcMar>
            <w:vAlign w:val="center"/>
          </w:tcPr>
          <w:p>
            <w:pPr>
              <w:pStyle w:val="TableContents"/>
              <w:bidi w:val="0"/>
              <w:spacing w:before="0" w:after="0"/>
              <w:jc w:val="left"/>
              <w:rPr/>
            </w:pPr>
            <w:r>
              <w:rPr/>
              <w:t> </w:t>
            </w:r>
          </w:p>
        </w:tc>
      </w:tr>
      <w:tr>
        <w:trPr/>
        <w:tc>
          <w:tcPr>
            <w:tcW w:w="585" w:type="dxa"/>
            <w:vMerge w:val="restart"/>
            <w:tcBorders>
              <w:right w:val="single" w:sz="16" w:space="0" w:color="FFFFFF"/>
            </w:tcBorders>
            <w:shd w:fill="255993" w:val="clear"/>
            <w:vAlign w:val="center"/>
          </w:tcPr>
          <w:p>
            <w:pPr>
              <w:pStyle w:val="TableContents"/>
              <w:bidi w:val="0"/>
              <w:spacing w:before="0" w:after="283"/>
              <w:jc w:val="center"/>
              <w:rPr>
                <w:color w:val="000000"/>
              </w:rPr>
            </w:pPr>
            <w:r>
              <w:rPr>
                <w:color w:val="000000"/>
              </w:rPr>
              <w:drawing>
                <wp:inline distT="0" distB="0" distL="0" distR="0">
                  <wp:extent cx="342900" cy="333375"/>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9"/>
                          <a:stretch>
                            <a:fillRect/>
                          </a:stretch>
                        </pic:blipFill>
                        <pic:spPr bwMode="auto">
                          <a:xfrm>
                            <a:off x="0" y="0"/>
                            <a:ext cx="342900" cy="3333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9620" w:type="dxa"/>
            <w:tcBorders/>
            <w:shd w:fill="EBEBEB" w:val="clear"/>
            <w:tcMar>
              <w:right w:w="0" w:type="dxa"/>
            </w:tcMar>
            <w:vAlign w:val="center"/>
          </w:tcPr>
          <w:p>
            <w:pPr>
              <w:pStyle w:val="TableContents"/>
              <w:bidi w:val="0"/>
              <w:spacing w:before="0" w:after="283"/>
              <w:ind w:left="240" w:right="0" w:hanging="0"/>
              <w:jc w:val="left"/>
              <w:rPr>
                <w:rFonts w:ascii="Arial" w:hAnsi="Arial"/>
                <w:color w:val="000000"/>
                <w:sz w:val="18"/>
                <w:bdr w:val="single" w:sz="8" w:space="4" w:color="F8991D"/>
              </w:rPr>
            </w:pPr>
            <w:r>
              <w:rPr>
                <w:rFonts w:ascii="Arial" w:hAnsi="Arial"/>
                <w:color w:val="000000"/>
                <w:sz w:val="18"/>
                <w:bdr w:val="single" w:sz="8" w:space="4" w:color="F8991D"/>
              </w:rPr>
              <w:t xml:space="preserve">Board Recommendation </w:t>
            </w:r>
          </w:p>
        </w:tc>
      </w:tr>
      <w:tr>
        <w:trPr/>
        <w:tc>
          <w:tcPr>
            <w:tcW w:w="585" w:type="dxa"/>
            <w:vMerge w:val="continue"/>
            <w:tcBorders>
              <w:right w:val="single" w:sz="16" w:space="0" w:color="FFFFFF"/>
            </w:tcBorders>
            <w:shd w:fill="255993" w:val="clear"/>
            <w:vAlign w:val="center"/>
          </w:tcPr>
          <w:p>
            <w:pPr>
              <w:pStyle w:val="Normal"/>
              <w:bidi w:val="0"/>
              <w:jc w:val="left"/>
              <w:rPr/>
            </w:pPr>
            <w:r>
              <w:rPr/>
            </w:r>
          </w:p>
        </w:tc>
        <w:tc>
          <w:tcPr>
            <w:tcW w:w="9620" w:type="dxa"/>
            <w:tcBorders/>
            <w:shd w:fill="EBEBEB" w:val="clear"/>
            <w:tcMar>
              <w:right w:w="0" w:type="dxa"/>
            </w:tcMar>
            <w:vAlign w:val="center"/>
          </w:tcPr>
          <w:p>
            <w:pPr>
              <w:pStyle w:val="TableContents"/>
              <w:bidi w:val="0"/>
              <w:spacing w:before="0" w:after="283"/>
              <w:ind w:left="240" w:right="0" w:hanging="0"/>
              <w:jc w:val="left"/>
              <w:rPr>
                <w:rFonts w:ascii="Arial" w:hAnsi="Arial"/>
                <w:color w:val="255993"/>
                <w:sz w:val="16"/>
              </w:rPr>
            </w:pPr>
            <w:r>
              <w:rPr>
                <w:rFonts w:ascii="Arial" w:hAnsi="Arial"/>
                <w:color w:val="255993"/>
                <w:sz w:val="16"/>
              </w:rPr>
              <w:t>Our Board of Directors recommends a vote “</w:t>
            </w:r>
            <w:r>
              <w:rPr>
                <w:rFonts w:ascii="Arial" w:hAnsi="Arial"/>
                <w:b/>
                <w:color w:val="255993"/>
                <w:sz w:val="16"/>
              </w:rPr>
              <w:t xml:space="preserve">FOR” </w:t>
            </w:r>
            <w:r>
              <w:rPr>
                <w:rFonts w:ascii="Arial" w:hAnsi="Arial"/>
                <w:color w:val="255993"/>
                <w:sz w:val="16"/>
              </w:rPr>
              <w:t>the approval of the proposed amendments to our amended and restated certificate of incorporation to effect a reverse stock split and reduce the total number of authorized shares of common stock.</w:t>
            </w:r>
          </w:p>
        </w:tc>
      </w:tr>
      <w:tr>
        <w:trPr/>
        <w:tc>
          <w:tcPr>
            <w:tcW w:w="585" w:type="dxa"/>
            <w:tcBorders>
              <w:right w:val="single" w:sz="16" w:space="0" w:color="FFFFFF"/>
            </w:tcBorders>
            <w:shd w:fill="255993" w:val="clear"/>
            <w:vAlign w:val="center"/>
          </w:tcPr>
          <w:p>
            <w:pPr>
              <w:pStyle w:val="TableContents"/>
              <w:bidi w:val="0"/>
              <w:spacing w:before="0" w:after="0"/>
              <w:jc w:val="left"/>
              <w:rPr/>
            </w:pPr>
            <w:r>
              <w:rPr/>
              <w:t> </w:t>
            </w:r>
          </w:p>
        </w:tc>
        <w:tc>
          <w:tcPr>
            <w:tcW w:w="9620" w:type="dxa"/>
            <w:tcBorders/>
            <w:shd w:fill="EBEBEB" w:val="clear"/>
            <w:tcMar>
              <w:right w:w="0" w:type="dxa"/>
            </w:tcMar>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95" w:name="ny20044300x2_def14a_110-executive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96" w:name="tEXOF"/>
      <w:bookmarkEnd w:id="96"/>
      <w:r>
        <w:rPr>
          <w:rFonts w:ascii="Times;Georgia" w:hAnsi="Times;Georgia"/>
          <w:color w:val="255993"/>
          <w:sz w:val="64"/>
        </w:rPr>
        <w:t xml:space="preserve">Executive Officers </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The following table sets forth certain information about our executive officers as of April 4, 2025. There are no family relationships among any of our directors or executive officers. </w:t>
      </w:r>
    </w:p>
    <w:tbl>
      <w:tblPr>
        <w:tblW w:w="8295" w:type="dxa"/>
        <w:jc w:val="left"/>
        <w:tblInd w:w="0" w:type="dxa"/>
        <w:tblLayout w:type="fixed"/>
        <w:tblCellMar>
          <w:top w:w="0" w:type="dxa"/>
          <w:left w:w="0" w:type="dxa"/>
          <w:bottom w:w="0" w:type="dxa"/>
          <w:right w:w="0" w:type="dxa"/>
        </w:tblCellMar>
      </w:tblPr>
      <w:tblGrid>
        <w:gridCol w:w="185"/>
        <w:gridCol w:w="1760"/>
        <w:gridCol w:w="170"/>
        <w:gridCol w:w="170"/>
        <w:gridCol w:w="365"/>
        <w:gridCol w:w="170"/>
        <w:gridCol w:w="170"/>
        <w:gridCol w:w="5090"/>
        <w:gridCol w:w="215"/>
      </w:tblGrid>
      <w:tr>
        <w:trPr/>
        <w:tc>
          <w:tcPr>
            <w:tcW w:w="185" w:type="dxa"/>
            <w:tcBorders/>
            <w:shd w:fill="255993" w:val="clear"/>
            <w:vAlign w:val="center"/>
          </w:tcPr>
          <w:p>
            <w:pPr>
              <w:pStyle w:val="TableContents"/>
              <w:bidi w:val="0"/>
              <w:spacing w:before="0" w:after="0"/>
              <w:jc w:val="left"/>
              <w:rPr/>
            </w:pPr>
            <w:r>
              <w:rPr/>
              <w:t> </w:t>
            </w:r>
          </w:p>
        </w:tc>
        <w:tc>
          <w:tcPr>
            <w:tcW w:w="176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36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5090" w:type="dxa"/>
            <w:tcBorders/>
            <w:shd w:fill="255993" w:val="clear"/>
            <w:vAlign w:val="center"/>
          </w:tcPr>
          <w:p>
            <w:pPr>
              <w:pStyle w:val="TableContents"/>
              <w:bidi w:val="0"/>
              <w:spacing w:before="0" w:after="0"/>
              <w:jc w:val="left"/>
              <w:rPr/>
            </w:pPr>
            <w:r>
              <w:rPr/>
              <w:t> </w:t>
            </w:r>
          </w:p>
        </w:tc>
        <w:tc>
          <w:tcPr>
            <w:tcW w:w="215"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60" w:type="dxa"/>
            <w:tcBorders>
              <w:bottom w:val="single" w:sz="8" w:space="0" w:color="FFFFFF"/>
            </w:tcBorders>
            <w:shd w:fill="255993" w:val="clear"/>
            <w:tcMar>
              <w:bottom w:w="93" w:type="dxa"/>
            </w:tcMar>
            <w:vAlign w:val="center"/>
          </w:tcPr>
          <w:p>
            <w:pPr>
              <w:pStyle w:val="TableContents"/>
              <w:bidi w:val="0"/>
              <w:spacing w:before="0" w:after="283"/>
              <w:ind w:left="70" w:right="0" w:hanging="0"/>
              <w:jc w:val="left"/>
              <w:rPr>
                <w:rFonts w:ascii="Arial" w:hAnsi="Arial"/>
                <w:b/>
                <w:color w:val="FFFFFF"/>
                <w:sz w:val="16"/>
              </w:rPr>
            </w:pPr>
            <w:r>
              <w:rPr>
                <w:rFonts w:ascii="Arial" w:hAnsi="Arial"/>
                <w:b/>
                <w:color w:val="FFFFFF"/>
                <w:sz w:val="16"/>
              </w:rPr>
              <w:t>Executive Officers</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365" w:type="dxa"/>
            <w:tcBorders>
              <w:bottom w:val="single" w:sz="8" w:space="0" w:color="FFFFFF"/>
            </w:tcBorders>
            <w:shd w:fill="255993" w:val="clear"/>
            <w:tcMar>
              <w:bottom w:w="93" w:type="dxa"/>
            </w:tcMar>
            <w:vAlign w:val="center"/>
          </w:tcPr>
          <w:p>
            <w:pPr>
              <w:pStyle w:val="TableContents"/>
              <w:bidi w:val="0"/>
              <w:spacing w:before="0" w:after="283"/>
              <w:jc w:val="center"/>
              <w:rPr>
                <w:rFonts w:ascii="Arial" w:hAnsi="Arial"/>
                <w:b/>
                <w:color w:val="FFFFFF"/>
                <w:sz w:val="16"/>
              </w:rPr>
            </w:pPr>
            <w:r>
              <w:rPr>
                <w:rFonts w:ascii="Arial" w:hAnsi="Arial"/>
                <w:b/>
                <w:color w:val="FFFFFF"/>
                <w:sz w:val="16"/>
              </w:rPr>
              <w:t>Age</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5090" w:type="dxa"/>
            <w:tcBorders>
              <w:bottom w:val="single" w:sz="8" w:space="0" w:color="FFFFFF"/>
            </w:tcBorders>
            <w:shd w:fill="255993" w:val="clear"/>
            <w:tcMar>
              <w:bottom w:w="93" w:type="dxa"/>
            </w:tcMar>
            <w:vAlign w:val="center"/>
          </w:tcPr>
          <w:p>
            <w:pPr>
              <w:pStyle w:val="TableContents"/>
              <w:bidi w:val="0"/>
              <w:spacing w:before="0" w:after="283"/>
              <w:ind w:left="0" w:right="0" w:hanging="0"/>
              <w:jc w:val="left"/>
              <w:rPr>
                <w:rFonts w:ascii="Arial" w:hAnsi="Arial"/>
                <w:b/>
                <w:color w:val="FFFFFF"/>
                <w:sz w:val="16"/>
              </w:rPr>
            </w:pPr>
            <w:r>
              <w:rPr>
                <w:rFonts w:ascii="Arial" w:hAnsi="Arial"/>
                <w:b/>
                <w:color w:val="FFFFFF"/>
                <w:sz w:val="16"/>
              </w:rPr>
              <w:t xml:space="preserve">Position </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60" w:type="dxa"/>
            <w:tcBorders>
              <w:bottom w:val="single" w:sz="8" w:space="0" w:color="FFFFFF"/>
            </w:tcBorders>
            <w:shd w:fill="EBEBEB"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Mark Litton, Ph.D.</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365" w:type="dxa"/>
            <w:tcBorders>
              <w:bottom w:val="single" w:sz="8" w:space="0" w:color="FFFFFF"/>
            </w:tcBorders>
            <w:shd w:fill="EBEBEB" w:val="clear"/>
            <w:tcMar>
              <w:bottom w:w="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5090" w:type="dxa"/>
            <w:tcBorders>
              <w:bottom w:val="single" w:sz="8" w:space="0" w:color="FFFFFF"/>
            </w:tcBorders>
            <w:shd w:fill="EBEBEB" w:val="clear"/>
            <w:tcMar>
              <w:bottom w:w="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President, Chief Executive Officer and Director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60" w:type="dxa"/>
            <w:tcBorders>
              <w:bottom w:val="single" w:sz="8" w:space="0" w:color="FFFFFF"/>
            </w:tcBorders>
            <w:shd w:fill="FAFAFA"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Javier San Martin, M.D.</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365" w:type="dxa"/>
            <w:tcBorders>
              <w:bottom w:val="single" w:sz="8" w:space="0" w:color="FFFFFF"/>
            </w:tcBorders>
            <w:shd w:fill="FAFAFA" w:val="clear"/>
            <w:tcMar>
              <w:bottom w:w="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5090" w:type="dxa"/>
            <w:tcBorders>
              <w:bottom w:val="single" w:sz="8" w:space="0" w:color="FFFFFF"/>
            </w:tcBorders>
            <w:shd w:fill="FAFAFA" w:val="clear"/>
            <w:tcMar>
              <w:bottom w:w="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Chief Medical Officer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60" w:type="dxa"/>
            <w:tcBorders>
              <w:bottom w:val="single" w:sz="8" w:space="0" w:color="FFFFFF"/>
            </w:tcBorders>
            <w:shd w:fill="EBEBEB"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Kevin Church, Ph.D.</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365" w:type="dxa"/>
            <w:tcBorders>
              <w:bottom w:val="single" w:sz="8" w:space="0" w:color="FFFFFF"/>
            </w:tcBorders>
            <w:shd w:fill="EBEBEB" w:val="clear"/>
            <w:tcMar>
              <w:bottom w:w="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5090" w:type="dxa"/>
            <w:tcBorders>
              <w:bottom w:val="single" w:sz="8" w:space="0" w:color="FFFFFF"/>
            </w:tcBorders>
            <w:shd w:fill="EBEBEB" w:val="clear"/>
            <w:tcMar>
              <w:bottom w:w="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Chief Scientific Officer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60" w:type="dxa"/>
            <w:tcBorders>
              <w:bottom w:val="single" w:sz="8" w:space="0" w:color="FFFFFF"/>
            </w:tcBorders>
            <w:shd w:fill="FAFAFA" w:val="clear"/>
            <w:tcMar>
              <w:bottom w:w="9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Mark Worthington</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365" w:type="dxa"/>
            <w:tcBorders>
              <w:bottom w:val="single" w:sz="8" w:space="0" w:color="FFFFFF"/>
            </w:tcBorders>
            <w:shd w:fill="FAFAFA" w:val="clear"/>
            <w:tcMar>
              <w:bottom w:w="93"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59</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5090" w:type="dxa"/>
            <w:tcBorders>
              <w:bottom w:val="single" w:sz="8" w:space="0" w:color="FFFFFF"/>
            </w:tcBorders>
            <w:shd w:fill="FAFAFA" w:val="clear"/>
            <w:tcMar>
              <w:bottom w:w="93" w:type="dxa"/>
            </w:tcM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 xml:space="preserve">General Counsel, Chief Compliance Officer and Corporate Secretary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1760" w:type="dxa"/>
            <w:tcBorders/>
            <w:shd w:fill="EBEBEB" w:val="cle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Robert Renninger</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365" w:type="dxa"/>
            <w:tcBorders/>
            <w:shd w:fill="EBEBEB" w:val="clear"/>
            <w:vAlign w:val="center"/>
          </w:tcPr>
          <w:p>
            <w:pPr>
              <w:pStyle w:val="TableContents"/>
              <w:bidi w:val="0"/>
              <w:spacing w:before="0" w:after="283"/>
              <w:jc w:val="center"/>
              <w:rPr>
                <w:rFonts w:ascii="Arial" w:hAnsi="Arial"/>
                <w:color w:val="000000"/>
                <w:sz w:val="16"/>
              </w:rPr>
            </w:pPr>
            <w:r>
              <w:rPr>
                <w:rFonts w:ascii="Arial" w:hAnsi="Arial"/>
                <w:color w:val="000000"/>
                <w:sz w:val="16"/>
              </w:rPr>
              <w:t>41</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5090" w:type="dxa"/>
            <w:tcBorders/>
            <w:shd w:fill="EBEBEB" w:val="clear"/>
            <w:vAlign w:val="center"/>
          </w:tcPr>
          <w:p>
            <w:pPr>
              <w:pStyle w:val="TableContents"/>
              <w:bidi w:val="0"/>
              <w:spacing w:before="0" w:after="283"/>
              <w:ind w:left="0" w:right="0" w:hanging="0"/>
              <w:jc w:val="left"/>
              <w:rPr>
                <w:rFonts w:ascii="Arial" w:hAnsi="Arial"/>
                <w:color w:val="000000"/>
                <w:sz w:val="16"/>
              </w:rPr>
            </w:pPr>
            <w:r>
              <w:rPr>
                <w:rFonts w:ascii="Arial" w:hAnsi="Arial"/>
                <w:color w:val="000000"/>
                <w:sz w:val="16"/>
              </w:rPr>
              <w:t>Senior Vice President, Finance and Accounting</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176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36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5090"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Arial" w:hAnsi="Arial"/>
          <w:b/>
          <w:color w:val="F8991D"/>
          <w:sz w:val="20"/>
        </w:rPr>
      </w:pPr>
      <w:bookmarkStart w:id="97" w:name="tEXOS"/>
      <w:bookmarkEnd w:id="97"/>
      <w:r>
        <w:rPr>
          <w:rFonts w:ascii="Arial" w:hAnsi="Arial"/>
          <w:b/>
          <w:color w:val="F8991D"/>
          <w:sz w:val="20"/>
        </w:rPr>
        <w:t xml:space="preserve">EXECUTIVE OFFICERS </w:t>
      </w:r>
    </w:p>
    <w:p>
      <w:pPr>
        <w:pStyle w:val="TextBody"/>
        <w:bidi w:val="0"/>
        <w:spacing w:before="140" w:after="283"/>
        <w:ind w:left="0" w:right="0" w:hanging="0"/>
        <w:jc w:val="left"/>
        <w:rPr>
          <w:rFonts w:ascii="Arial" w:hAnsi="Arial"/>
          <w:color w:val="000000"/>
          <w:sz w:val="18"/>
        </w:rPr>
      </w:pPr>
      <w:r>
        <w:rPr>
          <w:rFonts w:ascii="Arial" w:hAnsi="Arial"/>
          <w:color w:val="000000"/>
          <w:sz w:val="18"/>
        </w:rPr>
        <w:t>Dr. Litton’s biography is listed in the section titled “</w:t>
      </w:r>
      <w:r>
        <w:rPr>
          <w:rFonts w:ascii="Arial" w:hAnsi="Arial"/>
          <w:i/>
          <w:color w:val="000000"/>
          <w:sz w:val="18"/>
        </w:rPr>
        <w:t>Board of Directors and Corporate Governance – Nominees for Director</w:t>
      </w:r>
      <w:r>
        <w:rPr>
          <w:rFonts w:ascii="Arial" w:hAnsi="Arial"/>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jc w:val="center"/>
              <w:rPr>
                <w:color w:val="000000"/>
              </w:rPr>
            </w:pPr>
            <w:r>
              <w:rPr>
                <w:color w:val="000000"/>
              </w:rPr>
              <w:drawing>
                <wp:inline distT="0" distB="0" distL="0" distR="0">
                  <wp:extent cx="981075" cy="981075"/>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40"/>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Javier San Martin</w:t>
            </w:r>
            <w:r>
              <w:rPr>
                <w:rFonts w:ascii="Times;Georgia" w:hAnsi="Times;Georgia"/>
                <w:color w:val="000000"/>
              </w:rPr>
              <w:t xml:space="preserve"> </w:t>
            </w:r>
          </w:p>
          <w:p>
            <w:pPr>
              <w:pStyle w:val="TableContents"/>
              <w:bidi w:val="0"/>
              <w:spacing w:before="20" w:after="283"/>
              <w:ind w:left="0" w:right="0" w:hanging="0"/>
              <w:jc w:val="left"/>
              <w:rPr>
                <w:rFonts w:ascii="Arial" w:hAnsi="Arial"/>
                <w:b/>
                <w:color w:val="000000"/>
                <w:sz w:val="16"/>
              </w:rPr>
            </w:pPr>
            <w:r>
              <w:rPr>
                <w:rFonts w:ascii="Arial" w:hAnsi="Arial"/>
                <w:b/>
                <w:color w:val="000000"/>
                <w:sz w:val="16"/>
              </w:rPr>
              <w:t>AGE: 60  EXECUTIVE OFFICER SINCE: APRIL 2024</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Times;Georgia" w:hAnsi="Times;Georgia"/>
                <w:color w:val="255993"/>
              </w:rPr>
            </w:pPr>
            <w:r>
              <w:rPr>
                <w:rFonts w:ascii="Arial" w:hAnsi="Arial"/>
                <w:color w:val="000000"/>
                <w:sz w:val="18"/>
              </w:rPr>
              <w:t>Javier San Martin has served as our Chief Medical Officer since April 2024. Prior to that, he served as Chief Medical Officer at Arrowhead Pharmaceuticals, a biopharmaceutical company, from November 2019 to January 2024, where he guided development teams to advance that company’s RNAi-based therapeutics in the metabolic and liver disease area. Prior to Arrowhead, he served as Senior Vice President and Head of Global Clinical Development at Ultragenyx Pharmaceutical, a biopharmaceutical company, from 2013 to 2019, where he led the development of Crysvita</w:t>
            </w:r>
            <w:r>
              <w:rPr>
                <w:rFonts w:ascii="Arial" w:hAnsi="Arial"/>
                <w:color w:val="000000"/>
                <w:position w:val="5"/>
                <w:sz w:val="11"/>
                <w:sz w:val="14"/>
              </w:rPr>
              <w:t>®</w:t>
            </w:r>
            <w:r>
              <w:rPr>
                <w:rFonts w:ascii="Times;Georgia" w:hAnsi="Times;Georgia"/>
                <w:color w:val="000000"/>
              </w:rPr>
              <w:t xml:space="preserve"> </w:t>
            </w:r>
            <w:r>
              <w:rPr>
                <w:rFonts w:ascii="Arial" w:hAnsi="Arial"/>
                <w:color w:val="000000"/>
                <w:sz w:val="18"/>
              </w:rPr>
              <w:t>(burosumab-twza), the first drug approved to treat the rare, inherited disease of x-linked hypophosphatemia. Before that, Dr. San Martin served as Senior Vice President of Clinical Development at Alder Biopharmaceuticals, from 2012 to 2013, where he managed medical, regulatory, and clinical operations. Earlier, he led two major development programs as Global Development Leader for Amgen’s Bone Therapeutic Area and directed the anti-sclerostin antibody clinical program Eventiy</w:t>
            </w:r>
            <w:r>
              <w:rPr>
                <w:rFonts w:ascii="Arial" w:hAnsi="Arial"/>
                <w:color w:val="000000"/>
                <w:position w:val="5"/>
                <w:sz w:val="11"/>
                <w:sz w:val="14"/>
              </w:rPr>
              <w:t>®</w:t>
            </w:r>
            <w:r>
              <w:rPr>
                <w:rFonts w:ascii="Times;Georgia" w:hAnsi="Times;Georgia"/>
                <w:color w:val="000000"/>
              </w:rPr>
              <w:t xml:space="preserve"> </w:t>
            </w:r>
            <w:r>
              <w:rPr>
                <w:rFonts w:ascii="Arial" w:hAnsi="Arial"/>
                <w:color w:val="000000"/>
                <w:sz w:val="18"/>
              </w:rPr>
              <w:t>(romosozumab-aqqg) through the end of Phase 2 and was responsible for development and approval of Prolia</w:t>
            </w:r>
            <w:r>
              <w:rPr>
                <w:rFonts w:ascii="Arial" w:hAnsi="Arial"/>
                <w:color w:val="000000"/>
                <w:position w:val="5"/>
                <w:sz w:val="11"/>
                <w:sz w:val="14"/>
              </w:rPr>
              <w:t>®</w:t>
            </w:r>
            <w:r>
              <w:rPr>
                <w:rFonts w:ascii="Times;Georgia" w:hAnsi="Times;Georgia"/>
                <w:color w:val="000000"/>
              </w:rPr>
              <w:t xml:space="preserve"> </w:t>
            </w:r>
            <w:r>
              <w:rPr>
                <w:rFonts w:ascii="Arial" w:hAnsi="Arial"/>
                <w:color w:val="000000"/>
                <w:sz w:val="18"/>
              </w:rPr>
              <w:t>(denosumab) for the treatment of postmenopausal osteoporosis. Prior to Amgen, Dr. San Martin spent seven years at Eli Lilly working on Phase 3b and Phase 4 clinical trials to support the successful launch and medical affairs activities for Evista</w:t>
            </w:r>
            <w:r>
              <w:rPr>
                <w:rFonts w:ascii="Arial" w:hAnsi="Arial"/>
                <w:color w:val="000000"/>
                <w:position w:val="5"/>
                <w:sz w:val="11"/>
                <w:sz w:val="14"/>
              </w:rPr>
              <w:t>®</w:t>
            </w:r>
            <w:r>
              <w:rPr>
                <w:rFonts w:ascii="Times;Georgia" w:hAnsi="Times;Georgia"/>
                <w:color w:val="000000"/>
              </w:rPr>
              <w:t xml:space="preserve"> </w:t>
            </w:r>
            <w:r>
              <w:rPr>
                <w:rFonts w:ascii="Arial" w:hAnsi="Arial"/>
                <w:color w:val="000000"/>
                <w:sz w:val="18"/>
              </w:rPr>
              <w:t>and Forteo</w:t>
            </w:r>
            <w:r>
              <w:rPr>
                <w:rFonts w:ascii="Arial" w:hAnsi="Arial"/>
                <w:color w:val="000000"/>
                <w:position w:val="5"/>
                <w:sz w:val="11"/>
                <w:sz w:val="14"/>
              </w:rPr>
              <w:t>®</w:t>
            </w:r>
            <w:r>
              <w:rPr>
                <w:rFonts w:ascii="Arial" w:hAnsi="Arial"/>
                <w:color w:val="000000"/>
                <w:sz w:val="18"/>
              </w:rPr>
              <w:t>. Dr. San Martin received his medical degree from the University of Buenos Aires Medical School and completed his residence in internal medicine at CEMIC University of Buenos Aires.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98" w:name="ny20044300x2_def14a_110-executive_pg2"/>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Executive Officers</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jc w:val="center"/>
              <w:rPr>
                <w:color w:val="000000"/>
              </w:rPr>
            </w:pPr>
            <w:r>
              <w:rPr>
                <w:color w:val="000000"/>
              </w:rPr>
              <w:drawing>
                <wp:inline distT="0" distB="0" distL="0" distR="0">
                  <wp:extent cx="981075" cy="981075"/>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41"/>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Kevin Church, Ph.D.</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40  EXECUTIVE OFFICER SINCE: JULY 2020</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Arial" w:hAnsi="Arial"/>
                <w:color w:val="000000"/>
                <w:sz w:val="18"/>
              </w:rPr>
            </w:pPr>
            <w:r>
              <w:rPr>
                <w:rFonts w:ascii="Arial" w:hAnsi="Arial"/>
                <w:color w:val="000000"/>
                <w:sz w:val="18"/>
              </w:rPr>
              <w:t>Kevin Church, Ph.D., has served as our chief scientific officer since January 2023. Prior to this, Dr. Church held various roles at the Company, including executive vice president of research from October 2021 to January 2023, vice president of discovery from July 2020 to October 2021, director of discovery from July 2018 to July 2020, senior research scientist from February 2018 to July 2018, and research scientist from July 2016 to February 2018.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jc w:val="center"/>
              <w:rPr>
                <w:color w:val="000000"/>
              </w:rPr>
            </w:pPr>
            <w:r>
              <w:rPr>
                <w:color w:val="000000"/>
              </w:rPr>
              <w:drawing>
                <wp:inline distT="0" distB="0" distL="0" distR="0">
                  <wp:extent cx="981075" cy="981075"/>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42"/>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Mark Worthington</w:t>
            </w:r>
            <w:r>
              <w:rPr>
                <w:rFonts w:ascii="Times;Georgia" w:hAnsi="Times;Georgia"/>
                <w:color w:val="000000"/>
              </w:rPr>
              <w:t xml:space="preserve"> </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59  EXECUTIVE OFFICER SINCE: JUNE 2021</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Arial" w:hAnsi="Arial"/>
                <w:color w:val="000000"/>
                <w:sz w:val="18"/>
              </w:rPr>
            </w:pPr>
            <w:r>
              <w:rPr>
                <w:rFonts w:ascii="Arial" w:hAnsi="Arial"/>
                <w:color w:val="000000"/>
                <w:sz w:val="18"/>
              </w:rPr>
              <w:t>Mark Worthington has served as our general counsel since June 2021, after working with us as outside corporate counsel for several years. Prior to joining the Company, Mr. Worthington served as a partner with Summit Law Group in Seattle, Washington from September 1997 to May 2021, where he practiced corporate and securities law, chaired the corporate/securities practice and served as the co-managing partner. Mr. Worthington has advised private and public life sciences and other companies on a wide range of corporate governance, compliance and transactional matters, including public offerings, mergers and acquisitions, and joint ventures, and worked closely with executive management teams on strategic business and legal matters. Mr. Worthington received his J.D. from University of California College of the Law, San Francisco, in 1993 and his B.A. in American Studies from Stanford University in 1988.</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99" w:name="ny20044300x2_def14a_110-executive_pg3"/>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Executive Officers</w:t>
      </w:r>
    </w:p>
    <w:tbl>
      <w:tblPr>
        <w:tblW w:w="10205" w:type="dxa"/>
        <w:jc w:val="left"/>
        <w:tblInd w:w="0" w:type="dxa"/>
        <w:tblLayout w:type="fixed"/>
        <w:tblCellMar>
          <w:top w:w="0" w:type="dxa"/>
          <w:left w:w="0" w:type="dxa"/>
          <w:bottom w:w="0" w:type="dxa"/>
          <w:right w:w="0" w:type="dxa"/>
        </w:tblCellMar>
      </w:tblPr>
      <w:tblGrid>
        <w:gridCol w:w="1590"/>
        <w:gridCol w:w="170"/>
        <w:gridCol w:w="170"/>
        <w:gridCol w:w="8275"/>
      </w:tblGrid>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r>
        <w:trPr/>
        <w:tc>
          <w:tcPr>
            <w:tcW w:w="1590" w:type="dxa"/>
            <w:tcBorders/>
            <w:vAlign w:val="center"/>
          </w:tcPr>
          <w:p>
            <w:pPr>
              <w:pStyle w:val="TableContents"/>
              <w:bidi w:val="0"/>
              <w:spacing w:before="0" w:after="283"/>
              <w:jc w:val="center"/>
              <w:rPr>
                <w:color w:val="000000"/>
              </w:rPr>
            </w:pPr>
            <w:r>
              <w:rPr>
                <w:color w:val="000000"/>
              </w:rPr>
              <w:drawing>
                <wp:inline distT="0" distB="0" distL="0" distR="0">
                  <wp:extent cx="981075" cy="981075"/>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43"/>
                          <a:stretch>
                            <a:fillRect/>
                          </a:stretch>
                        </pic:blipFill>
                        <pic:spPr bwMode="auto">
                          <a:xfrm>
                            <a:off x="0" y="0"/>
                            <a:ext cx="981075" cy="9810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240" w:after="283"/>
              <w:ind w:left="0" w:right="0" w:hanging="0"/>
              <w:jc w:val="left"/>
              <w:rPr>
                <w:rFonts w:ascii="Times;Georgia" w:hAnsi="Times;Georgia"/>
                <w:color w:val="255993"/>
              </w:rPr>
            </w:pPr>
            <w:r>
              <w:rPr>
                <w:rFonts w:ascii="Times;Georgia" w:hAnsi="Times;Georgia"/>
                <w:color w:val="255993"/>
              </w:rPr>
              <w:t>Robert Renninger</w:t>
            </w:r>
          </w:p>
          <w:p>
            <w:pPr>
              <w:pStyle w:val="TableContents"/>
              <w:bidi w:val="0"/>
              <w:spacing w:before="20" w:after="283"/>
              <w:ind w:left="0" w:right="0" w:hanging="0"/>
              <w:jc w:val="left"/>
              <w:rPr>
                <w:rFonts w:ascii="Times;Georgia" w:hAnsi="Times;Georgia"/>
                <w:color w:val="255993"/>
                <w:sz w:val="44"/>
              </w:rPr>
            </w:pPr>
            <w:r>
              <w:rPr>
                <w:rFonts w:ascii="Arial" w:hAnsi="Arial"/>
                <w:b/>
                <w:color w:val="000000"/>
                <w:sz w:val="16"/>
              </w:rPr>
              <w:t>AGE: 41  EXECUTIVE OFFICER SINCE: OCTOBER 2024</w:t>
            </w:r>
            <w:r>
              <w:rPr>
                <w:rFonts w:ascii="Times;Georgia" w:hAnsi="Times;Georgia"/>
                <w:color w:val="000000"/>
                <w:sz w:val="44"/>
              </w:rPr>
              <w:t xml:space="preserve"> </w:t>
            </w:r>
          </w:p>
          <w:p>
            <w:pPr>
              <w:pStyle w:val="TableContents"/>
              <w:bidi w:val="0"/>
              <w:spacing w:before="0" w:after="283"/>
              <w:ind w:left="0" w:right="0" w:hanging="0"/>
              <w:jc w:val="left"/>
              <w:rPr>
                <w:rFonts w:ascii="Times;Georgia" w:hAnsi="Times;Georgia"/>
                <w:color w:val="255993"/>
                <w:sz w:val="44"/>
              </w:rPr>
            </w:pPr>
            <w:r>
              <w:rPr>
                <w:rFonts w:ascii="Times;Georgia" w:hAnsi="Times;Georgia"/>
                <w:color w:val="255993"/>
                <w:sz w:val="44"/>
              </w:rPr>
            </w:r>
          </w:p>
          <w:p>
            <w:pPr>
              <w:pStyle w:val="TableContents"/>
              <w:bidi w:val="0"/>
              <w:spacing w:before="240" w:after="283"/>
              <w:ind w:left="0" w:right="0" w:hanging="0"/>
              <w:jc w:val="left"/>
              <w:rPr>
                <w:rFonts w:ascii="Arial" w:hAnsi="Arial"/>
                <w:color w:val="000000"/>
                <w:sz w:val="18"/>
              </w:rPr>
            </w:pPr>
            <w:r>
              <w:rPr>
                <w:rFonts w:ascii="Arial" w:hAnsi="Arial"/>
                <w:color w:val="000000"/>
                <w:sz w:val="18"/>
              </w:rPr>
              <w:t>Robert Renninger has served as our senior vice president, finance and accounting, since February 2025, and previously served as our vice president of finance from January 2022 to February 2025, as our senior director of finance from September 2020 to January 2022, and as our director of finance from July 2020 to September 2020. Mr. Renninger served as financial controller of Infobip (formerly OpenMarket), a global communications platform, from July 2019 to July 2020. He also served as technical controller of Baker Hughes, an energy company, from September 2017 to May 2019. Mr. Renninger also served in various roles at Ernst &amp; Young, LLP, a global accounting firm, from September 2007 through September 2017, including most recently as senior manager. Mr. Renninger received his Master of accounting from the University of Michigan in 2007 and his B.A. in accounting from Seattle University in 2006. Mr. Renninger has over 15 years of experience serving in various finance, accounting, and auditing positions for companies in the pharmaceutical, technology, and energy sectors.</w:t>
            </w:r>
          </w:p>
        </w:tc>
      </w:tr>
      <w:tr>
        <w:trPr/>
        <w:tc>
          <w:tcPr>
            <w:tcW w:w="1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75" w:type="dxa"/>
            <w:tcBorders/>
            <w:vAlign w:val="center"/>
          </w:tcPr>
          <w:p>
            <w:pPr>
              <w:pStyle w:val="TableContents"/>
              <w:bidi w:val="0"/>
              <w:spacing w:before="0" w:after="0"/>
              <w:jc w:val="left"/>
              <w:rPr/>
            </w:pPr>
            <w:r>
              <w:rPr/>
              <w:t>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00" w:name="ny20044300x2_def14a_111-execomp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01" w:name="tEXCO"/>
      <w:bookmarkEnd w:id="101"/>
      <w:r>
        <w:rPr>
          <w:rFonts w:ascii="Times;Georgia" w:hAnsi="Times;Georgia"/>
          <w:color w:val="255993"/>
          <w:sz w:val="64"/>
        </w:rPr>
        <w:t>Executive Compensation</w:t>
      </w:r>
    </w:p>
    <w:p>
      <w:pPr>
        <w:pStyle w:val="TextBody"/>
        <w:bidi w:val="0"/>
        <w:spacing w:before="430" w:after="283"/>
        <w:ind w:left="0" w:right="0" w:hanging="0"/>
        <w:jc w:val="left"/>
        <w:rPr>
          <w:rFonts w:ascii="Arial" w:hAnsi="Arial"/>
          <w:b/>
          <w:color w:val="F8991D"/>
          <w:sz w:val="20"/>
        </w:rPr>
      </w:pPr>
      <w:bookmarkStart w:id="102" w:name="tPPCD"/>
      <w:bookmarkEnd w:id="102"/>
      <w:r>
        <w:rPr>
          <w:rFonts w:ascii="Arial" w:hAnsi="Arial"/>
          <w:b/>
          <w:color w:val="F8991D"/>
          <w:sz w:val="20"/>
        </w:rPr>
        <w:t xml:space="preserve">PROCESSES AND PROCEDURES FOR COMPENSATION DECISIONS </w:t>
      </w:r>
    </w:p>
    <w:p>
      <w:pPr>
        <w:pStyle w:val="TextBody"/>
        <w:bidi w:val="0"/>
        <w:spacing w:before="150" w:after="283"/>
        <w:ind w:left="0" w:right="0" w:hanging="0"/>
        <w:jc w:val="left"/>
        <w:rPr>
          <w:rFonts w:ascii="Arial" w:hAnsi="Arial"/>
          <w:color w:val="000000"/>
          <w:sz w:val="18"/>
        </w:rPr>
      </w:pPr>
      <w:r>
        <w:rPr>
          <w:rFonts w:ascii="Arial" w:hAnsi="Arial"/>
          <w:color w:val="000000"/>
          <w:sz w:val="18"/>
        </w:rPr>
        <w:t xml:space="preserve">Our executive compensation programs are designed to: </w:t>
      </w:r>
    </w:p>
    <w:tbl>
      <w:tblPr>
        <w:tblW w:w="9400" w:type="dxa"/>
        <w:jc w:val="left"/>
        <w:tblInd w:w="0" w:type="dxa"/>
        <w:tblLayout w:type="fixed"/>
        <w:tblCellMar>
          <w:top w:w="0" w:type="dxa"/>
          <w:left w:w="0" w:type="dxa"/>
          <w:bottom w:w="0" w:type="dxa"/>
          <w:right w:w="0" w:type="dxa"/>
        </w:tblCellMar>
      </w:tblPr>
      <w:tblGrid>
        <w:gridCol w:w="140"/>
        <w:gridCol w:w="9260"/>
      </w:tblGrid>
      <w:tr>
        <w:trPr/>
        <w:tc>
          <w:tcPr>
            <w:tcW w:w="140" w:type="dxa"/>
            <w:tcBorders/>
            <w:vAlign w:val="center"/>
          </w:tcPr>
          <w:p>
            <w:pPr>
              <w:pStyle w:val="TableContents"/>
              <w:bidi w:val="0"/>
              <w:spacing w:before="0" w:after="0"/>
              <w:jc w:val="left"/>
              <w:rPr>
                <w:color w:val="255993"/>
              </w:rPr>
            </w:pPr>
            <w:r>
              <w:rPr>
                <w:color w:val="255993"/>
              </w:rPr>
              <w:t>•</w:t>
            </w:r>
          </w:p>
        </w:tc>
        <w:tc>
          <w:tcPr>
            <w:tcW w:w="926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attract, motivate, incentivize and retain employees at the executive level who contribute to our long-term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provide compensation packages to our executives that are fair and competitive and reward high levels of performance and the achievement of our business objectives;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more closely align our executives’ interests with those of our stockholders by focusing on long-term equity incentives that correlate with the growth of sustainable long-term value for our stockholders.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compensation committee is responsible for making compensation decisions for executive officers other than our chief executive officer, but may, in its discretion, choose to make compensation recommendations to the full board of directors.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principal financial and accounting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Our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our compensation committee evaluates the achievement of defined goals by the executive team, excluding the chief executive officer, and recommends to the board of directors with respect to the achievement of defined goals for the chief executive officer. </w:t>
      </w:r>
    </w:p>
    <w:p>
      <w:pPr>
        <w:pStyle w:val="TextBody"/>
        <w:bidi w:val="0"/>
        <w:spacing w:before="290" w:after="283"/>
        <w:ind w:left="0" w:right="0" w:hanging="0"/>
        <w:jc w:val="left"/>
        <w:rPr>
          <w:rFonts w:ascii="Arial" w:hAnsi="Arial"/>
          <w:b/>
          <w:color w:val="F8991D"/>
          <w:sz w:val="20"/>
        </w:rPr>
      </w:pPr>
      <w:bookmarkStart w:id="103" w:name="tEXCN"/>
      <w:bookmarkEnd w:id="103"/>
      <w:r>
        <w:rPr>
          <w:rFonts w:ascii="Arial" w:hAnsi="Arial"/>
          <w:b/>
          <w:color w:val="F8991D"/>
          <w:sz w:val="20"/>
        </w:rPr>
        <w:t xml:space="preserve">EXECUTIVE COMPENSATION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This section discusses the material components of the executive compensation program for our named executive officers who are named in the subsection titled “—2023 – 2024 Summary Compensation Table” below. For 2024, our “named executive officers” and their positions were as follows: </w:t>
      </w:r>
    </w:p>
    <w:tbl>
      <w:tblPr>
        <w:tblW w:w="5080" w:type="dxa"/>
        <w:jc w:val="left"/>
        <w:tblInd w:w="0" w:type="dxa"/>
        <w:tblLayout w:type="fixed"/>
        <w:tblCellMar>
          <w:top w:w="0" w:type="dxa"/>
          <w:left w:w="0" w:type="dxa"/>
          <w:bottom w:w="0" w:type="dxa"/>
          <w:right w:w="0" w:type="dxa"/>
        </w:tblCellMar>
      </w:tblPr>
      <w:tblGrid>
        <w:gridCol w:w="140"/>
        <w:gridCol w:w="4940"/>
      </w:tblGrid>
      <w:tr>
        <w:trPr/>
        <w:tc>
          <w:tcPr>
            <w:tcW w:w="140" w:type="dxa"/>
            <w:tcBorders/>
            <w:vAlign w:val="center"/>
          </w:tcPr>
          <w:p>
            <w:pPr>
              <w:pStyle w:val="TableContents"/>
              <w:bidi w:val="0"/>
              <w:spacing w:before="0" w:after="0"/>
              <w:jc w:val="left"/>
              <w:rPr>
                <w:color w:val="255993"/>
              </w:rPr>
            </w:pPr>
            <w:r>
              <w:rPr>
                <w:color w:val="255993"/>
              </w:rPr>
              <w:t>•</w:t>
            </w:r>
          </w:p>
        </w:tc>
        <w:tc>
          <w:tcPr>
            <w:tcW w:w="494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Mark Litton, Ph.D., our president and chief executive officer; </w:t>
            </w:r>
          </w:p>
        </w:tc>
      </w:tr>
    </w:tbl>
    <w:tbl>
      <w:tblPr>
        <w:tblW w:w="4045" w:type="dxa"/>
        <w:jc w:val="left"/>
        <w:tblInd w:w="0" w:type="dxa"/>
        <w:tblLayout w:type="fixed"/>
        <w:tblCellMar>
          <w:top w:w="0" w:type="dxa"/>
          <w:left w:w="0" w:type="dxa"/>
          <w:bottom w:w="0" w:type="dxa"/>
          <w:right w:w="0" w:type="dxa"/>
        </w:tblCellMar>
      </w:tblPr>
      <w:tblGrid>
        <w:gridCol w:w="140"/>
        <w:gridCol w:w="3905"/>
      </w:tblGrid>
      <w:tr>
        <w:trPr/>
        <w:tc>
          <w:tcPr>
            <w:tcW w:w="140" w:type="dxa"/>
            <w:tcBorders/>
            <w:vAlign w:val="center"/>
          </w:tcPr>
          <w:p>
            <w:pPr>
              <w:pStyle w:val="TableContents"/>
              <w:bidi w:val="0"/>
              <w:spacing w:before="0" w:after="0"/>
              <w:jc w:val="left"/>
              <w:rPr>
                <w:color w:val="255993"/>
              </w:rPr>
            </w:pPr>
            <w:r>
              <w:rPr>
                <w:color w:val="255993"/>
              </w:rPr>
              <w:t>•</w:t>
            </w:r>
          </w:p>
        </w:tc>
        <w:tc>
          <w:tcPr>
            <w:tcW w:w="390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Kevin Church, Ph.D., our chief scientific officer; </w:t>
            </w:r>
          </w:p>
        </w:tc>
      </w:tr>
    </w:tbl>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255993"/>
              </w:rPr>
            </w:pPr>
            <w:r>
              <w:rPr>
                <w:color w:val="255993"/>
              </w:rPr>
              <w:t>•</w:t>
            </w:r>
          </w:p>
        </w:tc>
        <w:tc>
          <w:tcPr>
            <w:tcW w:w="728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Mark Worthington, our general counsel, chief compliance officer and corporate secretary;</w:t>
            </w:r>
          </w:p>
        </w:tc>
      </w:tr>
    </w:tbl>
    <w:tbl>
      <w:tblPr>
        <w:tblW w:w="6745" w:type="dxa"/>
        <w:jc w:val="left"/>
        <w:tblInd w:w="0" w:type="dxa"/>
        <w:tblLayout w:type="fixed"/>
        <w:tblCellMar>
          <w:top w:w="0" w:type="dxa"/>
          <w:left w:w="0" w:type="dxa"/>
          <w:bottom w:w="0" w:type="dxa"/>
          <w:right w:w="0" w:type="dxa"/>
        </w:tblCellMar>
      </w:tblPr>
      <w:tblGrid>
        <w:gridCol w:w="140"/>
        <w:gridCol w:w="6605"/>
      </w:tblGrid>
      <w:tr>
        <w:trPr/>
        <w:tc>
          <w:tcPr>
            <w:tcW w:w="140" w:type="dxa"/>
            <w:tcBorders/>
            <w:vAlign w:val="center"/>
          </w:tcPr>
          <w:p>
            <w:pPr>
              <w:pStyle w:val="TableContents"/>
              <w:bidi w:val="0"/>
              <w:spacing w:before="0" w:after="0"/>
              <w:jc w:val="left"/>
              <w:rPr>
                <w:color w:val="255993"/>
              </w:rPr>
            </w:pPr>
            <w:r>
              <w:rPr>
                <w:color w:val="255993"/>
              </w:rPr>
              <w:t>•</w:t>
            </w:r>
          </w:p>
        </w:tc>
        <w:tc>
          <w:tcPr>
            <w:tcW w:w="660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Andrew Gengos, our former chief financial officer and chief business officer; and </w:t>
            </w:r>
          </w:p>
        </w:tc>
      </w:tr>
    </w:tbl>
    <w:tbl>
      <w:tblPr>
        <w:tblW w:w="6940" w:type="dxa"/>
        <w:jc w:val="left"/>
        <w:tblInd w:w="0" w:type="dxa"/>
        <w:tblLayout w:type="fixed"/>
        <w:tblCellMar>
          <w:top w:w="0" w:type="dxa"/>
          <w:left w:w="0" w:type="dxa"/>
          <w:bottom w:w="0" w:type="dxa"/>
          <w:right w:w="0" w:type="dxa"/>
        </w:tblCellMar>
      </w:tblPr>
      <w:tblGrid>
        <w:gridCol w:w="140"/>
        <w:gridCol w:w="6800"/>
      </w:tblGrid>
      <w:tr>
        <w:trPr/>
        <w:tc>
          <w:tcPr>
            <w:tcW w:w="140" w:type="dxa"/>
            <w:tcBorders/>
            <w:vAlign w:val="center"/>
          </w:tcPr>
          <w:p>
            <w:pPr>
              <w:pStyle w:val="TableContents"/>
              <w:bidi w:val="0"/>
              <w:spacing w:before="0" w:after="0"/>
              <w:jc w:val="left"/>
              <w:rPr>
                <w:color w:val="255993"/>
              </w:rPr>
            </w:pPr>
            <w:r>
              <w:rPr>
                <w:color w:val="255993"/>
              </w:rPr>
              <w:t>•</w:t>
            </w:r>
          </w:p>
        </w:tc>
        <w:tc>
          <w:tcPr>
            <w:tcW w:w="680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Rachel Lenington, our former chief operating officer and chief development officer.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04" w:name="ny20044300x2_def14a_111-execomp_pg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Executive Compensation</w:t>
      </w:r>
    </w:p>
    <w:p>
      <w:pPr>
        <w:pStyle w:val="TextBody"/>
        <w:bidi w:val="0"/>
        <w:spacing w:before="135" w:after="283"/>
        <w:ind w:left="0" w:right="0" w:hanging="0"/>
        <w:jc w:val="left"/>
        <w:rPr>
          <w:rFonts w:ascii="Arial" w:hAnsi="Arial"/>
          <w:b/>
          <w:color w:val="F8991D"/>
          <w:sz w:val="20"/>
        </w:rPr>
      </w:pPr>
      <w:bookmarkStart w:id="105" w:name="tSCT"/>
      <w:bookmarkEnd w:id="105"/>
      <w:r>
        <w:rPr>
          <w:rFonts w:ascii="Arial" w:hAnsi="Arial"/>
          <w:b/>
          <w:color w:val="F8991D"/>
          <w:sz w:val="20"/>
        </w:rPr>
        <w:t xml:space="preserve">2023 – 2024 SUMMARY COMPENSATION TABLE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following table represents information regarding the total compensation awarded to, earned by or paid to our named executive officers for the years ended December 31, 2024 and December 31, 2023. </w:t>
      </w:r>
    </w:p>
    <w:tbl>
      <w:tblPr>
        <w:tblW w:w="10710" w:type="dxa"/>
        <w:jc w:val="left"/>
        <w:tblInd w:w="0" w:type="dxa"/>
        <w:tblLayout w:type="fixed"/>
        <w:tblCellMar>
          <w:top w:w="0" w:type="dxa"/>
          <w:left w:w="0" w:type="dxa"/>
          <w:bottom w:w="0" w:type="dxa"/>
          <w:right w:w="0" w:type="dxa"/>
        </w:tblCellMar>
      </w:tblPr>
      <w:tblGrid>
        <w:gridCol w:w="185"/>
        <w:gridCol w:w="1055"/>
        <w:gridCol w:w="170"/>
        <w:gridCol w:w="170"/>
        <w:gridCol w:w="455"/>
        <w:gridCol w:w="170"/>
        <w:gridCol w:w="170"/>
        <w:gridCol w:w="635"/>
        <w:gridCol w:w="170"/>
        <w:gridCol w:w="170"/>
        <w:gridCol w:w="605"/>
        <w:gridCol w:w="170"/>
        <w:gridCol w:w="170"/>
        <w:gridCol w:w="710"/>
        <w:gridCol w:w="170"/>
        <w:gridCol w:w="170"/>
        <w:gridCol w:w="770"/>
        <w:gridCol w:w="170"/>
        <w:gridCol w:w="170"/>
        <w:gridCol w:w="1295"/>
        <w:gridCol w:w="170"/>
        <w:gridCol w:w="170"/>
        <w:gridCol w:w="1295"/>
        <w:gridCol w:w="170"/>
        <w:gridCol w:w="170"/>
        <w:gridCol w:w="770"/>
        <w:gridCol w:w="215"/>
      </w:tblGrid>
      <w:tr>
        <w:trPr/>
        <w:tc>
          <w:tcPr>
            <w:tcW w:w="185" w:type="dxa"/>
            <w:tcBorders/>
            <w:shd w:fill="255993" w:val="clear"/>
            <w:vAlign w:val="center"/>
          </w:tcPr>
          <w:p>
            <w:pPr>
              <w:pStyle w:val="TableContents"/>
              <w:bidi w:val="0"/>
              <w:spacing w:before="0" w:after="0"/>
              <w:jc w:val="left"/>
              <w:rPr/>
            </w:pPr>
            <w:r>
              <w:rPr/>
              <w:t> </w:t>
            </w:r>
          </w:p>
        </w:tc>
        <w:tc>
          <w:tcPr>
            <w:tcW w:w="105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45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63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60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71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7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29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29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770" w:type="dxa"/>
            <w:tcBorders/>
            <w:shd w:fill="255993" w:val="clear"/>
            <w:vAlign w:val="center"/>
          </w:tcPr>
          <w:p>
            <w:pPr>
              <w:pStyle w:val="TableContents"/>
              <w:bidi w:val="0"/>
              <w:spacing w:before="0" w:after="0"/>
              <w:jc w:val="left"/>
              <w:rPr/>
            </w:pPr>
            <w:r>
              <w:rPr/>
              <w:t> </w:t>
            </w:r>
          </w:p>
        </w:tc>
        <w:tc>
          <w:tcPr>
            <w:tcW w:w="215"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255993" w:val="clear"/>
            <w:tcMar>
              <w:bottom w:w="90" w:type="dxa"/>
            </w:tcMar>
            <w:vAlign w:val="center"/>
          </w:tcPr>
          <w:p>
            <w:pPr>
              <w:pStyle w:val="TableContents"/>
              <w:bidi w:val="0"/>
              <w:spacing w:before="0" w:after="283"/>
              <w:ind w:left="70" w:right="0" w:hanging="0"/>
              <w:jc w:val="left"/>
              <w:rPr>
                <w:rFonts w:ascii="Arial" w:hAnsi="Arial"/>
                <w:b/>
                <w:color w:val="FFFFFF"/>
                <w:sz w:val="18"/>
              </w:rPr>
            </w:pPr>
            <w:r>
              <w:rPr>
                <w:rFonts w:ascii="Arial" w:hAnsi="Arial"/>
                <w:b/>
                <w:color w:val="FFFFFF"/>
                <w:sz w:val="18"/>
              </w:rPr>
              <w:t xml:space="preserve">Name and </w:t>
            </w:r>
          </w:p>
          <w:p>
            <w:pPr>
              <w:pStyle w:val="TableContents"/>
              <w:bidi w:val="0"/>
              <w:spacing w:before="0" w:after="283"/>
              <w:ind w:left="70" w:right="0" w:hanging="0"/>
              <w:jc w:val="left"/>
              <w:rPr>
                <w:rFonts w:ascii="Arial" w:hAnsi="Arial"/>
                <w:b/>
                <w:color w:val="FFFFFF"/>
                <w:sz w:val="18"/>
              </w:rPr>
            </w:pPr>
            <w:r>
              <w:rPr>
                <w:rFonts w:ascii="Arial" w:hAnsi="Arial"/>
                <w:b/>
                <w:color w:val="FFFFFF"/>
                <w:sz w:val="18"/>
              </w:rPr>
              <w:t>Principal Position</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455"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Year</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635"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Salary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605"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Bonus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710"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Stock </w:t>
            </w:r>
          </w:p>
          <w:p>
            <w:pPr>
              <w:pStyle w:val="TableContents"/>
              <w:bidi w:val="0"/>
              <w:spacing w:before="0" w:after="283"/>
              <w:jc w:val="right"/>
              <w:rPr>
                <w:rFonts w:ascii="Arial" w:hAnsi="Arial"/>
                <w:b/>
                <w:color w:val="FFFFFF"/>
                <w:sz w:val="18"/>
              </w:rPr>
            </w:pPr>
            <w:r>
              <w:rPr>
                <w:rFonts w:ascii="Arial" w:hAnsi="Arial"/>
                <w:b/>
                <w:color w:val="FFFFFF"/>
                <w:sz w:val="18"/>
              </w:rPr>
              <w:t xml:space="preserve">Awards </w:t>
            </w:r>
          </w:p>
          <w:p>
            <w:pPr>
              <w:pStyle w:val="TableContents"/>
              <w:bidi w:val="0"/>
              <w:spacing w:before="0" w:after="283"/>
              <w:jc w:val="right"/>
              <w:rPr>
                <w:rFonts w:ascii="Arial" w:hAnsi="Arial"/>
                <w:b/>
                <w:color w:val="FFFFFF"/>
                <w:sz w:val="18"/>
              </w:rPr>
            </w:pPr>
            <w:r>
              <w:rPr>
                <w:rFonts w:ascii="Arial" w:hAnsi="Arial"/>
                <w:b/>
                <w:color w:val="FFFFFF"/>
                <w:sz w:val="18"/>
              </w:rPr>
              <w:t>($)</w:t>
            </w:r>
            <w:r>
              <w:rPr>
                <w:rFonts w:ascii="Arial" w:hAnsi="Arial"/>
                <w:b/>
                <w:color w:val="FFFFFF"/>
                <w:position w:val="6"/>
                <w:sz w:val="14"/>
                <w:sz w:val="18"/>
              </w:rPr>
              <w:t>(1)</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770"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Option </w:t>
            </w:r>
          </w:p>
          <w:p>
            <w:pPr>
              <w:pStyle w:val="TableContents"/>
              <w:bidi w:val="0"/>
              <w:spacing w:before="0" w:after="283"/>
              <w:jc w:val="right"/>
              <w:rPr>
                <w:rFonts w:ascii="Arial" w:hAnsi="Arial"/>
                <w:b/>
                <w:color w:val="FFFFFF"/>
                <w:sz w:val="18"/>
              </w:rPr>
            </w:pPr>
            <w:r>
              <w:rPr>
                <w:rFonts w:ascii="Arial" w:hAnsi="Arial"/>
                <w:b/>
                <w:color w:val="FFFFFF"/>
                <w:sz w:val="18"/>
              </w:rPr>
              <w:t xml:space="preserve">Awards </w:t>
            </w:r>
          </w:p>
          <w:p>
            <w:pPr>
              <w:pStyle w:val="TableContents"/>
              <w:bidi w:val="0"/>
              <w:spacing w:before="0" w:after="283"/>
              <w:jc w:val="right"/>
              <w:rPr>
                <w:rFonts w:ascii="Arial" w:hAnsi="Arial"/>
                <w:b/>
                <w:color w:val="FFFFFF"/>
                <w:sz w:val="18"/>
              </w:rPr>
            </w:pPr>
            <w:r>
              <w:rPr>
                <w:rFonts w:ascii="Arial" w:hAnsi="Arial"/>
                <w:b/>
                <w:color w:val="FFFFFF"/>
                <w:sz w:val="18"/>
              </w:rPr>
              <w:t>($)</w:t>
            </w:r>
            <w:r>
              <w:rPr>
                <w:rFonts w:ascii="Arial" w:hAnsi="Arial"/>
                <w:b/>
                <w:color w:val="FFFFFF"/>
                <w:position w:val="6"/>
                <w:sz w:val="14"/>
                <w:sz w:val="18"/>
              </w:rPr>
              <w:t>(2)</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Non-equity </w:t>
            </w:r>
          </w:p>
          <w:p>
            <w:pPr>
              <w:pStyle w:val="TableContents"/>
              <w:bidi w:val="0"/>
              <w:spacing w:before="0" w:after="283"/>
              <w:jc w:val="right"/>
              <w:rPr>
                <w:rFonts w:ascii="Arial" w:hAnsi="Arial"/>
                <w:b/>
                <w:color w:val="FFFFFF"/>
                <w:sz w:val="18"/>
              </w:rPr>
            </w:pPr>
            <w:r>
              <w:rPr>
                <w:rFonts w:ascii="Arial" w:hAnsi="Arial"/>
                <w:b/>
                <w:color w:val="FFFFFF"/>
                <w:sz w:val="18"/>
              </w:rPr>
              <w:t xml:space="preserve">Incentive Plan </w:t>
            </w:r>
          </w:p>
          <w:p>
            <w:pPr>
              <w:pStyle w:val="TableContents"/>
              <w:bidi w:val="0"/>
              <w:spacing w:before="0" w:after="283"/>
              <w:jc w:val="right"/>
              <w:rPr>
                <w:rFonts w:ascii="Arial" w:hAnsi="Arial"/>
                <w:b/>
                <w:color w:val="FFFFFF"/>
                <w:sz w:val="18"/>
              </w:rPr>
            </w:pPr>
            <w:r>
              <w:rPr>
                <w:rFonts w:ascii="Arial" w:hAnsi="Arial"/>
                <w:b/>
                <w:color w:val="FFFFFF"/>
                <w:sz w:val="18"/>
              </w:rPr>
              <w:t xml:space="preserve">Compensation </w:t>
            </w:r>
          </w:p>
          <w:p>
            <w:pPr>
              <w:pStyle w:val="TableContents"/>
              <w:bidi w:val="0"/>
              <w:spacing w:before="0" w:after="283"/>
              <w:jc w:val="right"/>
              <w:rPr>
                <w:rFonts w:ascii="Arial" w:hAnsi="Arial"/>
                <w:b/>
                <w:color w:val="FFFFFF"/>
                <w:sz w:val="18"/>
              </w:rPr>
            </w:pPr>
            <w:r>
              <w:rPr>
                <w:rFonts w:ascii="Arial" w:hAnsi="Arial"/>
                <w:b/>
                <w:color w:val="FFFFFF"/>
                <w:sz w:val="18"/>
              </w:rPr>
              <w:t>($)</w:t>
            </w:r>
            <w:r>
              <w:rPr>
                <w:rFonts w:ascii="Arial" w:hAnsi="Arial"/>
                <w:b/>
                <w:color w:val="FFFFFF"/>
                <w:position w:val="6"/>
                <w:sz w:val="14"/>
                <w:sz w:val="18"/>
              </w:rPr>
              <w:t>(3)</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All Other </w:t>
            </w:r>
          </w:p>
          <w:p>
            <w:pPr>
              <w:pStyle w:val="TableContents"/>
              <w:bidi w:val="0"/>
              <w:spacing w:before="0" w:after="283"/>
              <w:jc w:val="right"/>
              <w:rPr>
                <w:rFonts w:ascii="Arial" w:hAnsi="Arial"/>
                <w:b/>
                <w:color w:val="FFFFFF"/>
                <w:sz w:val="18"/>
              </w:rPr>
            </w:pPr>
            <w:r>
              <w:rPr>
                <w:rFonts w:ascii="Arial" w:hAnsi="Arial"/>
                <w:b/>
                <w:color w:val="FFFFFF"/>
                <w:sz w:val="18"/>
              </w:rPr>
              <w:t xml:space="preserve">Compensation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770" w:type="dxa"/>
            <w:tcBorders>
              <w:bottom w:val="single" w:sz="8" w:space="0" w:color="FFFFFF"/>
            </w:tcBorders>
            <w:shd w:fill="255993" w:val="clear"/>
            <w:tcMar>
              <w:bottom w:w="9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Total </w:t>
            </w:r>
          </w:p>
          <w:p>
            <w:pPr>
              <w:pStyle w:val="TableContents"/>
              <w:bidi w:val="0"/>
              <w:spacing w:before="0" w:after="283"/>
              <w:jc w:val="right"/>
              <w:rPr>
                <w:rFonts w:ascii="Arial" w:hAnsi="Arial"/>
                <w:b/>
                <w:color w:val="FFFFFF"/>
                <w:sz w:val="18"/>
              </w:rPr>
            </w:pPr>
            <w:r>
              <w:rPr>
                <w:rFonts w:ascii="Arial" w:hAnsi="Arial"/>
                <w:b/>
                <w:color w:val="FFFFFF"/>
                <w:sz w:val="18"/>
              </w:rPr>
              <w:t xml:space="preserve">($) </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vMerge w:val="restart"/>
            <w:tcBorders/>
            <w:shd w:fill="EBEBEB" w:val="clear"/>
            <w:vAlign w:val="center"/>
          </w:tcPr>
          <w:p>
            <w:pPr>
              <w:pStyle w:val="TableContents"/>
              <w:bidi w:val="0"/>
              <w:spacing w:before="0" w:after="0"/>
              <w:jc w:val="left"/>
              <w:rPr/>
            </w:pPr>
            <w:r>
              <w:rPr/>
              <w:t> </w:t>
            </w:r>
          </w:p>
        </w:tc>
        <w:tc>
          <w:tcPr>
            <w:tcW w:w="1055" w:type="dxa"/>
            <w:vMerge w:val="restart"/>
            <w:tcBorders/>
            <w:shd w:fill="EBEBEB" w:val="cle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Mark Litton, Ph.D.,</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President and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Chief Executive</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Officer</w:t>
            </w:r>
          </w:p>
        </w:tc>
        <w:tc>
          <w:tcPr>
            <w:tcW w:w="170" w:type="dxa"/>
            <w:vMerge w:val="restart"/>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45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3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625,000</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05"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1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138,353</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1,991,260</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395,313</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25,085</w:t>
            </w:r>
            <w:r>
              <w:rPr>
                <w:rFonts w:ascii="Arial" w:hAnsi="Arial"/>
                <w:color w:val="000000"/>
                <w:position w:val="5"/>
                <w:sz w:val="13"/>
                <w:sz w:val="16"/>
              </w:rPr>
              <w:t>(4)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3,175,009 </w:t>
            </w:r>
          </w:p>
        </w:tc>
        <w:tc>
          <w:tcPr>
            <w:tcW w:w="215" w:type="dxa"/>
            <w:tcBorders/>
            <w:shd w:fill="EBEBEB" w:val="clear"/>
            <w:vAlign w:val="center"/>
          </w:tcPr>
          <w:p>
            <w:pPr>
              <w:pStyle w:val="TableContents"/>
              <w:bidi w:val="0"/>
              <w:spacing w:before="0" w:after="0"/>
              <w:jc w:val="left"/>
              <w:rPr/>
            </w:pPr>
            <w:r>
              <w:rPr/>
              <w:t> </w:t>
            </w:r>
          </w:p>
        </w:tc>
      </w:tr>
      <w:tr>
        <w:trPr/>
        <w:tc>
          <w:tcPr>
            <w:tcW w:w="185" w:type="dxa"/>
            <w:vMerge w:val="continue"/>
            <w:tcBorders/>
            <w:shd w:fill="EBEBEB" w:val="clear"/>
            <w:vAlign w:val="center"/>
          </w:tcPr>
          <w:p>
            <w:pPr>
              <w:pStyle w:val="Normal"/>
              <w:bidi w:val="0"/>
              <w:jc w:val="left"/>
              <w:rPr/>
            </w:pPr>
            <w:r>
              <w:rPr/>
            </w:r>
          </w:p>
        </w:tc>
        <w:tc>
          <w:tcPr>
            <w:tcW w:w="1055" w:type="dxa"/>
            <w:vMerge w:val="continue"/>
            <w:tcBorders/>
            <w:shd w:fill="EBEBEB" w:val="clear"/>
            <w:vAlign w:val="center"/>
          </w:tcPr>
          <w:p>
            <w:pPr>
              <w:pStyle w:val="Normal"/>
              <w:bidi w:val="0"/>
              <w:jc w:val="left"/>
              <w:rPr/>
            </w:pPr>
            <w:r>
              <w:rPr/>
            </w:r>
          </w:p>
        </w:tc>
        <w:tc>
          <w:tcPr>
            <w:tcW w:w="170" w:type="dxa"/>
            <w:vMerge w:val="continue"/>
            <w:tcBorders/>
            <w:shd w:fill="EBEBEB" w:val="clear"/>
            <w:vAlign w:val="center"/>
          </w:tcPr>
          <w:p>
            <w:pPr>
              <w:pStyle w:val="Normal"/>
              <w:bidi w:val="0"/>
              <w:jc w:val="left"/>
              <w:rPr/>
            </w:pPr>
            <w:r>
              <w:rPr/>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45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3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05"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70"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1,378,860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297,619</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15,058</w:t>
            </w:r>
            <w:r>
              <w:rPr>
                <w:rFonts w:ascii="Arial" w:hAnsi="Arial"/>
                <w:color w:val="000000"/>
                <w:position w:val="5"/>
                <w:sz w:val="13"/>
                <w:sz w:val="16"/>
              </w:rPr>
              <w:t>(4)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70"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2,276,537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FFFFFF"/>
            </w:tcBorders>
            <w:tcMar>
              <w:bottom w:w="28" w:type="dxa"/>
            </w:tcMar>
            <w:vAlign w:val="center"/>
          </w:tcPr>
          <w:p>
            <w:pPr>
              <w:pStyle w:val="TableContents"/>
              <w:bidi w:val="0"/>
              <w:spacing w:before="0" w:after="0"/>
              <w:jc w:val="left"/>
              <w:rPr/>
            </w:pPr>
            <w:r>
              <w:rPr/>
              <w:t> </w:t>
            </w:r>
          </w:p>
        </w:tc>
        <w:tc>
          <w:tcPr>
            <w:tcW w:w="1055" w:type="dxa"/>
            <w:vMerge w:val="restart"/>
            <w:tcBorders>
              <w:bottom w:val="single" w:sz="8" w:space="0" w:color="FFFFFF"/>
            </w:tcBorders>
            <w:tcMar>
              <w:bottom w:w="93"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Kevin Church, Ph.D.,</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Chief Scientific Officer</w:t>
            </w:r>
          </w:p>
        </w:tc>
        <w:tc>
          <w:tcPr>
            <w:tcW w:w="170" w:type="dxa"/>
            <w:vMerge w:val="restart"/>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45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3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450,000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05"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1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49,489</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606,498</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207,000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23,085</w:t>
            </w:r>
            <w:r>
              <w:rPr>
                <w:rFonts w:ascii="Arial" w:hAnsi="Arial"/>
                <w:color w:val="000000"/>
                <w:position w:val="5"/>
                <w:sz w:val="13"/>
                <w:sz w:val="16"/>
              </w:rPr>
              <w:t>(4)</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1,336,071</w:t>
            </w:r>
          </w:p>
        </w:tc>
        <w:tc>
          <w:tcPr>
            <w:tcW w:w="215" w:type="dxa"/>
            <w:tcBorders>
              <w:bottom w:val="single" w:sz="8" w:space="0" w:color="FFFFFF"/>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FFFFFF"/>
            </w:tcBorders>
            <w:tcMar>
              <w:bottom w:w="28" w:type="dxa"/>
            </w:tcMar>
            <w:vAlign w:val="center"/>
          </w:tcPr>
          <w:p>
            <w:pPr>
              <w:pStyle w:val="Normal"/>
              <w:bidi w:val="0"/>
              <w:jc w:val="left"/>
              <w:rPr/>
            </w:pPr>
            <w:r>
              <w:rPr/>
            </w:r>
          </w:p>
        </w:tc>
        <w:tc>
          <w:tcPr>
            <w:tcW w:w="1055" w:type="dxa"/>
            <w:vMerge w:val="continue"/>
            <w:tcBorders>
              <w:bottom w:val="single" w:sz="8" w:space="0" w:color="FFFFFF"/>
            </w:tcBorders>
            <w:tcMar>
              <w:bottom w:w="93" w:type="dxa"/>
            </w:tcMar>
            <w:vAlign w:val="center"/>
          </w:tcPr>
          <w:p>
            <w:pPr>
              <w:pStyle w:val="Normal"/>
              <w:bidi w:val="0"/>
              <w:jc w:val="left"/>
              <w:rPr/>
            </w:pPr>
            <w:r>
              <w:rPr/>
            </w:r>
          </w:p>
        </w:tc>
        <w:tc>
          <w:tcPr>
            <w:tcW w:w="170" w:type="dxa"/>
            <w:vMerge w:val="continue"/>
            <w:tcBorders>
              <w:bottom w:val="single" w:sz="8" w:space="0" w:color="FFFFFF"/>
            </w:tcBorders>
            <w:tcMar>
              <w:bottom w:w="28" w:type="dxa"/>
            </w:tcMar>
            <w:vAlign w:val="center"/>
          </w:tcPr>
          <w:p>
            <w:pPr>
              <w:pStyle w:val="Normal"/>
              <w:bidi w:val="0"/>
              <w:jc w:val="left"/>
              <w:rPr/>
            </w:pPr>
            <w:r>
              <w:rPr/>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45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3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420,000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05"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10"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399,000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155,400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17,485</w:t>
            </w:r>
            <w:r>
              <w:rPr>
                <w:rFonts w:ascii="Arial" w:hAnsi="Arial"/>
                <w:color w:val="000000"/>
                <w:position w:val="5"/>
                <w:sz w:val="13"/>
                <w:sz w:val="16"/>
              </w:rPr>
              <w:t>(4)</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991,884</w:t>
            </w:r>
          </w:p>
        </w:tc>
        <w:tc>
          <w:tcPr>
            <w:tcW w:w="215" w:type="dxa"/>
            <w:tcBorders>
              <w:bottom w:val="single" w:sz="8" w:space="0" w:color="FFFFFF"/>
            </w:tcBorders>
            <w:tcMar>
              <w:bottom w:w="28" w:type="dxa"/>
            </w:tcMar>
            <w:vAlign w:val="center"/>
          </w:tcPr>
          <w:p>
            <w:pPr>
              <w:pStyle w:val="TableContents"/>
              <w:bidi w:val="0"/>
              <w:spacing w:before="0" w:after="0"/>
              <w:jc w:val="left"/>
              <w:rPr/>
            </w:pPr>
            <w:r>
              <w:rPr/>
              <w:t> </w:t>
            </w:r>
          </w:p>
        </w:tc>
      </w:tr>
      <w:tr>
        <w:trPr/>
        <w:tc>
          <w:tcPr>
            <w:tcW w:w="185" w:type="dxa"/>
            <w:vMerge w:val="restart"/>
            <w:tcBorders/>
            <w:shd w:fill="EBEBEB" w:val="clear"/>
            <w:vAlign w:val="center"/>
          </w:tcPr>
          <w:p>
            <w:pPr>
              <w:pStyle w:val="TableContents"/>
              <w:bidi w:val="0"/>
              <w:spacing w:before="0" w:after="0"/>
              <w:jc w:val="left"/>
              <w:rPr/>
            </w:pPr>
            <w:r>
              <w:rPr/>
              <w:t> </w:t>
            </w:r>
          </w:p>
        </w:tc>
        <w:tc>
          <w:tcPr>
            <w:tcW w:w="1055" w:type="dxa"/>
            <w:vMerge w:val="restart"/>
            <w:tcBorders/>
            <w:shd w:fill="EBEBEB" w:val="cle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Mark Worthington,</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General Counsel, Chief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Compliance Officer and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Corporate Secretary</w:t>
            </w:r>
          </w:p>
        </w:tc>
        <w:tc>
          <w:tcPr>
            <w:tcW w:w="170" w:type="dxa"/>
            <w:vMerge w:val="restart"/>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45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3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450,000</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05"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1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49,489</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606,498</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207,000</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24,523</w:t>
            </w:r>
            <w:r>
              <w:rPr>
                <w:rFonts w:ascii="Arial" w:hAnsi="Arial"/>
                <w:color w:val="000000"/>
                <w:position w:val="5"/>
                <w:sz w:val="13"/>
                <w:sz w:val="16"/>
              </w:rPr>
              <w:t>(4)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1,337,509</w:t>
            </w:r>
          </w:p>
        </w:tc>
        <w:tc>
          <w:tcPr>
            <w:tcW w:w="215" w:type="dxa"/>
            <w:tcBorders/>
            <w:shd w:fill="EBEBEB" w:val="clear"/>
            <w:vAlign w:val="center"/>
          </w:tcPr>
          <w:p>
            <w:pPr>
              <w:pStyle w:val="TableContents"/>
              <w:bidi w:val="0"/>
              <w:spacing w:before="0" w:after="0"/>
              <w:jc w:val="left"/>
              <w:rPr/>
            </w:pPr>
            <w:r>
              <w:rPr/>
              <w:t> </w:t>
            </w:r>
          </w:p>
        </w:tc>
      </w:tr>
      <w:tr>
        <w:trPr/>
        <w:tc>
          <w:tcPr>
            <w:tcW w:w="185" w:type="dxa"/>
            <w:vMerge w:val="continue"/>
            <w:tcBorders/>
            <w:shd w:fill="EBEBEB" w:val="clear"/>
            <w:vAlign w:val="center"/>
          </w:tcPr>
          <w:p>
            <w:pPr>
              <w:pStyle w:val="Normal"/>
              <w:bidi w:val="0"/>
              <w:jc w:val="left"/>
              <w:rPr/>
            </w:pPr>
            <w:r>
              <w:rPr/>
            </w:r>
          </w:p>
        </w:tc>
        <w:tc>
          <w:tcPr>
            <w:tcW w:w="1055" w:type="dxa"/>
            <w:vMerge w:val="continue"/>
            <w:tcBorders/>
            <w:shd w:fill="EBEBEB" w:val="clear"/>
            <w:vAlign w:val="center"/>
          </w:tcPr>
          <w:p>
            <w:pPr>
              <w:pStyle w:val="Normal"/>
              <w:bidi w:val="0"/>
              <w:jc w:val="left"/>
              <w:rPr/>
            </w:pPr>
            <w:r>
              <w:rPr/>
            </w:r>
          </w:p>
        </w:tc>
        <w:tc>
          <w:tcPr>
            <w:tcW w:w="170" w:type="dxa"/>
            <w:vMerge w:val="continue"/>
            <w:tcBorders/>
            <w:shd w:fill="EBEBEB" w:val="clear"/>
            <w:vAlign w:val="center"/>
          </w:tcPr>
          <w:p>
            <w:pPr>
              <w:pStyle w:val="Normal"/>
              <w:bidi w:val="0"/>
              <w:jc w:val="left"/>
              <w:rPr/>
            </w:pPr>
            <w:r>
              <w:rPr/>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45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3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05"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 w:type="dxa"/>
            <w:tcBorders>
              <w:bottom w:val="single" w:sz="8" w:space="0" w:color="FFFFFF"/>
            </w:tcBorders>
            <w:shd w:fill="EBEBEB" w:val="clear"/>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70"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160,950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19,735</w:t>
            </w:r>
            <w:r>
              <w:rPr>
                <w:rFonts w:ascii="Arial" w:hAnsi="Arial"/>
                <w:color w:val="000000"/>
                <w:position w:val="5"/>
                <w:sz w:val="13"/>
                <w:sz w:val="16"/>
              </w:rPr>
              <w:t>(4)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70" w:type="dxa"/>
            <w:tcBorders>
              <w:bottom w:val="single" w:sz="8" w:space="0" w:color="FFFFFF"/>
            </w:tcBorders>
            <w:shd w:fill="EBEBEB" w:val="clear"/>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1,014,684</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FFFFFF"/>
            </w:tcBorders>
            <w:tcMar>
              <w:bottom w:w="28" w:type="dxa"/>
            </w:tcMar>
            <w:vAlign w:val="center"/>
          </w:tcPr>
          <w:p>
            <w:pPr>
              <w:pStyle w:val="TableContents"/>
              <w:bidi w:val="0"/>
              <w:spacing w:before="0" w:after="0"/>
              <w:jc w:val="left"/>
              <w:rPr/>
            </w:pPr>
            <w:r>
              <w:rPr/>
              <w:t> </w:t>
            </w:r>
          </w:p>
        </w:tc>
        <w:tc>
          <w:tcPr>
            <w:tcW w:w="1055" w:type="dxa"/>
            <w:vMerge w:val="restart"/>
            <w:tcBorders>
              <w:bottom w:val="single" w:sz="8" w:space="0" w:color="FFFFFF"/>
            </w:tcBorders>
            <w:tcMar>
              <w:bottom w:w="93"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 xml:space="preserve">Andrew Gengos,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Former Chief Financial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Officer and Chief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Business Officer</w:t>
            </w:r>
          </w:p>
        </w:tc>
        <w:tc>
          <w:tcPr>
            <w:tcW w:w="170" w:type="dxa"/>
            <w:vMerge w:val="restart"/>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45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3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365,615</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05"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10"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723,500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370,593</w:t>
            </w:r>
            <w:r>
              <w:rPr>
                <w:rFonts w:ascii="Arial" w:hAnsi="Arial"/>
                <w:color w:val="000000"/>
                <w:position w:val="5"/>
                <w:sz w:val="13"/>
                <w:sz w:val="16"/>
              </w:rPr>
              <w:t>(5)</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1,459,708</w:t>
            </w:r>
          </w:p>
        </w:tc>
        <w:tc>
          <w:tcPr>
            <w:tcW w:w="215" w:type="dxa"/>
            <w:tcBorders>
              <w:bottom w:val="single" w:sz="8" w:space="0" w:color="FFFFFF"/>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FFFFFF"/>
            </w:tcBorders>
            <w:tcMar>
              <w:bottom w:w="28" w:type="dxa"/>
            </w:tcMar>
            <w:vAlign w:val="center"/>
          </w:tcPr>
          <w:p>
            <w:pPr>
              <w:pStyle w:val="Normal"/>
              <w:bidi w:val="0"/>
              <w:jc w:val="left"/>
              <w:rPr/>
            </w:pPr>
            <w:r>
              <w:rPr/>
            </w:r>
          </w:p>
        </w:tc>
        <w:tc>
          <w:tcPr>
            <w:tcW w:w="1055" w:type="dxa"/>
            <w:vMerge w:val="continue"/>
            <w:tcBorders>
              <w:bottom w:val="single" w:sz="8" w:space="0" w:color="FFFFFF"/>
            </w:tcBorders>
            <w:tcMar>
              <w:bottom w:w="93" w:type="dxa"/>
            </w:tcMar>
            <w:vAlign w:val="center"/>
          </w:tcPr>
          <w:p>
            <w:pPr>
              <w:pStyle w:val="Normal"/>
              <w:bidi w:val="0"/>
              <w:jc w:val="left"/>
              <w:rPr/>
            </w:pPr>
            <w:r>
              <w:rPr/>
            </w:r>
          </w:p>
        </w:tc>
        <w:tc>
          <w:tcPr>
            <w:tcW w:w="170" w:type="dxa"/>
            <w:vMerge w:val="continue"/>
            <w:tcBorders>
              <w:bottom w:val="single" w:sz="8" w:space="0" w:color="FFFFFF"/>
            </w:tcBorders>
            <w:tcMar>
              <w:bottom w:w="28" w:type="dxa"/>
            </w:tcMar>
            <w:vAlign w:val="center"/>
          </w:tcPr>
          <w:p>
            <w:pPr>
              <w:pStyle w:val="Normal"/>
              <w:bidi w:val="0"/>
              <w:jc w:val="left"/>
              <w:rPr/>
            </w:pPr>
            <w:r>
              <w:rPr/>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45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3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289,135</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605" w:type="dxa"/>
            <w:tcBorders>
              <w:bottom w:val="single" w:sz="8" w:space="0" w:color="FFFFFF"/>
            </w:tcBorders>
            <w:tcMar>
              <w:bottom w:w="9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1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28,400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901,318</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106,980</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r>
              <w:rPr>
                <w:rFonts w:ascii="Arial" w:hAnsi="Arial"/>
                <w:color w:val="000000"/>
                <w:position w:val="5"/>
                <w:sz w:val="13"/>
                <w:sz w:val="16"/>
              </w:rPr>
              <w:t>(4)</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170" w:type="dxa"/>
            <w:tcBorders>
              <w:bottom w:val="single" w:sz="8" w:space="0" w:color="FFFFFF"/>
            </w:tcBorders>
            <w:tcMar>
              <w:bottom w:w="28" w:type="dxa"/>
            </w:tcMar>
            <w:vAlign w:val="center"/>
          </w:tcPr>
          <w:p>
            <w:pPr>
              <w:pStyle w:val="TableContents"/>
              <w:bidi w:val="0"/>
              <w:spacing w:before="0" w:after="0"/>
              <w:jc w:val="left"/>
              <w:rPr/>
            </w:pPr>
            <w:r>
              <w:rPr/>
              <w:t> </w:t>
            </w:r>
          </w:p>
        </w:tc>
        <w:tc>
          <w:tcPr>
            <w:tcW w:w="770" w:type="dxa"/>
            <w:tcBorders>
              <w:bottom w:val="single" w:sz="8" w:space="0" w:color="FFFFFF"/>
            </w:tcBorders>
            <w:tcMar>
              <w:bottom w:w="9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1,325,881</w:t>
            </w:r>
          </w:p>
        </w:tc>
        <w:tc>
          <w:tcPr>
            <w:tcW w:w="215" w:type="dxa"/>
            <w:tcBorders>
              <w:bottom w:val="single" w:sz="8" w:space="0" w:color="FFFFFF"/>
            </w:tcBorders>
            <w:tcMar>
              <w:bottom w:w="28" w:type="dxa"/>
            </w:tcMar>
            <w:vAlign w:val="center"/>
          </w:tcPr>
          <w:p>
            <w:pPr>
              <w:pStyle w:val="TableContents"/>
              <w:bidi w:val="0"/>
              <w:spacing w:before="0" w:after="0"/>
              <w:jc w:val="left"/>
              <w:rPr/>
            </w:pPr>
            <w:r>
              <w:rPr/>
              <w:t> </w:t>
            </w:r>
          </w:p>
        </w:tc>
      </w:tr>
      <w:tr>
        <w:trPr/>
        <w:tc>
          <w:tcPr>
            <w:tcW w:w="185" w:type="dxa"/>
            <w:vMerge w:val="restart"/>
            <w:tcBorders/>
            <w:shd w:fill="EBEBEB" w:val="clear"/>
            <w:vAlign w:val="center"/>
          </w:tcPr>
          <w:p>
            <w:pPr>
              <w:pStyle w:val="TableContents"/>
              <w:bidi w:val="0"/>
              <w:spacing w:before="0" w:after="0"/>
              <w:jc w:val="left"/>
              <w:rPr/>
            </w:pPr>
            <w:r>
              <w:rPr/>
              <w:t> </w:t>
            </w:r>
          </w:p>
        </w:tc>
        <w:tc>
          <w:tcPr>
            <w:tcW w:w="1055" w:type="dxa"/>
            <w:vMerge w:val="restart"/>
            <w:tcBorders/>
            <w:shd w:fill="EBEBEB" w:val="cle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Rachel Lenington,</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Former Chief Operating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 xml:space="preserve">Officer and Chief </w:t>
            </w:r>
          </w:p>
          <w:p>
            <w:pPr>
              <w:pStyle w:val="TableContents"/>
              <w:bidi w:val="0"/>
              <w:spacing w:before="0" w:after="283"/>
              <w:ind w:left="70" w:right="0" w:hanging="0"/>
              <w:jc w:val="left"/>
              <w:rPr>
                <w:rFonts w:ascii="Arial" w:hAnsi="Arial"/>
                <w:b w:val="false"/>
                <w:color w:val="000000"/>
                <w:sz w:val="16"/>
              </w:rPr>
            </w:pPr>
            <w:r>
              <w:rPr>
                <w:rFonts w:ascii="Arial" w:hAnsi="Arial"/>
                <w:b w:val="false"/>
                <w:color w:val="000000"/>
                <w:sz w:val="16"/>
              </w:rPr>
              <w:t>Development Officer</w:t>
            </w:r>
          </w:p>
        </w:tc>
        <w:tc>
          <w:tcPr>
            <w:tcW w:w="170" w:type="dxa"/>
            <w:vMerge w:val="restart"/>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45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2024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3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376,923</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05"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10"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775,178</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447,969</w:t>
            </w:r>
            <w:r>
              <w:rPr>
                <w:rFonts w:ascii="Arial" w:hAnsi="Arial"/>
                <w:color w:val="000000"/>
                <w:position w:val="5"/>
                <w:sz w:val="13"/>
                <w:sz w:val="16"/>
              </w:rPr>
              <w:t>(6)</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1,600,070 </w:t>
            </w:r>
          </w:p>
        </w:tc>
        <w:tc>
          <w:tcPr>
            <w:tcW w:w="215" w:type="dxa"/>
            <w:tcBorders/>
            <w:shd w:fill="EBEBEB" w:val="clear"/>
            <w:vAlign w:val="center"/>
          </w:tcPr>
          <w:p>
            <w:pPr>
              <w:pStyle w:val="TableContents"/>
              <w:bidi w:val="0"/>
              <w:spacing w:before="0" w:after="0"/>
              <w:jc w:val="left"/>
              <w:rPr/>
            </w:pPr>
            <w:r>
              <w:rPr/>
              <w:t> </w:t>
            </w:r>
          </w:p>
        </w:tc>
      </w:tr>
      <w:tr>
        <w:trPr/>
        <w:tc>
          <w:tcPr>
            <w:tcW w:w="185" w:type="dxa"/>
            <w:vMerge w:val="continue"/>
            <w:tcBorders/>
            <w:shd w:fill="EBEBEB" w:val="clear"/>
            <w:vAlign w:val="center"/>
          </w:tcPr>
          <w:p>
            <w:pPr>
              <w:pStyle w:val="Normal"/>
              <w:bidi w:val="0"/>
              <w:jc w:val="left"/>
              <w:rPr/>
            </w:pPr>
            <w:r>
              <w:rPr/>
            </w:r>
          </w:p>
        </w:tc>
        <w:tc>
          <w:tcPr>
            <w:tcW w:w="1055" w:type="dxa"/>
            <w:vMerge w:val="continue"/>
            <w:tcBorders/>
            <w:shd w:fill="EBEBEB" w:val="clear"/>
            <w:vAlign w:val="center"/>
          </w:tcPr>
          <w:p>
            <w:pPr>
              <w:pStyle w:val="Normal"/>
              <w:bidi w:val="0"/>
              <w:jc w:val="left"/>
              <w:rPr/>
            </w:pPr>
            <w:r>
              <w:rPr/>
            </w:r>
          </w:p>
        </w:tc>
        <w:tc>
          <w:tcPr>
            <w:tcW w:w="170" w:type="dxa"/>
            <w:vMerge w:val="continue"/>
            <w:tcBorders/>
            <w:shd w:fill="EBEBEB" w:val="clear"/>
            <w:vAlign w:val="center"/>
          </w:tcPr>
          <w:p>
            <w:pPr>
              <w:pStyle w:val="Normal"/>
              <w:bidi w:val="0"/>
              <w:jc w:val="left"/>
              <w:rPr/>
            </w:pPr>
            <w:r>
              <w:rPr/>
            </w:r>
          </w:p>
        </w:tc>
        <w:tc>
          <w:tcPr>
            <w:tcW w:w="170" w:type="dxa"/>
            <w:tcBorders/>
            <w:shd w:fill="EBEBEB" w:val="clear"/>
            <w:vAlign w:val="center"/>
          </w:tcPr>
          <w:p>
            <w:pPr>
              <w:pStyle w:val="TableContents"/>
              <w:bidi w:val="0"/>
              <w:spacing w:before="0" w:after="0"/>
              <w:jc w:val="left"/>
              <w:rPr/>
            </w:pPr>
            <w:r>
              <w:rPr/>
              <w:t> </w:t>
            </w:r>
          </w:p>
        </w:tc>
        <w:tc>
          <w:tcPr>
            <w:tcW w:w="45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2023</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3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465,000</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05"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10" w:type="dxa"/>
            <w:tcBorders/>
            <w:shd w:fill="EBEBEB" w:val="clear"/>
            <w:vAlign w:val="center"/>
          </w:tcPr>
          <w:p>
            <w:pPr>
              <w:pStyle w:val="TableContents"/>
              <w:bidi w:val="0"/>
              <w:spacing w:before="0" w:after="283"/>
              <w:jc w:val="right"/>
              <w:rPr>
                <w:color w:val="000000"/>
              </w:rPr>
            </w:pPr>
            <w:r>
              <w:rPr>
                <w:color w:val="000000"/>
              </w:rPr>
              <w:t>—</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531,999</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210,054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24,149</w:t>
            </w:r>
            <w:r>
              <w:rPr>
                <w:rFonts w:ascii="Arial" w:hAnsi="Arial"/>
                <w:color w:val="000000"/>
                <w:position w:val="5"/>
                <w:sz w:val="13"/>
                <w:sz w:val="16"/>
              </w:rPr>
              <w:t>(4)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1,231,199</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105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45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3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60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1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770"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9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In accordance with SEC rules, amounts in this column reflect the aggregate grant date fair value of time-based and performance RSU awards granted during 2023 and 2024 computed in accordance with ASC Topic 718, rather than the amounts paid or realized by the named executive officer. The performance RSU award amounts reflect the probable outcome of the performance conditions, in accordance with ASC Topic 718. For a discussion of valuation assumptions, see Note 9 and the sections titled “</w:t>
            </w:r>
            <w:r>
              <w:rPr>
                <w:rFonts w:ascii="Arial" w:hAnsi="Arial"/>
                <w:i/>
                <w:color w:val="255993"/>
                <w:sz w:val="16"/>
              </w:rPr>
              <w:t>Stock-based Compensation</w:t>
            </w:r>
            <w:r>
              <w:rPr>
                <w:rFonts w:ascii="Arial" w:hAnsi="Arial"/>
                <w:color w:val="255993"/>
                <w:sz w:val="16"/>
              </w:rPr>
              <w:t xml:space="preserve">” to our financial statements included in each of our Annual Reports on Form 10-K for the years ended December 31, 2023 and December 31, 2024. The fair value of the performance RSU awards at the grant date has been calculated assuming that the highest level of performance conditions will be achieved for each award.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9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In accordance with SEC rules, amounts in this column reflect the aggregate grant date fair value of stock options granted during 2023 and 2024 computed in accordance with ASC Topic 718, rather than the amounts paid or realized by the named executive officer. For a discussion of valuation assumptions, see Note 9 and the sections titled “</w:t>
            </w:r>
            <w:r>
              <w:rPr>
                <w:rFonts w:ascii="Arial" w:hAnsi="Arial"/>
                <w:i/>
                <w:color w:val="255993"/>
                <w:sz w:val="16"/>
              </w:rPr>
              <w:t xml:space="preserve">Stock-based Compensation” </w:t>
            </w:r>
            <w:r>
              <w:rPr>
                <w:rFonts w:ascii="Arial" w:hAnsi="Arial"/>
                <w:color w:val="255993"/>
                <w:sz w:val="16"/>
              </w:rPr>
              <w:t xml:space="preserve">to our financial statements included in each of our Annual Reports on Form 10-K for the years ended December 31, 2023 and December 31, 2024.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6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Represents cash bonuses earned by the named executive officers pursuant to our Executive Incentive Compensation Plan for 2023 performance, paid in 2024, and for 2024 performance, paid in 2025.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(4)</w:t>
            </w:r>
          </w:p>
        </w:tc>
        <w:tc>
          <w:tcPr>
            <w:tcW w:w="99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Represents payments made on the executive’s behalf for basic life insurance and contributions to vested and unvested defined contribution plans.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06" w:name="ny20044300x2_def14a_111-execomp_pg3"/>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Executive Compensation</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(5)</w:t>
            </w:r>
          </w:p>
        </w:tc>
        <w:tc>
          <w:tcPr>
            <w:tcW w:w="997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Represents payments for severance ($363,750), an outplacement stipend ($2,500), payments made on the executive’s behalf for basic life insurance ($63.45) and contributions to vested and unvested defined contribution plans ($4,279.18).</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(6)</w:t>
            </w:r>
          </w:p>
        </w:tc>
        <w:tc>
          <w:tcPr>
            <w:tcW w:w="997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Represents payments for consulting fees ($45,600), severance ($375,000), outplacement stipend ($2,500), payments made on the executive’s behalf for basic life insurance ($63.45) and contributions to vested and unvested defined contribution plans ($24,805.84).</w:t>
            </w:r>
          </w:p>
        </w:tc>
      </w:tr>
    </w:tbl>
    <w:p>
      <w:pPr>
        <w:pStyle w:val="TextBody"/>
        <w:bidi w:val="0"/>
        <w:spacing w:before="200" w:after="283"/>
        <w:ind w:left="0" w:right="0" w:hanging="0"/>
        <w:jc w:val="left"/>
        <w:rPr>
          <w:rFonts w:ascii="Arial" w:hAnsi="Arial"/>
          <w:b/>
          <w:color w:val="F8991D"/>
          <w:sz w:val="20"/>
        </w:rPr>
      </w:pPr>
      <w:bookmarkStart w:id="107" w:name="tOEAD"/>
      <w:bookmarkEnd w:id="107"/>
      <w:r>
        <w:rPr>
          <w:rFonts w:ascii="Arial" w:hAnsi="Arial"/>
          <w:b/>
          <w:color w:val="F8991D"/>
          <w:sz w:val="20"/>
        </w:rPr>
        <w:t xml:space="preserve">OUTSTANDING EQUITY AWARDS AT DECEMBER 31, 2024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following table shows grants of stock options and restricted stock units to each of our named executive officers outstanding at December 31, 2024. </w:t>
      </w:r>
    </w:p>
    <w:tbl>
      <w:tblPr>
        <w:tblW w:w="10800" w:type="dxa"/>
        <w:jc w:val="left"/>
        <w:tblInd w:w="0" w:type="dxa"/>
        <w:tblLayout w:type="fixed"/>
        <w:tblCellMar>
          <w:top w:w="0" w:type="dxa"/>
          <w:left w:w="0" w:type="dxa"/>
          <w:bottom w:w="0" w:type="dxa"/>
          <w:right w:w="0" w:type="dxa"/>
        </w:tblCellMar>
      </w:tblPr>
      <w:tblGrid>
        <w:gridCol w:w="185"/>
        <w:gridCol w:w="1055"/>
        <w:gridCol w:w="170"/>
        <w:gridCol w:w="170"/>
        <w:gridCol w:w="1475"/>
        <w:gridCol w:w="170"/>
        <w:gridCol w:w="170"/>
        <w:gridCol w:w="1070"/>
        <w:gridCol w:w="170"/>
        <w:gridCol w:w="170"/>
        <w:gridCol w:w="1295"/>
        <w:gridCol w:w="170"/>
        <w:gridCol w:w="170"/>
        <w:gridCol w:w="815"/>
        <w:gridCol w:w="170"/>
        <w:gridCol w:w="170"/>
        <w:gridCol w:w="920"/>
        <w:gridCol w:w="170"/>
        <w:gridCol w:w="170"/>
        <w:gridCol w:w="740"/>
        <w:gridCol w:w="170"/>
        <w:gridCol w:w="170"/>
        <w:gridCol w:w="650"/>
        <w:gridCol w:w="215"/>
      </w:tblGrid>
      <w:tr>
        <w:trPr/>
        <w:tc>
          <w:tcPr>
            <w:tcW w:w="185" w:type="dxa"/>
            <w:tcBorders/>
            <w:shd w:fill="255993" w:val="clear"/>
            <w:vAlign w:val="center"/>
          </w:tcPr>
          <w:p>
            <w:pPr>
              <w:pStyle w:val="TableContents"/>
              <w:bidi w:val="0"/>
              <w:spacing w:before="0" w:after="0"/>
              <w:jc w:val="left"/>
              <w:rPr/>
            </w:pPr>
            <w:r>
              <w:rPr/>
              <w:t> </w:t>
            </w:r>
          </w:p>
        </w:tc>
        <w:tc>
          <w:tcPr>
            <w:tcW w:w="105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47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5120" w:type="dxa"/>
            <w:gridSpan w:val="10"/>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30" w:type="dxa"/>
            <w:gridSpan w:val="4"/>
            <w:tcBorders/>
            <w:shd w:fill="255993" w:val="clear"/>
            <w:vAlign w:val="center"/>
          </w:tcPr>
          <w:p>
            <w:pPr>
              <w:pStyle w:val="TableContents"/>
              <w:bidi w:val="0"/>
              <w:spacing w:before="0" w:after="0"/>
              <w:jc w:val="left"/>
              <w:rPr/>
            </w:pPr>
            <w:r>
              <w:rPr/>
              <w:t> </w:t>
            </w:r>
          </w:p>
        </w:tc>
        <w:tc>
          <w:tcPr>
            <w:tcW w:w="215" w:type="dxa"/>
            <w:tcBorders/>
            <w:shd w:fill="255993" w:val="clear"/>
            <w:vAlign w:val="center"/>
          </w:tcPr>
          <w:p>
            <w:pPr>
              <w:pStyle w:val="TableContents"/>
              <w:bidi w:val="0"/>
              <w:spacing w:before="0" w:after="0"/>
              <w:jc w:val="left"/>
              <w:rPr/>
            </w:pPr>
            <w:r>
              <w:rPr/>
              <w:t> </w:t>
            </w:r>
          </w:p>
        </w:tc>
      </w:tr>
      <w:tr>
        <w:trPr/>
        <w:tc>
          <w:tcPr>
            <w:tcW w:w="185" w:type="dxa"/>
            <w:vMerge w:val="restart"/>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055" w:type="dxa"/>
            <w:vMerge w:val="restart"/>
            <w:tcBorders>
              <w:bottom w:val="single" w:sz="8" w:space="0" w:color="FFFFFF"/>
            </w:tcBorders>
            <w:shd w:fill="255993" w:val="clear"/>
            <w:tcMar>
              <w:bottom w:w="28" w:type="dxa"/>
            </w:tcMar>
            <w:vAlign w:val="center"/>
          </w:tcPr>
          <w:p>
            <w:pPr>
              <w:pStyle w:val="TableContents"/>
              <w:bidi w:val="0"/>
              <w:spacing w:before="0" w:after="283"/>
              <w:ind w:left="70" w:right="0" w:hanging="0"/>
              <w:jc w:val="left"/>
              <w:rPr>
                <w:rFonts w:ascii="Arial" w:hAnsi="Arial"/>
                <w:b/>
                <w:color w:val="FFFFFF"/>
                <w:sz w:val="18"/>
              </w:rPr>
            </w:pPr>
            <w:r>
              <w:rPr>
                <w:rFonts w:ascii="Arial" w:hAnsi="Arial"/>
                <w:b/>
                <w:color w:val="FFFFFF"/>
                <w:sz w:val="18"/>
              </w:rPr>
              <w:t>Name</w:t>
            </w:r>
          </w:p>
        </w:tc>
        <w:tc>
          <w:tcPr>
            <w:tcW w:w="170" w:type="dxa"/>
            <w:vMerge w:val="restart"/>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475" w:type="dxa"/>
            <w:vMerge w:val="restart"/>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Vesting </w:t>
            </w:r>
          </w:p>
          <w:p>
            <w:pPr>
              <w:pStyle w:val="TableContents"/>
              <w:bidi w:val="0"/>
              <w:spacing w:before="0" w:after="283"/>
              <w:jc w:val="right"/>
              <w:rPr>
                <w:rFonts w:ascii="Arial" w:hAnsi="Arial"/>
                <w:b/>
                <w:color w:val="FFFFFF"/>
                <w:sz w:val="18"/>
              </w:rPr>
            </w:pPr>
            <w:r>
              <w:rPr>
                <w:rFonts w:ascii="Arial" w:hAnsi="Arial"/>
                <w:b/>
                <w:color w:val="FFFFFF"/>
                <w:sz w:val="18"/>
              </w:rPr>
              <w:t xml:space="preserve">Commencement </w:t>
            </w:r>
          </w:p>
          <w:p>
            <w:pPr>
              <w:pStyle w:val="TableContents"/>
              <w:bidi w:val="0"/>
              <w:spacing w:before="0" w:after="283"/>
              <w:jc w:val="right"/>
              <w:rPr>
                <w:rFonts w:ascii="Arial" w:hAnsi="Arial"/>
                <w:b/>
                <w:color w:val="FFFFFF"/>
                <w:sz w:val="18"/>
              </w:rPr>
            </w:pPr>
            <w:r>
              <w:rPr>
                <w:rFonts w:ascii="Arial" w:hAnsi="Arial"/>
                <w:b/>
                <w:color w:val="FFFFFF"/>
                <w:sz w:val="18"/>
              </w:rPr>
              <w:t>Date</w:t>
            </w:r>
          </w:p>
        </w:tc>
        <w:tc>
          <w:tcPr>
            <w:tcW w:w="170" w:type="dxa"/>
            <w:vMerge w:val="restart"/>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5120" w:type="dxa"/>
            <w:gridSpan w:val="10"/>
            <w:tcBorders>
              <w:bottom w:val="single" w:sz="8" w:space="0" w:color="FFFFFF"/>
            </w:tcBorders>
            <w:shd w:fill="255993" w:val="clear"/>
            <w:tcMar>
              <w:bottom w:w="6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Number of Securities Underlying Unexercised Options</w:t>
            </w:r>
          </w:p>
        </w:tc>
        <w:tc>
          <w:tcPr>
            <w:tcW w:w="170" w:type="dxa"/>
            <w:tcBorders/>
            <w:shd w:fill="255993" w:val="cle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30" w:type="dxa"/>
            <w:gridSpan w:val="4"/>
            <w:tcBorders>
              <w:bottom w:val="single" w:sz="8" w:space="0" w:color="FFFFFF"/>
            </w:tcBorders>
            <w:shd w:fill="255993" w:val="clear"/>
            <w:tcMar>
              <w:bottom w:w="60" w:type="dxa"/>
            </w:tcMar>
            <w:vAlign w:val="center"/>
          </w:tcPr>
          <w:p>
            <w:pPr>
              <w:pStyle w:val="TableContents"/>
              <w:bidi w:val="0"/>
              <w:spacing w:before="0" w:after="283"/>
              <w:jc w:val="center"/>
              <w:rPr>
                <w:rFonts w:ascii="Arial" w:hAnsi="Arial"/>
                <w:b/>
                <w:color w:val="FFFFFF"/>
                <w:sz w:val="18"/>
              </w:rPr>
            </w:pPr>
            <w:r>
              <w:rPr>
                <w:rFonts w:ascii="Arial" w:hAnsi="Arial"/>
                <w:b/>
                <w:color w:val="FFFFFF"/>
                <w:sz w:val="18"/>
              </w:rPr>
              <w:t xml:space="preserve">Stock Awards </w:t>
            </w:r>
          </w:p>
          <w:p>
            <w:pPr>
              <w:pStyle w:val="TableContents"/>
              <w:bidi w:val="0"/>
              <w:spacing w:before="0" w:after="283"/>
              <w:jc w:val="center"/>
              <w:rPr>
                <w:rFonts w:ascii="Arial" w:hAnsi="Arial"/>
                <w:b/>
                <w:color w:val="FFFFFF"/>
                <w:sz w:val="18"/>
              </w:rPr>
            </w:pPr>
            <w:r>
              <w:rPr>
                <w:rFonts w:ascii="Arial" w:hAnsi="Arial"/>
                <w:b/>
                <w:color w:val="FFFFFF"/>
                <w:sz w:val="18"/>
              </w:rPr>
              <w:t>(unvested)</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055"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475"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70" w:type="dxa"/>
            <w:vMerge w:val="continue"/>
            <w:tcBorders>
              <w:bottom w:val="single" w:sz="8" w:space="0" w:color="FFFFFF"/>
            </w:tcBorders>
            <w:shd w:fill="255993" w:val="clear"/>
            <w:tcMar>
              <w:bottom w:w="28" w:type="dxa"/>
            </w:tcMar>
            <w:vAlign w:val="center"/>
          </w:tcPr>
          <w:p>
            <w:pPr>
              <w:pStyle w:val="Normal"/>
              <w:bidi w:val="0"/>
              <w:jc w:val="left"/>
              <w:rPr/>
            </w:pPr>
            <w:r>
              <w:rPr/>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Exercisable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Unexercisable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Option </w:t>
            </w:r>
          </w:p>
          <w:p>
            <w:pPr>
              <w:pStyle w:val="TableContents"/>
              <w:bidi w:val="0"/>
              <w:spacing w:before="0" w:after="283"/>
              <w:jc w:val="right"/>
              <w:rPr>
                <w:rFonts w:ascii="Arial" w:hAnsi="Arial"/>
                <w:b/>
                <w:color w:val="FFFFFF"/>
                <w:sz w:val="18"/>
              </w:rPr>
            </w:pPr>
            <w:r>
              <w:rPr>
                <w:rFonts w:ascii="Arial" w:hAnsi="Arial"/>
                <w:b/>
                <w:color w:val="FFFFFF"/>
                <w:sz w:val="18"/>
              </w:rPr>
              <w:t xml:space="preserve">Exercise </w:t>
            </w:r>
          </w:p>
          <w:p>
            <w:pPr>
              <w:pStyle w:val="TableContents"/>
              <w:bidi w:val="0"/>
              <w:spacing w:before="0" w:after="283"/>
              <w:jc w:val="right"/>
              <w:rPr>
                <w:rFonts w:ascii="Arial" w:hAnsi="Arial"/>
                <w:b/>
                <w:color w:val="FFFFFF"/>
                <w:sz w:val="18"/>
              </w:rPr>
            </w:pPr>
            <w:r>
              <w:rPr>
                <w:rFonts w:ascii="Arial" w:hAnsi="Arial"/>
                <w:b/>
                <w:color w:val="FFFFFF"/>
                <w:sz w:val="18"/>
              </w:rPr>
              <w:t xml:space="preserve">Price </w:t>
            </w:r>
          </w:p>
          <w:p>
            <w:pPr>
              <w:pStyle w:val="TableContents"/>
              <w:bidi w:val="0"/>
              <w:spacing w:before="0" w:after="283"/>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Expiration </w:t>
            </w:r>
          </w:p>
          <w:p>
            <w:pPr>
              <w:pStyle w:val="TableContents"/>
              <w:bidi w:val="0"/>
              <w:spacing w:before="0" w:after="283"/>
              <w:jc w:val="right"/>
              <w:rPr>
                <w:rFonts w:ascii="Arial" w:hAnsi="Arial"/>
                <w:b/>
                <w:color w:val="FFFFFF"/>
                <w:sz w:val="18"/>
              </w:rPr>
            </w:pPr>
            <w:r>
              <w:rPr>
                <w:rFonts w:ascii="Arial" w:hAnsi="Arial"/>
                <w:b/>
                <w:color w:val="FFFFFF"/>
                <w:sz w:val="18"/>
              </w:rPr>
              <w:t>Date</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Number of </w:t>
            </w:r>
          </w:p>
          <w:p>
            <w:pPr>
              <w:pStyle w:val="TableContents"/>
              <w:bidi w:val="0"/>
              <w:spacing w:before="0" w:after="283"/>
              <w:jc w:val="right"/>
              <w:rPr>
                <w:rFonts w:ascii="Arial" w:hAnsi="Arial"/>
                <w:b/>
                <w:color w:val="FFFFFF"/>
                <w:sz w:val="18"/>
              </w:rPr>
            </w:pPr>
            <w:r>
              <w:rPr>
                <w:rFonts w:ascii="Arial" w:hAnsi="Arial"/>
                <w:b/>
                <w:color w:val="FFFFFF"/>
                <w:sz w:val="18"/>
              </w:rPr>
              <w:t xml:space="preserve">shares or </w:t>
            </w:r>
          </w:p>
          <w:p>
            <w:pPr>
              <w:pStyle w:val="TableContents"/>
              <w:bidi w:val="0"/>
              <w:spacing w:before="0" w:after="283"/>
              <w:jc w:val="right"/>
              <w:rPr>
                <w:rFonts w:ascii="Arial" w:hAnsi="Arial"/>
                <w:b/>
                <w:color w:val="FFFFFF"/>
                <w:sz w:val="18"/>
              </w:rPr>
            </w:pPr>
            <w:r>
              <w:rPr>
                <w:rFonts w:ascii="Arial" w:hAnsi="Arial"/>
                <w:b/>
                <w:color w:val="FFFFFF"/>
                <w:sz w:val="18"/>
              </w:rPr>
              <w:t>units</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Market </w:t>
            </w:r>
          </w:p>
          <w:p>
            <w:pPr>
              <w:pStyle w:val="TableContents"/>
              <w:bidi w:val="0"/>
              <w:spacing w:before="0" w:after="283"/>
              <w:jc w:val="right"/>
              <w:rPr>
                <w:rFonts w:ascii="Arial" w:hAnsi="Arial"/>
                <w:b/>
                <w:color w:val="FFFFFF"/>
                <w:sz w:val="18"/>
              </w:rPr>
            </w:pPr>
            <w:r>
              <w:rPr>
                <w:rFonts w:ascii="Arial" w:hAnsi="Arial"/>
                <w:b/>
                <w:color w:val="FFFFFF"/>
                <w:sz w:val="18"/>
              </w:rPr>
              <w:t xml:space="preserve">value </w:t>
            </w:r>
          </w:p>
          <w:p>
            <w:pPr>
              <w:pStyle w:val="TableContents"/>
              <w:bidi w:val="0"/>
              <w:spacing w:before="0" w:after="283"/>
              <w:jc w:val="right"/>
              <w:rPr>
                <w:rFonts w:ascii="Arial" w:hAnsi="Arial"/>
                <w:b/>
                <w:color w:val="FFFFFF"/>
                <w:sz w:val="18"/>
              </w:rPr>
            </w:pPr>
            <w:r>
              <w:rPr>
                <w:rFonts w:ascii="Arial" w:hAnsi="Arial"/>
                <w:b/>
                <w:color w:val="FFFFFF"/>
                <w:sz w:val="18"/>
              </w:rPr>
              <w:t xml:space="preserve">of shares </w:t>
            </w:r>
          </w:p>
          <w:p>
            <w:pPr>
              <w:pStyle w:val="TableContents"/>
              <w:bidi w:val="0"/>
              <w:spacing w:before="0" w:after="283"/>
              <w:jc w:val="right"/>
              <w:rPr>
                <w:rFonts w:ascii="Arial" w:hAnsi="Arial"/>
                <w:b/>
                <w:color w:val="FFFFFF"/>
                <w:sz w:val="18"/>
              </w:rPr>
            </w:pPr>
            <w:r>
              <w:rPr>
                <w:rFonts w:ascii="Arial" w:hAnsi="Arial"/>
                <w:b/>
                <w:color w:val="FFFFFF"/>
                <w:sz w:val="18"/>
              </w:rPr>
              <w:t xml:space="preserve">or units </w:t>
            </w:r>
          </w:p>
          <w:p>
            <w:pPr>
              <w:pStyle w:val="TableContents"/>
              <w:bidi w:val="0"/>
              <w:spacing w:before="0" w:after="283"/>
              <w:jc w:val="right"/>
              <w:rPr>
                <w:rFonts w:ascii="Arial" w:hAnsi="Arial"/>
                <w:b/>
                <w:color w:val="FFFFFF"/>
                <w:sz w:val="18"/>
              </w:rPr>
            </w:pPr>
            <w:r>
              <w:rPr>
                <w:rFonts w:ascii="Arial" w:hAnsi="Arial"/>
                <w:b/>
                <w:color w:val="FFFFFF"/>
                <w:sz w:val="18"/>
              </w:rPr>
              <w:t>($)</w:t>
            </w:r>
            <w:r>
              <w:rPr>
                <w:rFonts w:ascii="Arial" w:hAnsi="Arial"/>
                <w:b/>
                <w:color w:val="FFFFFF"/>
                <w:position w:val="6"/>
                <w:sz w:val="14"/>
                <w:sz w:val="18"/>
              </w:rPr>
              <w:t>(6)</w:t>
            </w:r>
            <w:r>
              <w:rPr>
                <w:rFonts w:ascii="Arial" w:hAnsi="Arial"/>
                <w:b/>
                <w:color w:val="FFFFFF"/>
                <w:sz w:val="18"/>
              </w:rPr>
              <w:t xml:space="preserve"> </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Mark Litton, Ph.D.</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7/1/2019</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100,880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8/14/2029</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8/26/2020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46,657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9/16/2030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1/8/2021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63,750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21,250</w:t>
            </w:r>
            <w:r>
              <w:rPr>
                <w:rFonts w:ascii="Arial" w:hAnsi="Arial"/>
                <w:color w:val="000000"/>
                <w:position w:val="5"/>
                <w:sz w:val="13"/>
                <w:sz w:val="16"/>
              </w:rPr>
              <w:t>(1)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21.15</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2/17/2031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1/27/2022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291,667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108,333</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9.91</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1/26/2032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271,528</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153,472</w:t>
            </w:r>
            <w:r>
              <w:rPr>
                <w:rFonts w:ascii="Arial" w:hAnsi="Arial"/>
                <w:color w:val="000000"/>
                <w:position w:val="5"/>
                <w:sz w:val="13"/>
                <w:sz w:val="16"/>
              </w:rPr>
              <w:t>(3)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1/26/2033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135,417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514,583</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10/3/2024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108,333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216,667</w:t>
            </w:r>
            <w:r>
              <w:rPr>
                <w:rFonts w:ascii="Arial" w:hAnsi="Arial"/>
                <w:color w:val="000000"/>
                <w:position w:val="5"/>
                <w:sz w:val="13"/>
                <w:sz w:val="16"/>
              </w:rPr>
              <w:t>(4)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10/2/2034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216,667</w:t>
            </w:r>
            <w:r>
              <w:rPr>
                <w:rFonts w:ascii="Arial" w:hAnsi="Arial"/>
                <w:color w:val="000000"/>
                <w:position w:val="5"/>
                <w:sz w:val="13"/>
                <w:sz w:val="16"/>
              </w:rPr>
              <w:t>(5)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127,117</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Kevin Church, Ph.D.</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8/31/2016</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8/31/2026</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r>
              <w:rPr>
                <w:rFonts w:ascii="Arial" w:hAnsi="Arial"/>
                <w:color w:val="000000"/>
                <w:sz w:val="16"/>
              </w:rPr>
              <w:t>8/26/2020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9/16/2030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r>
              <w:rPr>
                <w:rFonts w:ascii="Arial" w:hAnsi="Arial"/>
                <w:color w:val="000000"/>
                <w:sz w:val="16"/>
              </w:rPr>
              <w:t>1/8/2021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w:t>
            </w:r>
            <w:r>
              <w:rPr>
                <w:rFonts w:ascii="Arial" w:hAnsi="Arial"/>
                <w:color w:val="000000"/>
                <w:position w:val="5"/>
                <w:sz w:val="13"/>
                <w:sz w:val="16"/>
              </w:rPr>
              <w:t>(1)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21.15</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2/17/2031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1/18/2022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72,917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27,083</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1/17/2032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95,833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54,167</w:t>
            </w:r>
            <w:r>
              <w:rPr>
                <w:rFonts w:ascii="Arial" w:hAnsi="Arial"/>
                <w:color w:val="000000"/>
                <w:position w:val="5"/>
                <w:sz w:val="13"/>
                <w:sz w:val="16"/>
              </w:rPr>
              <w:t>(3)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45,833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174,167</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36,667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73,333</w:t>
            </w:r>
            <w:r>
              <w:rPr>
                <w:rFonts w:ascii="Arial" w:hAnsi="Arial"/>
                <w:color w:val="000000"/>
                <w:position w:val="5"/>
                <w:sz w:val="13"/>
                <w:sz w:val="16"/>
              </w:rPr>
              <w:t>(4)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0.45</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9/30/2034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73,333</w:t>
            </w:r>
            <w:r>
              <w:rPr>
                <w:rFonts w:ascii="Arial" w:hAnsi="Arial"/>
                <w:color w:val="000000"/>
                <w:position w:val="5"/>
                <w:sz w:val="13"/>
                <w:sz w:val="16"/>
              </w:rPr>
              <w:t>(5)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43,024</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Mark Worthington</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6/1/2021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37,500</w:t>
            </w:r>
            <w:r>
              <w:rPr>
                <w:rFonts w:ascii="Arial" w:hAnsi="Arial"/>
                <w:color w:val="000000"/>
                <w:position w:val="5"/>
                <w:sz w:val="13"/>
                <w:sz w:val="16"/>
              </w:rPr>
              <w:t>(1)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11/2/2031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1/18/2022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109,375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40,625</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1/17/2032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95,833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54,167</w:t>
            </w:r>
            <w:r>
              <w:rPr>
                <w:rFonts w:ascii="Arial" w:hAnsi="Arial"/>
                <w:color w:val="000000"/>
                <w:position w:val="5"/>
                <w:sz w:val="13"/>
                <w:sz w:val="16"/>
              </w:rPr>
              <w:t>(3)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45,833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174,167</w:t>
            </w:r>
            <w:r>
              <w:rPr>
                <w:rFonts w:ascii="Arial" w:hAnsi="Arial"/>
                <w:color w:val="000000"/>
                <w:position w:val="5"/>
                <w:sz w:val="13"/>
                <w:sz w:val="16"/>
              </w:rPr>
              <w:t>(2)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36,667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73,333</w:t>
            </w:r>
            <w:r>
              <w:rPr>
                <w:rFonts w:ascii="Arial" w:hAnsi="Arial"/>
                <w:color w:val="000000"/>
                <w:position w:val="5"/>
                <w:sz w:val="13"/>
                <w:sz w:val="16"/>
              </w:rPr>
              <w:t>(4)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0.45</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9/30/2034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73,333</w:t>
            </w:r>
            <w:r>
              <w:rPr>
                <w:rFonts w:ascii="Arial" w:hAnsi="Arial"/>
                <w:color w:val="000000"/>
                <w:position w:val="5"/>
                <w:sz w:val="13"/>
                <w:sz w:val="16"/>
              </w:rPr>
              <w:t>(5)</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43,024</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Andrew Gengos</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177,777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5/17/2033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40,833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2/13/2034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Rachel Lenington</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6/14/2021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112,500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11/2/2031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1/18/2022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131,250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1/17/2032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FAFAFA"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55"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color w:val="000000"/>
              </w:rPr>
            </w:pPr>
            <w:r>
              <w:rPr>
                <w:color w:val="000000"/>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47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1/19/2023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7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127,778</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815"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2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1/18/2033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4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650" w:type="dxa"/>
            <w:tcBorders>
              <w:bottom w:val="single" w:sz="8" w:space="0" w:color="FFFFFF"/>
            </w:tcBorders>
            <w:shd w:fill="EBEBEB" w:val="clear"/>
            <w:tcMar>
              <w:bottom w:w="28" w:type="dxa"/>
            </w:tcMar>
            <w:vAlign w:val="center"/>
          </w:tcPr>
          <w:p>
            <w:pPr>
              <w:pStyle w:val="TableContents"/>
              <w:bidi w:val="0"/>
              <w:spacing w:before="0" w:after="283"/>
              <w:jc w:val="right"/>
              <w:rPr>
                <w:color w:val="000000"/>
              </w:rPr>
            </w:pPr>
            <w:r>
              <w:rPr>
                <w:color w:val="000000"/>
              </w:rPr>
              <w:t>—</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1055" w:type="dxa"/>
            <w:tcBorders/>
            <w:shd w:fill="FAFAFA" w:val="clear"/>
            <w:vAlign w:val="center"/>
          </w:tcPr>
          <w:p>
            <w:pPr>
              <w:pStyle w:val="TableContents"/>
              <w:bidi w:val="0"/>
              <w:spacing w:before="0" w:after="283"/>
              <w:ind w:left="70" w:right="0" w:hanging="0"/>
              <w:jc w:val="left"/>
              <w:rPr>
                <w:color w:val="000000"/>
              </w:rPr>
            </w:pPr>
            <w:r>
              <w:rPr>
                <w:color w:val="000000"/>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475"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2/14/2024</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070"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62,500</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295" w:type="dxa"/>
            <w:tcBorders/>
            <w:shd w:fill="FAFAFA" w:val="clear"/>
            <w:vAlign w:val="center"/>
          </w:tcPr>
          <w:p>
            <w:pPr>
              <w:pStyle w:val="TableContents"/>
              <w:bidi w:val="0"/>
              <w:spacing w:before="0" w:after="283"/>
              <w:jc w:val="right"/>
              <w:rPr>
                <w:color w:val="000000"/>
              </w:rPr>
            </w:pPr>
            <w:r>
              <w:rPr>
                <w:color w:val="000000"/>
              </w:rPr>
              <w:t xml:space="preserve">—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15"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920"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2/13/2034</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740" w:type="dxa"/>
            <w:tcBorders/>
            <w:shd w:fill="FAFAFA" w:val="clear"/>
            <w:vAlign w:val="center"/>
          </w:tcPr>
          <w:p>
            <w:pPr>
              <w:pStyle w:val="TableContents"/>
              <w:bidi w:val="0"/>
              <w:spacing w:before="0" w:after="283"/>
              <w:jc w:val="right"/>
              <w:rPr>
                <w:color w:val="000000"/>
              </w:rPr>
            </w:pPr>
            <w:r>
              <w:rPr>
                <w:color w:val="000000"/>
              </w:rPr>
              <w:t>—</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650" w:type="dxa"/>
            <w:tcBorders/>
            <w:shd w:fill="FAFAFA" w:val="clear"/>
            <w:vAlign w:val="center"/>
          </w:tcPr>
          <w:p>
            <w:pPr>
              <w:pStyle w:val="TableContents"/>
              <w:bidi w:val="0"/>
              <w:spacing w:before="0" w:after="283"/>
              <w:jc w:val="right"/>
              <w:rPr>
                <w:color w:val="000000"/>
              </w:rPr>
            </w:pPr>
            <w:r>
              <w:rPr>
                <w:color w:val="000000"/>
              </w:rPr>
              <w:t>—</w:t>
            </w:r>
          </w:p>
        </w:tc>
        <w:tc>
          <w:tcPr>
            <w:tcW w:w="215" w:type="dxa"/>
            <w:tcBorders/>
            <w:shd w:fill="FAFAFA" w:val="cle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105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47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0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29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81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92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74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650" w:type="dxa"/>
            <w:tcBorders/>
            <w:shd w:fill="FAFAFA" w:val="clear"/>
            <w:vAlign w:val="center"/>
          </w:tcPr>
          <w:p>
            <w:pPr>
              <w:pStyle w:val="TableContents"/>
              <w:bidi w:val="0"/>
              <w:spacing w:before="0" w:after="0"/>
              <w:jc w:val="left"/>
              <w:rPr/>
            </w:pPr>
            <w:r>
              <w:rPr/>
              <w:t> </w:t>
            </w:r>
          </w:p>
        </w:tc>
        <w:tc>
          <w:tcPr>
            <w:tcW w:w="215" w:type="dxa"/>
            <w:tcBorders/>
            <w:shd w:fill="FAFAF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6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Stock option vests over four years, with 1/4 vesting on each anniversary of the vesting commencement date, subject to continued service with us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6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Stock option vests over four years, with 1/48 vesting on the monthly anniversary of the vesting commencement date, subject to continued service with us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6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Stock option vests over three years, with 1/36 vesting on the monthly anniversary of the vesting commencement date, subject to continued service with us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(4)</w:t>
            </w:r>
          </w:p>
        </w:tc>
        <w:tc>
          <w:tcPr>
            <w:tcW w:w="997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One-third (1/3rd) of the shares subject to the option vested on December 31, 2024 and one-third (1/3rd) of the shares subject to the option shall vest on each of June 30, 2025 and December 31, 2025, subject to continued service with us through the applicable vesting dates.</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(5)</w:t>
            </w:r>
          </w:p>
        </w:tc>
        <w:tc>
          <w:tcPr>
            <w:tcW w:w="997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One-third (1/3rd) of the RSUs vested on December 31, 2024 and one-third (1/3rd) of the RSUs shall vest on each of June 30, 2025 and December 31, 2025, subject to continued service with us through the applicable vesting dates.</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(6)</w:t>
            </w:r>
          </w:p>
        </w:tc>
        <w:tc>
          <w:tcPr>
            <w:tcW w:w="996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The market value of RSUs that have not vested is based on the closing price of the Company’s common stock on Nasdaq on December 31, 2024, which was $0.5867 per share.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08" w:name="ny20044300x2_def14a_111-execomp_pg4"/>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Executive Compensation</w:t>
      </w:r>
    </w:p>
    <w:p>
      <w:pPr>
        <w:pStyle w:val="TextBody"/>
        <w:bidi w:val="0"/>
        <w:spacing w:before="135" w:after="283"/>
        <w:ind w:left="0" w:right="0" w:hanging="0"/>
        <w:jc w:val="left"/>
        <w:rPr>
          <w:rFonts w:ascii="Arial" w:hAnsi="Arial"/>
          <w:b/>
          <w:color w:val="F8991D"/>
          <w:sz w:val="20"/>
        </w:rPr>
      </w:pPr>
      <w:bookmarkStart w:id="109" w:name="tEEA"/>
      <w:bookmarkEnd w:id="109"/>
      <w:r>
        <w:rPr>
          <w:rFonts w:ascii="Arial" w:hAnsi="Arial"/>
          <w:b/>
          <w:color w:val="F8991D"/>
          <w:sz w:val="20"/>
        </w:rPr>
        <w:t xml:space="preserve">EXECUTIVE EMPLOYMENT ARRANGEMENTS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Each of our named executive officers has executed our standard form of confidential information, invention assignment and arbitration agreement.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 xml:space="preserve">DR. MARK LITTON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February 2024, the board of directors, upon recommendation of our compensation committee, approved an increase to Dr. Litton’s annual base salary from $585,000 to $625,000, effective as of January 1, 2024. Dr. Litton’s current annual base salary remains $625,000 and his target annual bonus amount under the Company’s bonus plan is 55% of his annual base salary.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KEVIN CHURCH</w:t>
      </w:r>
    </w:p>
    <w:p>
      <w:pPr>
        <w:pStyle w:val="TextBody"/>
        <w:bidi w:val="0"/>
        <w:spacing w:before="120" w:after="283"/>
        <w:ind w:left="0" w:right="0" w:hanging="0"/>
        <w:jc w:val="left"/>
        <w:rPr>
          <w:rFonts w:ascii="Arial" w:hAnsi="Arial"/>
          <w:color w:val="000000"/>
          <w:sz w:val="18"/>
        </w:rPr>
      </w:pPr>
      <w:r>
        <w:rPr>
          <w:rFonts w:ascii="Arial" w:hAnsi="Arial"/>
          <w:color w:val="000000"/>
          <w:sz w:val="18"/>
        </w:rPr>
        <w:t>In September 2020, we entered into a confirmatory employment letter with Dr. Church, our then vice president of discovery and current chief scientific officer. The confirmatory employment letter has no specific term and provides that Dr. Church is an at-will employee and superseded all prior employment agreements between Dr. Church and us. In February 2024, our compensation committee approved an increase to Dr. Church’s annual base salary from $420,000 to $450,000, effective as of January 1, 2024. Dr. Church’s current base salary remains $450,000 and his target annual bonus amount under the Company’s bonus plan is 40% of his annual base salary.</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MARK WORTHINGTON</w:t>
      </w:r>
    </w:p>
    <w:p>
      <w:pPr>
        <w:pStyle w:val="TextBody"/>
        <w:bidi w:val="0"/>
        <w:spacing w:before="120" w:after="283"/>
        <w:ind w:left="0" w:right="0" w:hanging="0"/>
        <w:jc w:val="left"/>
        <w:rPr>
          <w:rFonts w:ascii="Arial" w:hAnsi="Arial"/>
          <w:color w:val="000000"/>
          <w:sz w:val="18"/>
        </w:rPr>
      </w:pPr>
      <w:r>
        <w:rPr>
          <w:rFonts w:ascii="Arial" w:hAnsi="Arial"/>
          <w:color w:val="000000"/>
          <w:sz w:val="18"/>
        </w:rPr>
        <w:t>In May 2021, we entered into an offer letter with Mr. Worthington, our general counsel, chief compliance officer and corporate secretary. The offer letter has no specific term and provides that Mr. Worthington is an at-will employee. In February 2024, our compensation committee approved an increase to Mr. Worthington’s annual base salary from $435,000 to $450,000, effective as of January 1, 2024. Mr. Worthington’s current base salary remains $450,000 and his target annual bonus amount under the Company’s bonus plan is 40% of his annual base salary.</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ANDREW GENGOS</w:t>
      </w:r>
    </w:p>
    <w:p>
      <w:pPr>
        <w:pStyle w:val="TextBody"/>
        <w:bidi w:val="0"/>
        <w:spacing w:before="120" w:after="283"/>
        <w:ind w:left="0" w:right="0" w:hanging="0"/>
        <w:jc w:val="left"/>
        <w:rPr>
          <w:rFonts w:ascii="Arial" w:hAnsi="Arial"/>
          <w:color w:val="000000"/>
          <w:sz w:val="18"/>
        </w:rPr>
      </w:pPr>
      <w:r>
        <w:rPr>
          <w:rFonts w:ascii="Arial" w:hAnsi="Arial"/>
          <w:color w:val="000000"/>
          <w:sz w:val="18"/>
        </w:rPr>
        <w:t>Mr. Gengos, our former chief financial officer and chief business officer, departed the Company effective October 1, 2024 in connection with our reduction in force. Prior to his departure, he was subject to an employment letter agreement with us, which had been entered into in May 2023. The employment agreement had no specific term and provided that Mr. Gengos was an at-will employee.</w:t>
      </w:r>
    </w:p>
    <w:p>
      <w:pPr>
        <w:pStyle w:val="TextBody"/>
        <w:bidi w:val="0"/>
        <w:spacing w:before="160" w:after="283"/>
        <w:ind w:left="0" w:right="0" w:hanging="0"/>
        <w:jc w:val="left"/>
        <w:rPr>
          <w:rFonts w:ascii="Arial" w:hAnsi="Arial"/>
          <w:color w:val="000000"/>
          <w:sz w:val="18"/>
        </w:rPr>
      </w:pPr>
      <w:r>
        <w:rPr>
          <w:rFonts w:ascii="Arial" w:hAnsi="Arial"/>
          <w:color w:val="000000"/>
          <w:sz w:val="18"/>
        </w:rPr>
        <w:t>In February 2024, our compensation committee approved an increase to Mr. Gengos’s annual base salary from $465,000 to $485,000, effective as of January 1, 2024.</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connection with Mr. Gengos’s departure as chief financial officer and chief business officer in October 2024, he entered into a separation agreement and release with the Company. For a description of this agreement see the section of this proxy statement titled “Executive Compensation – Change in Control and Severance Agreements and Arrangements.” </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RACHEL LENINGTON</w:t>
      </w:r>
    </w:p>
    <w:p>
      <w:pPr>
        <w:pStyle w:val="TextBody"/>
        <w:bidi w:val="0"/>
        <w:spacing w:before="120" w:after="283"/>
        <w:ind w:left="0" w:right="0" w:hanging="0"/>
        <w:jc w:val="left"/>
        <w:rPr>
          <w:rFonts w:ascii="Arial" w:hAnsi="Arial"/>
          <w:color w:val="000000"/>
          <w:sz w:val="18"/>
        </w:rPr>
      </w:pPr>
      <w:r>
        <w:rPr>
          <w:rFonts w:ascii="Arial" w:hAnsi="Arial"/>
          <w:color w:val="000000"/>
          <w:sz w:val="18"/>
        </w:rPr>
        <w:t>Ms. Lenington, our former chief operating officer and chief development officer, departed the Company effective October 1, 2024 in connection with our reduction in force. Prior to her departure, she was subject to an employment letter agreement with us, which had been entered into in April 2021. The employment agreement had no specific term and provided that Ms. Lenington was an at-will employee.</w:t>
      </w:r>
    </w:p>
    <w:p>
      <w:pPr>
        <w:pStyle w:val="TextBody"/>
        <w:bidi w:val="0"/>
        <w:spacing w:before="160" w:after="283"/>
        <w:ind w:left="0" w:right="0" w:hanging="0"/>
        <w:jc w:val="left"/>
        <w:rPr>
          <w:rFonts w:ascii="Arial" w:hAnsi="Arial"/>
          <w:color w:val="000000"/>
          <w:sz w:val="18"/>
        </w:rPr>
      </w:pPr>
      <w:r>
        <w:rPr>
          <w:rFonts w:ascii="Arial" w:hAnsi="Arial"/>
          <w:color w:val="000000"/>
          <w:sz w:val="18"/>
        </w:rPr>
        <w:t>In February 2024, our compensation committee approved an increase to Ms. Lenington’s annual base salary from $465,000 to $500,000, effective as of January 1, 2024.</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10" w:name="ny20044300x2_def14a_111-execomp_pg5"/>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Executive Compensation</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 connection with Ms. Lenington’s departure as chief operating officer and chief development officer in October 2024, she entered into a separation agreement and release with the Company, as well as a consulting agreement pursuant to which she agreed to provide advisory services through December 31, 2024. For a description of these agreements see the section of this proxy statement titled “Executive Compensation – Change in Control and Severance Agreements and Arrangements.” </w:t>
      </w:r>
    </w:p>
    <w:p>
      <w:pPr>
        <w:pStyle w:val="TextBody"/>
        <w:bidi w:val="0"/>
        <w:spacing w:before="290" w:after="283"/>
        <w:ind w:left="0" w:right="0" w:hanging="0"/>
        <w:jc w:val="left"/>
        <w:rPr>
          <w:rFonts w:ascii="Arial" w:hAnsi="Arial"/>
          <w:b/>
          <w:color w:val="F8991D"/>
          <w:sz w:val="20"/>
        </w:rPr>
      </w:pPr>
      <w:bookmarkStart w:id="111" w:name="tCCSA"/>
      <w:bookmarkEnd w:id="111"/>
      <w:r>
        <w:rPr>
          <w:rFonts w:ascii="Arial" w:hAnsi="Arial"/>
          <w:b/>
          <w:color w:val="F8991D"/>
          <w:sz w:val="20"/>
        </w:rPr>
        <w:t xml:space="preserve">CHANGE IN CONTROL AND SEVERANCE AGREEMENTS AND ARRANGEMENTS </w:t>
      </w:r>
    </w:p>
    <w:p>
      <w:pPr>
        <w:pStyle w:val="TextBody"/>
        <w:bidi w:val="0"/>
        <w:spacing w:before="270" w:after="283"/>
        <w:ind w:left="0" w:right="0" w:hanging="0"/>
        <w:jc w:val="left"/>
        <w:rPr>
          <w:rFonts w:ascii="Arial" w:hAnsi="Arial"/>
          <w:b/>
          <w:color w:val="255993"/>
          <w:sz w:val="18"/>
        </w:rPr>
      </w:pPr>
      <w:r>
        <w:rPr>
          <w:rFonts w:ascii="Arial" w:hAnsi="Arial"/>
          <w:b/>
          <w:color w:val="255993"/>
          <w:sz w:val="18"/>
        </w:rPr>
        <w:t>CHANGE IN CONTROL AND SEVERANCE AGREEMENTS</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 June 2021 we entered into change in control and severance agreements with Ms. Lenington and Mr. Worthington, in January 2022 we entered into an amended change in control and severance agreement with Dr. Litton and a change in control and severance agreement with Dr. Church, and, in May 2023 we entered into a change in control and severance agreement with Mr. Gengos. These agreements provide for certain severance and change in control benefits as described below. In connection with Mr. Gengos and Ms. Lenington’s separation from employment with us in October 2024, their change in control and severance agreements were superseded by their separation agreements and releases, which are described below.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 lump-sum payment equal to 9 months (or 12 months in the case of Dr. Litton or in the case of Mr. Gengos, in the event such termination occurred on or before the first anniversary of the commencement of Mr. Gengos’s employment) of the named executive officer’s annual base salary as in effect immediately prior to such termination (or if such termination is due to a resignation for good reason based on a material reduction in base salary, then as in effect immediately prior to the reduction);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payment of premiums for coverage under the Consolidated Omnibus Budget Reconciliation Act of 1985, as amended (COBRA), for the named executive officer and his eligible dependents, if any, for up to 9 months (or up to 12 months for Dr. Litton);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in the case of Dr. Litton, 25% accelerated vesting and exercisability of the shares subject to the stock option award granted to Dr. Litton on August 15, 2019, that are outstanding and unvested as of the date of such termination.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release of claims in our favor: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 lump-sum payment equal to 100% (or 150% in the case of Dr. Litton) of the named executive officer’s target annual bonus as in effect for the fiscal year in which such termination occurs or if greater, at the level in effect immediately prior to the change in control;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payment of premiums for coverage under COBRA for the named executive officer and the named executive officer’s eligible dependents, if any, for up to 12 months (or up to 18 months for Dr. Litton);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100% accelerated vesting and exercisability of all Company equity awards with service-based vesting (but that are not subject to performance-based vesting) that are outstanding and unvested as of the date of the qualifying termination.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addition, the change in control and severance agreement with Dr. Litton provides for 100% accelerated vesting and exercisability of Company equity awards granted under our 2014 Equity Incentive Plan and held by Dr. Litton to the extent such awards are not assumed or substituted for by the successor corporation in a change in control.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12" w:name="ny20044300x2_def14a_111-execomp_pg6"/>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Executive Compensation</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If any of the amounts provided for under these change in control and severance agreements or otherwise payable to the named executive officer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 </w:t>
      </w:r>
    </w:p>
    <w:p>
      <w:pPr>
        <w:pStyle w:val="TextBody"/>
        <w:bidi w:val="0"/>
        <w:spacing w:before="160" w:after="283"/>
        <w:ind w:left="0" w:right="0" w:hanging="0"/>
        <w:jc w:val="left"/>
        <w:rPr>
          <w:rFonts w:ascii="Arial" w:hAnsi="Arial"/>
          <w:color w:val="000000"/>
          <w:sz w:val="18"/>
        </w:rPr>
      </w:pPr>
      <w:r>
        <w:rPr>
          <w:rFonts w:ascii="Arial" w:hAnsi="Arial"/>
          <w:color w:val="000000"/>
          <w:sz w:val="18"/>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ANDREW GENGOS SEPARATION AGREEMENT</w:t>
      </w:r>
    </w:p>
    <w:p>
      <w:pPr>
        <w:pStyle w:val="TextBody"/>
        <w:bidi w:val="0"/>
        <w:spacing w:before="120" w:after="283"/>
        <w:ind w:left="0" w:right="0" w:hanging="0"/>
        <w:jc w:val="left"/>
        <w:rPr>
          <w:rFonts w:ascii="Arial" w:hAnsi="Arial"/>
          <w:color w:val="000000"/>
          <w:sz w:val="18"/>
        </w:rPr>
      </w:pPr>
      <w:r>
        <w:rPr>
          <w:rFonts w:ascii="Arial" w:hAnsi="Arial"/>
          <w:color w:val="000000"/>
          <w:sz w:val="18"/>
        </w:rPr>
        <w:t>Mr. Gengos, our former chief financial officer and chief business officer, separated from employment with the Company effective October 1, 2024 in connection with the reduction in force we conducted in 2024. Pursuant to a separation agreement and release entered into between us and Mr. Gengos, Mr. Gengos received the following severance payments and benefits: (i) a lump sum cash payment equal to 9 months’ base salary, or $363,750; (ii) reimbursement of premiums for continuing coverage under the Consolidated Omnibus Budget Reconciliation Act of 1985, as amended (“COBRA”) for him and his eligible dependents for up to 9 months, subject to his timely election and payment for continuing coverage under COBRA; and (iii) an additional lump sum cash payment in the amount of $2,500, intended to help cover the costs of outplacement services elected by him, but which may be used for any purpose. Mr. Gengos’s separation agreement and release provides for a release of claims in our favor and for certain customary covenants, including confidentiality and non-disparagement covenants.</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RACHEL LENINGTON SEPARATION AGREEMENT AND CONSULTING AGREEMENT</w:t>
      </w:r>
    </w:p>
    <w:p>
      <w:pPr>
        <w:pStyle w:val="TextBody"/>
        <w:bidi w:val="0"/>
        <w:spacing w:before="120" w:after="283"/>
        <w:ind w:left="0" w:right="0" w:hanging="0"/>
        <w:jc w:val="left"/>
        <w:rPr>
          <w:rFonts w:ascii="Arial" w:hAnsi="Arial"/>
          <w:color w:val="000000"/>
          <w:sz w:val="18"/>
        </w:rPr>
      </w:pPr>
      <w:r>
        <w:rPr>
          <w:rFonts w:ascii="Arial" w:hAnsi="Arial"/>
          <w:color w:val="000000"/>
          <w:sz w:val="18"/>
        </w:rPr>
        <w:t>Ms. Lenington, our former chief operating officer and chief development officer, separated from employment with the Company effective October 1, 2024 in connection with the reduction in force we conducted in 2024. Pursuant to a separation agreement and release entered into between us and Ms. Lenington, Ms. Lenington received the following severance payments and benefits: (i) a lump sum cash payment equal to 9 months’ base salary, or $375,000; (ii) reimbursement of COBRA premiums for her and her eligible dependents for up to 9 months, subject to her timely election and payment for continuing coverage under COBRA; and (iii) an additional lump sum cash payment in the amount of $2,500, intended to help cover the costs of outplacement services elected by her, but which may be used for any purpose. Ms. Lenington's separation agreement and release provides for a release of claims in our favor and for certain customary covenants, including confidentiality and non-disparagement covenants.</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13" w:name="ny20044300x2_def14a_111-execomp_pg7"/>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Executive Compensation</w:t>
      </w:r>
    </w:p>
    <w:p>
      <w:pPr>
        <w:pStyle w:val="TextBody"/>
        <w:bidi w:val="0"/>
        <w:spacing w:before="120" w:after="283"/>
        <w:ind w:left="0" w:right="0" w:hanging="0"/>
        <w:jc w:val="left"/>
        <w:rPr>
          <w:rFonts w:ascii="Arial" w:hAnsi="Arial"/>
          <w:color w:val="000000"/>
          <w:sz w:val="18"/>
        </w:rPr>
      </w:pPr>
      <w:r>
        <w:rPr>
          <w:rFonts w:ascii="Arial" w:hAnsi="Arial"/>
          <w:color w:val="000000"/>
          <w:sz w:val="18"/>
        </w:rPr>
        <w:t>Additionally, we and Ms. Lenington entered into a consulting agreement, effective as of October 1, 2024. The consulting agreement had a term from the effective date through the earlier of December 31, 2024 or earlier termination pursuant to its terms. During the consulting term, Ms. Lenington received a monthly fee of approximately $41,667 and her equity awards continued to vest pursuant to their terms. Ms. Lenington’s consulting arrangement with us terminated on December 31, 2024. Ms. Lenington’s consulting agreement provided for certain customary covenants, including confidentiality, intellectual property assignment, and indemnification covenants.</w:t>
      </w:r>
    </w:p>
    <w:p>
      <w:pPr>
        <w:pStyle w:val="TextBody"/>
        <w:bidi w:val="0"/>
        <w:spacing w:before="290" w:after="283"/>
        <w:ind w:left="0" w:right="0" w:hanging="0"/>
        <w:jc w:val="left"/>
        <w:rPr>
          <w:rFonts w:ascii="Arial" w:hAnsi="Arial"/>
          <w:b/>
          <w:color w:val="F8991D"/>
          <w:sz w:val="20"/>
        </w:rPr>
      </w:pPr>
      <w:bookmarkStart w:id="114" w:name="tEA"/>
      <w:bookmarkEnd w:id="114"/>
      <w:r>
        <w:rPr>
          <w:rFonts w:ascii="Arial" w:hAnsi="Arial"/>
          <w:b/>
          <w:color w:val="F8991D"/>
          <w:sz w:val="20"/>
        </w:rPr>
        <w:t>EQUITY AWARDS</w:t>
      </w:r>
    </w:p>
    <w:p>
      <w:pPr>
        <w:pStyle w:val="TextBody"/>
        <w:bidi w:val="0"/>
        <w:spacing w:before="170" w:after="283"/>
        <w:ind w:left="0" w:right="0" w:hanging="0"/>
        <w:jc w:val="left"/>
        <w:rPr>
          <w:rFonts w:ascii="Arial" w:hAnsi="Arial"/>
          <w:b/>
          <w:color w:val="255993"/>
          <w:sz w:val="18"/>
        </w:rPr>
      </w:pPr>
      <w:r>
        <w:rPr>
          <w:rFonts w:ascii="Arial" w:hAnsi="Arial"/>
          <w:b/>
          <w:color w:val="255993"/>
          <w:sz w:val="18"/>
        </w:rPr>
        <w:t>TIME-BASED OPTIONS</w:t>
      </w:r>
    </w:p>
    <w:p>
      <w:pPr>
        <w:pStyle w:val="TextBody"/>
        <w:bidi w:val="0"/>
        <w:spacing w:before="120" w:after="283"/>
        <w:ind w:left="0" w:right="0" w:hanging="0"/>
        <w:jc w:val="left"/>
        <w:rPr>
          <w:rFonts w:ascii="Arial" w:hAnsi="Arial"/>
          <w:color w:val="000000"/>
          <w:sz w:val="18"/>
        </w:rPr>
      </w:pPr>
      <w:r>
        <w:rPr>
          <w:rFonts w:ascii="Arial" w:hAnsi="Arial"/>
          <w:color w:val="000000"/>
          <w:sz w:val="18"/>
        </w:rPr>
        <w:t>In February 2024, our compensation committee approved, or recommended that our board of directors approve, grants of stock options under the 2020 Equity Incentive Plan (the “2020 Plan”) to our named executive officers. Dr. Church, Mr. Worthington, Mr. Gengos and Ms. Lenington were awarded stock options equal to 220,000, 220,000, 280,000, and 300,000 shares, respectively, which were scheduled to vest monthly over four years, subject to continued service with us through the applicable vesting date. In February 2024, our compensation committee recommended, and our board of directors approved, a grant of stock options under the 2020 Plan of 650,000 shares to Dr. Litton, which vests monthly over four years, subject to continued service with us through the applicable vesting date. Following the expiration of the applicable post-termination exercise period, such options granted to Mr. Gengos and Ms. Lenington are no longer outstanding.</w:t>
      </w:r>
    </w:p>
    <w:p>
      <w:pPr>
        <w:pStyle w:val="TextBody"/>
        <w:bidi w:val="0"/>
        <w:spacing w:before="330" w:after="283"/>
        <w:ind w:left="0" w:right="0" w:hanging="0"/>
        <w:jc w:val="left"/>
        <w:rPr>
          <w:rFonts w:ascii="Arial" w:hAnsi="Arial"/>
          <w:b/>
          <w:color w:val="255993"/>
          <w:sz w:val="18"/>
        </w:rPr>
      </w:pPr>
      <w:r>
        <w:rPr>
          <w:rFonts w:ascii="Arial" w:hAnsi="Arial"/>
          <w:b/>
          <w:color w:val="255993"/>
          <w:sz w:val="18"/>
        </w:rPr>
        <w:t>RETENTION EQUITY AWARDS</w:t>
      </w:r>
    </w:p>
    <w:p>
      <w:pPr>
        <w:pStyle w:val="TextBody"/>
        <w:bidi w:val="0"/>
        <w:spacing w:before="120" w:after="283"/>
        <w:ind w:left="0" w:right="0" w:hanging="0"/>
        <w:jc w:val="left"/>
        <w:rPr>
          <w:rFonts w:ascii="Arial" w:hAnsi="Arial"/>
          <w:color w:val="000000"/>
          <w:sz w:val="18"/>
        </w:rPr>
      </w:pPr>
      <w:r>
        <w:rPr>
          <w:rFonts w:ascii="Arial" w:hAnsi="Arial"/>
          <w:color w:val="000000"/>
          <w:sz w:val="18"/>
        </w:rPr>
        <w:t>In October 2024, our compensation committee approved, or recommended that our board of directors approve, the grant of retention equity awards under the 2020 Plan to each of Drs. Litton and Church and Mr. Worthington in the form of stock options and RSUs.</w:t>
      </w:r>
    </w:p>
    <w:p>
      <w:pPr>
        <w:pStyle w:val="TextBody"/>
        <w:bidi w:val="0"/>
        <w:spacing w:before="160" w:after="283"/>
        <w:ind w:left="0" w:right="0" w:hanging="0"/>
        <w:jc w:val="left"/>
        <w:rPr>
          <w:rFonts w:ascii="Arial" w:hAnsi="Arial"/>
          <w:color w:val="000000"/>
          <w:sz w:val="18"/>
        </w:rPr>
      </w:pPr>
      <w:r>
        <w:rPr>
          <w:rFonts w:ascii="Arial" w:hAnsi="Arial"/>
          <w:color w:val="000000"/>
          <w:sz w:val="18"/>
        </w:rPr>
        <w:t>Our compensation committee awarded to each of Dr. Church and Mr. Worthington 110,000 stock options and 110,000 RSUs, and our board of directors awarded to Dr. Litton 325,000 stock options and 325,000 RSUs, which were scheduled to vest in accordance with the following schedule: one-third (1/3rd) of each award vested December 31, 2024 and one-third (1/3rd) of each award is scheduled to vest on June 30, 2025 and December 31, 2025, subject to continued service with us through the applicable vesting date.</w:t>
      </w:r>
    </w:p>
    <w:p>
      <w:pPr>
        <w:pStyle w:val="TextBody"/>
        <w:bidi w:val="0"/>
        <w:spacing w:before="160" w:after="283"/>
        <w:ind w:left="0" w:right="0" w:hanging="0"/>
        <w:jc w:val="left"/>
        <w:rPr>
          <w:rFonts w:ascii="Arial" w:hAnsi="Arial"/>
          <w:color w:val="000000"/>
          <w:sz w:val="18"/>
        </w:rPr>
      </w:pPr>
      <w:r>
        <w:rPr>
          <w:rFonts w:ascii="Arial" w:hAnsi="Arial"/>
          <w:color w:val="000000"/>
          <w:sz w:val="18"/>
        </w:rPr>
        <w:t>In addition to the accelerated vesting provisions of our 2020 EIP described below, upon a Qualifying Merger (as defined in the applicable award agreement), each of the aforementioned retention equity awards will accelerate vesting in full, subject to the applicable named executive officer’s continued service to us through the date of such Qualifying Merger.</w:t>
      </w:r>
    </w:p>
    <w:p>
      <w:pPr>
        <w:pStyle w:val="TextBody"/>
        <w:bidi w:val="0"/>
        <w:spacing w:before="320" w:after="283"/>
        <w:ind w:left="0" w:right="0" w:hanging="0"/>
        <w:jc w:val="left"/>
        <w:rPr>
          <w:rFonts w:ascii="Arial" w:hAnsi="Arial"/>
          <w:b/>
          <w:color w:val="255993"/>
          <w:sz w:val="18"/>
        </w:rPr>
      </w:pPr>
      <w:r>
        <w:rPr>
          <w:rFonts w:ascii="Arial" w:hAnsi="Arial"/>
          <w:b/>
          <w:color w:val="255993"/>
          <w:sz w:val="18"/>
        </w:rPr>
        <w:t>CERTAIN RSU AWARDS GRANTED IN PRIOR YEARS</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compensation committee approved grants of 30,000 RSUs to each of Dr. Church, Mr. Worthington, and Ms. Lenington, and our board of directors approved a grant of 60,000 RSUs to Dr. Litton, in November 2021, and 10,000 RSUs to Mr. Gengos in May 2023, under the Company’s 2020 Equity Incentive Plan to provide additional performance incentives aligned with key strategic goals. </w:t>
      </w:r>
    </w:p>
    <w:p>
      <w:pPr>
        <w:pStyle w:val="TextBody"/>
        <w:bidi w:val="0"/>
        <w:spacing w:before="160" w:after="283"/>
        <w:ind w:left="0" w:right="0" w:hanging="0"/>
        <w:jc w:val="left"/>
        <w:rPr>
          <w:rFonts w:ascii="Arial" w:hAnsi="Arial"/>
          <w:color w:val="000000"/>
          <w:sz w:val="18"/>
        </w:rPr>
      </w:pPr>
      <w:r>
        <w:rPr>
          <w:rFonts w:ascii="Arial" w:hAnsi="Arial"/>
          <w:color w:val="000000"/>
          <w:sz w:val="18"/>
        </w:rPr>
        <w:t>In December 2022, our compensation committee revised the vesting schedule of the RSU awards held by Dr. Church, Mr. Worthington, Ms. Lenington and Dr. Litton due to changed circumstances relating to the performance goals under the original vesting schedule (which revised vesting schedule was then applied to Mr. Gengos’s RSUs). At the time of such amendment, one third (1/3rd) of the number of shares subject to the RSU awards had vested upon the completion of the public readout of topline results of the Company’s ACT-AD Phase 2 clinical trial in June 2022. The original vesting schedule provided that an additional one third (1/3rd) of the number of shares subject to the RSU awards would vest at the completion of the public readout of topline results of the Company’s LIFT-AD Phase 2/3 clinical trial (the “LIFT-AD Readout”), and the remaining one third (1/3rd) of the number of shares subject to the RSU awards would be scheduled to vest six (6) months after the LIFT-AD Readout, in each case subject to the recipient’s continued service with us through the applicable vesting date. The vesting schedule was amended (or, for Mr. Gengos, applied) with respect to the remaining two-thirds (2/3rds) of the shares subject to the RSU awards that remained unvested at the time of the amendment, to provide that one third (1/3rd) of the number of shares subject to the RSU awards would vest at the date our compensation committee determined that enrollment of the Company’s LIFT-AD Phase 2/3 clinical trial had been completed (which occurred in January 2024), and the remaining one third (1/3rd) of the number of shares subject to the RSU awards would vest at the completion of the LIFT-AD Readout (which occurred in September 2024), in each case subject to the recipient’s continued service with us through the applicable vesting date.</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15" w:name="ny20044300x2_def14a_111-execomp_pg8"/>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Executive Compensation</w:t>
      </w:r>
    </w:p>
    <w:p>
      <w:pPr>
        <w:pStyle w:val="TextBody"/>
        <w:bidi w:val="0"/>
        <w:spacing w:before="120" w:after="283"/>
        <w:ind w:left="0" w:right="0" w:hanging="0"/>
        <w:jc w:val="left"/>
        <w:rPr>
          <w:rFonts w:ascii="Arial" w:hAnsi="Arial"/>
          <w:color w:val="000000"/>
          <w:sz w:val="18"/>
        </w:rPr>
      </w:pPr>
      <w:r>
        <w:rPr>
          <w:rFonts w:ascii="Arial" w:hAnsi="Arial"/>
          <w:color w:val="000000"/>
          <w:sz w:val="18"/>
        </w:rPr>
        <w:t>The RSU award agreements provided for 100% vesting acceleration in the event that, on or within 12 months following a Change in Control (within the meaning of the 2020 Equity Incentive Plan), the award recipient was terminated by the Company without “cause” (as defined in the recipient’s award agreement).</w:t>
      </w:r>
    </w:p>
    <w:p>
      <w:pPr>
        <w:pStyle w:val="TextBody"/>
        <w:bidi w:val="0"/>
        <w:spacing w:before="290" w:after="283"/>
        <w:ind w:left="0" w:right="0" w:hanging="0"/>
        <w:jc w:val="left"/>
        <w:rPr>
          <w:rFonts w:ascii="Arial" w:hAnsi="Arial"/>
          <w:b/>
          <w:color w:val="F8991D"/>
          <w:sz w:val="20"/>
        </w:rPr>
      </w:pPr>
      <w:bookmarkStart w:id="116" w:name="tEIP1"/>
      <w:bookmarkEnd w:id="116"/>
      <w:r>
        <w:rPr>
          <w:rFonts w:ascii="Arial" w:hAnsi="Arial"/>
          <w:b/>
          <w:color w:val="F8991D"/>
          <w:sz w:val="20"/>
        </w:rPr>
        <w:t>EQUITY INCENTIVE PLANS</w:t>
      </w:r>
    </w:p>
    <w:p>
      <w:pPr>
        <w:pStyle w:val="TextBody"/>
        <w:bidi w:val="0"/>
        <w:spacing w:before="160" w:after="283"/>
        <w:ind w:left="0" w:right="0" w:hanging="0"/>
        <w:jc w:val="left"/>
        <w:rPr>
          <w:rFonts w:ascii="Arial" w:hAnsi="Arial"/>
          <w:color w:val="000000"/>
          <w:sz w:val="18"/>
        </w:rPr>
      </w:pPr>
      <w:r>
        <w:rPr>
          <w:rFonts w:ascii="Arial" w:hAnsi="Arial"/>
          <w:color w:val="000000"/>
          <w:sz w:val="18"/>
        </w:rPr>
        <w:t>Under our 2020 Equity Incentive Plan and our 2024 Inducement Equity Incentive Plan (the “Inducement Plan”), unless otherwise specified in an award agreement for a particular award, all unvested options, restricted stock units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pStyle w:val="TextBody"/>
        <w:bidi w:val="0"/>
        <w:spacing w:before="160" w:after="283"/>
        <w:ind w:left="0" w:right="0" w:hanging="0"/>
        <w:jc w:val="left"/>
        <w:rPr>
          <w:rFonts w:ascii="Arial" w:hAnsi="Arial"/>
          <w:color w:val="000000"/>
          <w:sz w:val="18"/>
        </w:rPr>
      </w:pPr>
      <w:r>
        <w:rPr>
          <w:rFonts w:ascii="Arial" w:hAnsi="Arial"/>
          <w:color w:val="000000"/>
          <w:sz w:val="18"/>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or the compensation committee, as administrator of our equity incentive plans, has the authority to provide for the accelerated vesting of any or all outstanding equity awards under the plans. </w:t>
      </w:r>
    </w:p>
    <w:p>
      <w:pPr>
        <w:pStyle w:val="TextBody"/>
        <w:bidi w:val="0"/>
        <w:spacing w:before="290" w:after="283"/>
        <w:ind w:left="0" w:right="0" w:hanging="0"/>
        <w:jc w:val="left"/>
        <w:rPr>
          <w:rFonts w:ascii="Arial" w:hAnsi="Arial"/>
          <w:b/>
          <w:color w:val="F8991D"/>
          <w:sz w:val="20"/>
        </w:rPr>
      </w:pPr>
      <w:bookmarkStart w:id="117" w:name="tCP1"/>
      <w:bookmarkEnd w:id="117"/>
      <w:r>
        <w:rPr>
          <w:rFonts w:ascii="Arial" w:hAnsi="Arial"/>
          <w:b/>
          <w:color w:val="F8991D"/>
          <w:sz w:val="20"/>
        </w:rPr>
        <w:t xml:space="preserve">CLAWBACK POLICY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In February 2023, our board of directors adopted an executive compensation recovery (“clawback”) policy (our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and again in September 2024.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amended and restated Clawback Policy. The September 2024 amendment and restatement of our Clawback Policy expanded the Clawback Policy to apply in the event that we are required to retract or correct scientific results. This expansion provides that we must also recover from the covered executives any excess compensation covered by the amended and restated Clawback Policy in the event that we are required to retract a scientific publication or correct a material scientific finding in a scientific publication (as determined by our board of directors or compliance committee), where such retraction or correction is due to fraudulent or intentional misconduct, gross negligence, or a material violation of a Company policy or the policy of a scientific publication related to scientific integrity. As described in more detail in our amended and restated Clawback Policy, excess compensation generally is incentive-based compensation that exceeds the amount the individual otherwise would have received had the compensation been determined based on the restated amounts. Excess compensation generally is covered by the amended and restated Clawback Policy if it is received by an individual during our three completed fiscal years immediately prior to the date we determine an accounting restatement or a retraction or correction of scientific results is required (or a legally authorized body, such as a court, directs us to prepare an accounting restatement), if the amounts were received after the individual became an executive officer, and if he or she served as an executive officer during the applicable performance period (and only if the amounts were received after October 2, 2023).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18" w:name="ny20044300x2_def14a_111-execomp_pg9"/>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Executive Compensation</w:t>
      </w:r>
    </w:p>
    <w:p>
      <w:pPr>
        <w:pStyle w:val="TextBody"/>
        <w:bidi w:val="0"/>
        <w:spacing w:before="135" w:after="283"/>
        <w:ind w:left="0" w:right="0" w:hanging="0"/>
        <w:jc w:val="left"/>
        <w:rPr>
          <w:rFonts w:ascii="Arial" w:hAnsi="Arial"/>
          <w:b/>
          <w:color w:val="F8991D"/>
          <w:sz w:val="20"/>
        </w:rPr>
      </w:pPr>
      <w:bookmarkStart w:id="119" w:name="tEICP"/>
      <w:bookmarkEnd w:id="119"/>
      <w:r>
        <w:rPr>
          <w:rFonts w:ascii="Arial" w:hAnsi="Arial"/>
          <w:b/>
          <w:color w:val="F8991D"/>
          <w:sz w:val="20"/>
        </w:rPr>
        <w:t xml:space="preserve">EXECUTIVE INCENTIVE COMPENSATION PLAN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Executive Incentive Compensation Plan is administered by our board of directors or a committee appointed by our board of directors. Our Executive Incentive Compensation Plan allows us to grant incentive awards, generally payable in cash, to employees selected by the administrator, including our named executive officers, based upon any performance goals that may be established by the administrator.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Payment of awards occurs as soon as administratively practicable after they are earned, but no later than the dates set forth in our Executive Incentive Compensation Plan.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Awards under our Executive Incentive Compensation Plan are subject to our amended and restated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20" w:name="ny20044300x2_def14a_111-execomp_pg10"/>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Executive Compensation</w:t>
      </w:r>
    </w:p>
    <w:p>
      <w:pPr>
        <w:pStyle w:val="TextBody"/>
        <w:bidi w:val="0"/>
        <w:spacing w:before="120" w:after="283"/>
        <w:ind w:left="0" w:right="0" w:hanging="0"/>
        <w:jc w:val="left"/>
        <w:rPr>
          <w:rFonts w:ascii="Arial" w:hAnsi="Arial"/>
          <w:b/>
          <w:color w:val="255993"/>
          <w:sz w:val="18"/>
        </w:rPr>
      </w:pPr>
      <w:r>
        <w:rPr>
          <w:rFonts w:ascii="Arial" w:hAnsi="Arial"/>
          <w:b/>
          <w:color w:val="255993"/>
          <w:sz w:val="18"/>
        </w:rPr>
        <w:t>2024 BONUS PROGRAM</w:t>
      </w:r>
    </w:p>
    <w:p>
      <w:pPr>
        <w:pStyle w:val="TextBody"/>
        <w:bidi w:val="0"/>
        <w:spacing w:before="120" w:after="283"/>
        <w:ind w:left="0" w:right="0" w:hanging="0"/>
        <w:jc w:val="left"/>
        <w:rPr>
          <w:rFonts w:ascii="Arial" w:hAnsi="Arial"/>
          <w:color w:val="000000"/>
          <w:sz w:val="18"/>
        </w:rPr>
      </w:pPr>
      <w:r>
        <w:rPr>
          <w:rFonts w:ascii="Arial" w:hAnsi="Arial"/>
          <w:color w:val="000000"/>
          <w:sz w:val="18"/>
        </w:rPr>
        <w:t>In establishing the annual bonus program for fiscal 2024 under the Executive Incentive Compensation Plan, the board of directors determined that actual awards would be based upon achievement of corporate goals (the “Corporate Goals”) during the plan year. In addition, in October 2024, our compensation committee approved a cash retention bonus comprised of an increase in the 2024 achievement percentage of Corporate Goals, as determined by the compensation committee, by 25 percentage points.</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Corporate Goals related to completion of certain analyses with respect to a specified clinical trial (weighted 70%), completion of certain activities with respect to a specified clinical trial (weighted 15%), other scientific program achievements (weighted 5%) and other financial and business-related achievements (weighted 10%). In addition, the board of directors determined that achievement of certain stretch goals related to specific clinical trial activities and other scientific program achievements could be earned, provided that the maximum possible bonus payout under our Executive Incentive Compensation Plan for 2024 was intended to be 140% of the applicable participant’s target bonus opportunity. </w:t>
      </w:r>
    </w:p>
    <w:p>
      <w:pPr>
        <w:pStyle w:val="TextBody"/>
        <w:bidi w:val="0"/>
        <w:spacing w:before="160" w:after="283"/>
        <w:ind w:left="0" w:right="0" w:hanging="0"/>
        <w:jc w:val="left"/>
        <w:rPr>
          <w:rFonts w:ascii="Arial" w:hAnsi="Arial"/>
          <w:color w:val="000000"/>
          <w:sz w:val="18"/>
        </w:rPr>
      </w:pPr>
      <w:r>
        <w:rPr>
          <w:rFonts w:ascii="Arial" w:hAnsi="Arial"/>
          <w:color w:val="000000"/>
          <w:sz w:val="18"/>
        </w:rPr>
        <w:t>Under the Company’s annual bonus program, payments are made based on our performance with respect to each of the Corporate Goals and individual performance measures, if any, to the extent to which each objective was achieved for the year, subject to discretion reserved to the administrator and continued employment of the participant through the date of payment. In January 2025, our compensation committee determined that the 2024 Corporate Goals had been partially achieved at an 90% achievement rate, resulting in a Corporate Goals achievement rate of 115% when combined with the 25 percentage point increase comprising the aforementioned retention bonus. The annual bonuses awarded to our named executive officers for 2024 are set forth in the “</w:t>
      </w:r>
      <w:r>
        <w:rPr>
          <w:rFonts w:ascii="Arial" w:hAnsi="Arial"/>
          <w:i/>
          <w:color w:val="000000"/>
          <w:sz w:val="18"/>
        </w:rPr>
        <w:t>2023-2024 Summary Compensation Table</w:t>
      </w:r>
      <w:r>
        <w:rPr>
          <w:rFonts w:ascii="Arial" w:hAnsi="Arial"/>
          <w:color w:val="000000"/>
          <w:sz w:val="18"/>
        </w:rPr>
        <w:t xml:space="preserve">” above. </w:t>
      </w:r>
    </w:p>
    <w:p>
      <w:pPr>
        <w:pStyle w:val="TextBody"/>
        <w:bidi w:val="0"/>
        <w:spacing w:before="280" w:after="283"/>
        <w:ind w:left="0" w:right="0" w:hanging="0"/>
        <w:jc w:val="left"/>
        <w:rPr>
          <w:rFonts w:ascii="Arial" w:hAnsi="Arial"/>
          <w:b/>
          <w:color w:val="F8991D"/>
          <w:sz w:val="20"/>
        </w:rPr>
      </w:pPr>
      <w:bookmarkStart w:id="121" w:name="tEGP"/>
      <w:bookmarkEnd w:id="121"/>
      <w:r>
        <w:rPr>
          <w:rFonts w:ascii="Arial" w:hAnsi="Arial"/>
          <w:b/>
          <w:color w:val="F8991D"/>
          <w:sz w:val="20"/>
        </w:rPr>
        <w:t xml:space="preserve">EQUITY GRANTING PRACTICES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Our board of directors or compensation committee, as applicable, does not grant equity awards on a predetermined schedule. Our grant committee, which consists of certain members of management and which has been delegated prescribed authority to grant equity awards to certain non-executive officer service providers, approves equity awards in advance, and such awards generally become effective on the first trading day of the following month. Awards to our non-employee directors are granted automatically pursuant to our outside director compensation policy. We have not granted, nor do we intend to grant, stock options in anticipation of the release of material, nonpublic information, and we have not taken, nor do we intend to take, material nonpublic information into account when determining the terms of stock options. Similarly, we have not timed, nor do we intend to time, the release of material, nonpublic information for the purpose of affecting the value of executive compensation or for any other purpose.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22" w:name="ny20044300x2_def14a_111-execomp_pg11"/>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Executive Compensation</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The table below sets forth certain information regarding the grants of option awards to our named executive officers which occurred within the period beginning four business days before the filing of a Form 10-Q, Form 10-K, or the filing or furnishing of a Form 8-K that discloses material nonpublic information (other than an Item 5.02(e) Form 8-K that discloses a material new option award grant) and ending one business day after the filing or furnishing of such report, as required by Item 402(x) of Regulation S-K. </w:t>
      </w:r>
    </w:p>
    <w:tbl>
      <w:tblPr>
        <w:tblW w:w="10205" w:type="dxa"/>
        <w:jc w:val="left"/>
        <w:tblInd w:w="0" w:type="dxa"/>
        <w:tblLayout w:type="fixed"/>
        <w:tblCellMar>
          <w:top w:w="0" w:type="dxa"/>
          <w:left w:w="0" w:type="dxa"/>
          <w:bottom w:w="0" w:type="dxa"/>
          <w:right w:w="0" w:type="dxa"/>
        </w:tblCellMar>
      </w:tblPr>
      <w:tblGrid>
        <w:gridCol w:w="185"/>
        <w:gridCol w:w="1293"/>
        <w:gridCol w:w="170"/>
        <w:gridCol w:w="170"/>
        <w:gridCol w:w="1325"/>
        <w:gridCol w:w="170"/>
        <w:gridCol w:w="170"/>
        <w:gridCol w:w="990"/>
        <w:gridCol w:w="170"/>
        <w:gridCol w:w="170"/>
        <w:gridCol w:w="1282"/>
        <w:gridCol w:w="170"/>
        <w:gridCol w:w="170"/>
        <w:gridCol w:w="1298"/>
        <w:gridCol w:w="170"/>
        <w:gridCol w:w="170"/>
        <w:gridCol w:w="1914"/>
        <w:gridCol w:w="218"/>
      </w:tblGrid>
      <w:tr>
        <w:trPr/>
        <w:tc>
          <w:tcPr>
            <w:tcW w:w="185" w:type="dxa"/>
            <w:tcBorders/>
            <w:shd w:fill="255993" w:val="clear"/>
            <w:vAlign w:val="center"/>
          </w:tcPr>
          <w:p>
            <w:pPr>
              <w:pStyle w:val="TableContents"/>
              <w:bidi w:val="0"/>
              <w:spacing w:before="0" w:after="0"/>
              <w:jc w:val="left"/>
              <w:rPr/>
            </w:pPr>
            <w:r>
              <w:rPr/>
              <w:t> </w:t>
            </w:r>
          </w:p>
        </w:tc>
        <w:tc>
          <w:tcPr>
            <w:tcW w:w="1293"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32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99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282"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298"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914" w:type="dxa"/>
            <w:tcBorders/>
            <w:shd w:fill="255993" w:val="clear"/>
            <w:vAlign w:val="center"/>
          </w:tcPr>
          <w:p>
            <w:pPr>
              <w:pStyle w:val="TableContents"/>
              <w:bidi w:val="0"/>
              <w:spacing w:before="0" w:after="0"/>
              <w:jc w:val="left"/>
              <w:rPr/>
            </w:pPr>
            <w:r>
              <w:rPr/>
              <w:t> </w:t>
            </w:r>
          </w:p>
        </w:tc>
        <w:tc>
          <w:tcPr>
            <w:tcW w:w="218"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93" w:type="dxa"/>
            <w:tcBorders>
              <w:bottom w:val="single" w:sz="8" w:space="0" w:color="FFFFFF"/>
            </w:tcBorders>
            <w:shd w:fill="255993" w:val="clear"/>
            <w:tcMar>
              <w:bottom w:w="28" w:type="dxa"/>
            </w:tcMar>
            <w:vAlign w:val="center"/>
          </w:tcPr>
          <w:p>
            <w:pPr>
              <w:pStyle w:val="TableContents"/>
              <w:bidi w:val="0"/>
              <w:spacing w:before="0" w:after="283"/>
              <w:ind w:left="70" w:right="0" w:hanging="0"/>
              <w:jc w:val="left"/>
              <w:rPr>
                <w:rFonts w:ascii="Arial" w:hAnsi="Arial"/>
                <w:b/>
                <w:color w:val="FFFFFF"/>
                <w:sz w:val="18"/>
              </w:rPr>
            </w:pPr>
            <w:r>
              <w:rPr>
                <w:rFonts w:ascii="Arial" w:hAnsi="Arial"/>
                <w:b/>
                <w:color w:val="FFFFFF"/>
                <w:sz w:val="18"/>
              </w:rPr>
              <w:t>Name</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325"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Grant Date</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990"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Number of </w:t>
            </w:r>
          </w:p>
          <w:p>
            <w:pPr>
              <w:pStyle w:val="TableContents"/>
              <w:bidi w:val="0"/>
              <w:spacing w:before="0" w:after="283"/>
              <w:jc w:val="right"/>
              <w:rPr>
                <w:rFonts w:ascii="Arial" w:hAnsi="Arial"/>
                <w:b/>
                <w:color w:val="FFFFFF"/>
                <w:sz w:val="18"/>
              </w:rPr>
            </w:pPr>
            <w:r>
              <w:rPr>
                <w:rFonts w:ascii="Arial" w:hAnsi="Arial"/>
                <w:b/>
                <w:color w:val="FFFFFF"/>
                <w:sz w:val="18"/>
              </w:rPr>
              <w:t xml:space="preserve">securities </w:t>
            </w:r>
          </w:p>
          <w:p>
            <w:pPr>
              <w:pStyle w:val="TableContents"/>
              <w:bidi w:val="0"/>
              <w:spacing w:before="0" w:after="283"/>
              <w:jc w:val="right"/>
              <w:rPr>
                <w:rFonts w:ascii="Arial" w:hAnsi="Arial"/>
                <w:b/>
                <w:color w:val="FFFFFF"/>
                <w:sz w:val="18"/>
              </w:rPr>
            </w:pPr>
            <w:r>
              <w:rPr>
                <w:rFonts w:ascii="Arial" w:hAnsi="Arial"/>
                <w:b/>
                <w:color w:val="FFFFFF"/>
                <w:sz w:val="18"/>
              </w:rPr>
              <w:t xml:space="preserve">underlying </w:t>
            </w:r>
          </w:p>
          <w:p>
            <w:pPr>
              <w:pStyle w:val="TableContents"/>
              <w:bidi w:val="0"/>
              <w:spacing w:before="0" w:after="283"/>
              <w:jc w:val="right"/>
              <w:rPr>
                <w:rFonts w:ascii="Arial" w:hAnsi="Arial"/>
                <w:b/>
                <w:color w:val="FFFFFF"/>
                <w:sz w:val="18"/>
              </w:rPr>
            </w:pPr>
            <w:r>
              <w:rPr>
                <w:rFonts w:ascii="Arial" w:hAnsi="Arial"/>
                <w:b/>
                <w:color w:val="FFFFFF"/>
                <w:sz w:val="18"/>
              </w:rPr>
              <w:t>the award</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82"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Exercise price </w:t>
            </w:r>
          </w:p>
          <w:p>
            <w:pPr>
              <w:pStyle w:val="TableContents"/>
              <w:bidi w:val="0"/>
              <w:spacing w:before="0" w:after="283"/>
              <w:jc w:val="right"/>
              <w:rPr>
                <w:rFonts w:ascii="Arial" w:hAnsi="Arial"/>
                <w:b/>
                <w:color w:val="FFFFFF"/>
                <w:sz w:val="18"/>
              </w:rPr>
            </w:pPr>
            <w:r>
              <w:rPr>
                <w:rFonts w:ascii="Arial" w:hAnsi="Arial"/>
                <w:b/>
                <w:color w:val="FFFFFF"/>
                <w:sz w:val="18"/>
              </w:rPr>
              <w:t xml:space="preserve">of the award </w:t>
            </w:r>
          </w:p>
          <w:p>
            <w:pPr>
              <w:pStyle w:val="TableContents"/>
              <w:bidi w:val="0"/>
              <w:spacing w:before="0" w:after="283"/>
              <w:jc w:val="right"/>
              <w:rPr>
                <w:rFonts w:ascii="Arial" w:hAnsi="Arial"/>
                <w:b/>
                <w:color w:val="FFFFFF"/>
                <w:sz w:val="18"/>
              </w:rPr>
            </w:pPr>
            <w:r>
              <w:rPr>
                <w:rFonts w:ascii="Arial" w:hAnsi="Arial"/>
                <w:b/>
                <w:color w:val="FFFFFF"/>
                <w:sz w:val="18"/>
              </w:rPr>
              <w:t>($/share)</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98"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Grant date fair </w:t>
            </w:r>
          </w:p>
          <w:p>
            <w:pPr>
              <w:pStyle w:val="TableContents"/>
              <w:bidi w:val="0"/>
              <w:spacing w:before="0" w:after="283"/>
              <w:jc w:val="right"/>
              <w:rPr>
                <w:rFonts w:ascii="Arial" w:hAnsi="Arial"/>
                <w:b/>
                <w:color w:val="FFFFFF"/>
                <w:sz w:val="18"/>
              </w:rPr>
            </w:pPr>
            <w:r>
              <w:rPr>
                <w:rFonts w:ascii="Arial" w:hAnsi="Arial"/>
                <w:b/>
                <w:color w:val="FFFFFF"/>
                <w:sz w:val="18"/>
              </w:rPr>
              <w:t xml:space="preserve">value of the </w:t>
            </w:r>
          </w:p>
          <w:p>
            <w:pPr>
              <w:pStyle w:val="TableContents"/>
              <w:bidi w:val="0"/>
              <w:spacing w:before="0" w:after="283"/>
              <w:jc w:val="right"/>
              <w:rPr>
                <w:rFonts w:ascii="Arial" w:hAnsi="Arial"/>
                <w:b/>
                <w:color w:val="FFFFFF"/>
                <w:sz w:val="18"/>
              </w:rPr>
            </w:pPr>
            <w:r>
              <w:rPr>
                <w:rFonts w:ascii="Arial" w:hAnsi="Arial"/>
                <w:b/>
                <w:color w:val="FFFFFF"/>
                <w:sz w:val="18"/>
              </w:rPr>
              <w:t>award</w:t>
            </w:r>
            <w:r>
              <w:rPr>
                <w:rFonts w:ascii="Arial" w:hAnsi="Arial"/>
                <w:b/>
                <w:color w:val="FFFFFF"/>
                <w:position w:val="6"/>
                <w:sz w:val="14"/>
                <w:sz w:val="18"/>
              </w:rPr>
              <w:t>(1)</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914" w:type="dxa"/>
            <w:tcBorders>
              <w:bottom w:val="single" w:sz="8" w:space="0" w:color="FFFFFF"/>
            </w:tcBorders>
            <w:shd w:fill="255993" w:val="clear"/>
            <w:tcMar>
              <w:bottom w:w="28"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Percentage </w:t>
            </w:r>
          </w:p>
          <w:p>
            <w:pPr>
              <w:pStyle w:val="TableContents"/>
              <w:bidi w:val="0"/>
              <w:spacing w:before="0" w:after="283"/>
              <w:jc w:val="right"/>
              <w:rPr>
                <w:rFonts w:ascii="Arial" w:hAnsi="Arial"/>
                <w:b/>
                <w:color w:val="FFFFFF"/>
                <w:sz w:val="18"/>
              </w:rPr>
            </w:pPr>
            <w:r>
              <w:rPr>
                <w:rFonts w:ascii="Arial" w:hAnsi="Arial"/>
                <w:b/>
                <w:color w:val="FFFFFF"/>
                <w:sz w:val="18"/>
              </w:rPr>
              <w:t xml:space="preserve">change </w:t>
            </w:r>
          </w:p>
          <w:p>
            <w:pPr>
              <w:pStyle w:val="TableContents"/>
              <w:bidi w:val="0"/>
              <w:spacing w:before="0" w:after="283"/>
              <w:jc w:val="right"/>
              <w:rPr>
                <w:rFonts w:ascii="Arial" w:hAnsi="Arial"/>
                <w:b/>
                <w:color w:val="FFFFFF"/>
                <w:sz w:val="18"/>
              </w:rPr>
            </w:pPr>
            <w:r>
              <w:rPr>
                <w:rFonts w:ascii="Arial" w:hAnsi="Arial"/>
                <w:b/>
                <w:color w:val="FFFFFF"/>
                <w:sz w:val="18"/>
              </w:rPr>
              <w:t xml:space="preserve">in the closing market </w:t>
            </w:r>
          </w:p>
          <w:p>
            <w:pPr>
              <w:pStyle w:val="TableContents"/>
              <w:bidi w:val="0"/>
              <w:spacing w:before="0" w:after="283"/>
              <w:jc w:val="right"/>
              <w:rPr>
                <w:rFonts w:ascii="Arial" w:hAnsi="Arial"/>
                <w:b/>
                <w:color w:val="FFFFFF"/>
                <w:sz w:val="18"/>
              </w:rPr>
            </w:pPr>
            <w:r>
              <w:rPr>
                <w:rFonts w:ascii="Arial" w:hAnsi="Arial"/>
                <w:b/>
                <w:color w:val="FFFFFF"/>
                <w:sz w:val="18"/>
              </w:rPr>
              <w:t xml:space="preserve">price of the </w:t>
            </w:r>
          </w:p>
          <w:p>
            <w:pPr>
              <w:pStyle w:val="TableContents"/>
              <w:bidi w:val="0"/>
              <w:spacing w:before="0" w:after="283"/>
              <w:jc w:val="right"/>
              <w:rPr>
                <w:rFonts w:ascii="Arial" w:hAnsi="Arial"/>
                <w:b/>
                <w:color w:val="FFFFFF"/>
                <w:sz w:val="18"/>
              </w:rPr>
            </w:pPr>
            <w:r>
              <w:rPr>
                <w:rFonts w:ascii="Arial" w:hAnsi="Arial"/>
                <w:b/>
                <w:color w:val="FFFFFF"/>
                <w:sz w:val="18"/>
              </w:rPr>
              <w:t xml:space="preserve">securities underlying </w:t>
            </w:r>
          </w:p>
          <w:p>
            <w:pPr>
              <w:pStyle w:val="TableContents"/>
              <w:bidi w:val="0"/>
              <w:spacing w:before="0" w:after="283"/>
              <w:jc w:val="right"/>
              <w:rPr>
                <w:rFonts w:ascii="Arial" w:hAnsi="Arial"/>
                <w:b/>
                <w:color w:val="FFFFFF"/>
                <w:sz w:val="18"/>
              </w:rPr>
            </w:pPr>
            <w:r>
              <w:rPr>
                <w:rFonts w:ascii="Arial" w:hAnsi="Arial"/>
                <w:b/>
                <w:color w:val="FFFFFF"/>
                <w:sz w:val="18"/>
              </w:rPr>
              <w:t xml:space="preserve">the award between </w:t>
            </w:r>
          </w:p>
          <w:p>
            <w:pPr>
              <w:pStyle w:val="TableContents"/>
              <w:bidi w:val="0"/>
              <w:spacing w:before="0" w:after="283"/>
              <w:jc w:val="right"/>
              <w:rPr>
                <w:rFonts w:ascii="Arial" w:hAnsi="Arial"/>
                <w:b/>
                <w:color w:val="FFFFFF"/>
                <w:sz w:val="18"/>
              </w:rPr>
            </w:pPr>
            <w:r>
              <w:rPr>
                <w:rFonts w:ascii="Arial" w:hAnsi="Arial"/>
                <w:b/>
                <w:color w:val="FFFFFF"/>
                <w:sz w:val="18"/>
              </w:rPr>
              <w:t xml:space="preserve">the trading day </w:t>
            </w:r>
          </w:p>
          <w:p>
            <w:pPr>
              <w:pStyle w:val="TableContents"/>
              <w:bidi w:val="0"/>
              <w:spacing w:before="0" w:after="283"/>
              <w:jc w:val="right"/>
              <w:rPr>
                <w:rFonts w:ascii="Arial" w:hAnsi="Arial"/>
                <w:b/>
                <w:color w:val="FFFFFF"/>
                <w:sz w:val="18"/>
              </w:rPr>
            </w:pPr>
            <w:r>
              <w:rPr>
                <w:rFonts w:ascii="Arial" w:hAnsi="Arial"/>
                <w:b/>
                <w:color w:val="FFFFFF"/>
                <w:sz w:val="18"/>
              </w:rPr>
              <w:t xml:space="preserve">ending immediately </w:t>
            </w:r>
          </w:p>
          <w:p>
            <w:pPr>
              <w:pStyle w:val="TableContents"/>
              <w:bidi w:val="0"/>
              <w:spacing w:before="0" w:after="283"/>
              <w:jc w:val="right"/>
              <w:rPr>
                <w:rFonts w:ascii="Arial" w:hAnsi="Arial"/>
                <w:b/>
                <w:color w:val="FFFFFF"/>
                <w:sz w:val="18"/>
              </w:rPr>
            </w:pPr>
            <w:r>
              <w:rPr>
                <w:rFonts w:ascii="Arial" w:hAnsi="Arial"/>
                <w:b/>
                <w:color w:val="FFFFFF"/>
                <w:sz w:val="18"/>
              </w:rPr>
              <w:t xml:space="preserve">prior to the </w:t>
            </w:r>
          </w:p>
          <w:p>
            <w:pPr>
              <w:pStyle w:val="TableContents"/>
              <w:bidi w:val="0"/>
              <w:spacing w:before="0" w:after="283"/>
              <w:jc w:val="right"/>
              <w:rPr>
                <w:rFonts w:ascii="Arial" w:hAnsi="Arial"/>
                <w:b/>
                <w:color w:val="FFFFFF"/>
                <w:sz w:val="18"/>
              </w:rPr>
            </w:pPr>
            <w:r>
              <w:rPr>
                <w:rFonts w:ascii="Arial" w:hAnsi="Arial"/>
                <w:b/>
                <w:color w:val="FFFFFF"/>
                <w:sz w:val="18"/>
              </w:rPr>
              <w:t xml:space="preserve">disclosure of </w:t>
            </w:r>
          </w:p>
          <w:p>
            <w:pPr>
              <w:pStyle w:val="TableContents"/>
              <w:bidi w:val="0"/>
              <w:spacing w:before="0" w:after="283"/>
              <w:jc w:val="right"/>
              <w:rPr>
                <w:rFonts w:ascii="Arial" w:hAnsi="Arial"/>
                <w:b/>
                <w:color w:val="FFFFFF"/>
                <w:sz w:val="18"/>
              </w:rPr>
            </w:pPr>
            <w:r>
              <w:rPr>
                <w:rFonts w:ascii="Arial" w:hAnsi="Arial"/>
                <w:b/>
                <w:color w:val="FFFFFF"/>
                <w:sz w:val="18"/>
              </w:rPr>
              <w:t xml:space="preserve">material nonpublic </w:t>
            </w:r>
          </w:p>
          <w:p>
            <w:pPr>
              <w:pStyle w:val="TableContents"/>
              <w:bidi w:val="0"/>
              <w:spacing w:before="0" w:after="283"/>
              <w:jc w:val="right"/>
              <w:rPr>
                <w:rFonts w:ascii="Arial" w:hAnsi="Arial"/>
                <w:b/>
                <w:color w:val="FFFFFF"/>
                <w:sz w:val="18"/>
              </w:rPr>
            </w:pPr>
            <w:r>
              <w:rPr>
                <w:rFonts w:ascii="Arial" w:hAnsi="Arial"/>
                <w:b/>
                <w:color w:val="FFFFFF"/>
                <w:sz w:val="18"/>
              </w:rPr>
              <w:t xml:space="preserve">information and the </w:t>
            </w:r>
          </w:p>
          <w:p>
            <w:pPr>
              <w:pStyle w:val="TableContents"/>
              <w:bidi w:val="0"/>
              <w:spacing w:before="0" w:after="283"/>
              <w:jc w:val="right"/>
              <w:rPr>
                <w:rFonts w:ascii="Arial" w:hAnsi="Arial"/>
                <w:b/>
                <w:color w:val="FFFFFF"/>
                <w:sz w:val="18"/>
              </w:rPr>
            </w:pPr>
            <w:r>
              <w:rPr>
                <w:rFonts w:ascii="Arial" w:hAnsi="Arial"/>
                <w:b/>
                <w:color w:val="FFFFFF"/>
                <w:sz w:val="18"/>
              </w:rPr>
              <w:t xml:space="preserve">trading day </w:t>
            </w:r>
          </w:p>
          <w:p>
            <w:pPr>
              <w:pStyle w:val="TableContents"/>
              <w:bidi w:val="0"/>
              <w:spacing w:before="0" w:after="283"/>
              <w:jc w:val="right"/>
              <w:rPr>
                <w:rFonts w:ascii="Arial" w:hAnsi="Arial"/>
                <w:b/>
                <w:color w:val="FFFFFF"/>
                <w:sz w:val="18"/>
              </w:rPr>
            </w:pPr>
            <w:r>
              <w:rPr>
                <w:rFonts w:ascii="Arial" w:hAnsi="Arial"/>
                <w:b/>
                <w:color w:val="FFFFFF"/>
                <w:sz w:val="18"/>
              </w:rPr>
              <w:t xml:space="preserve">beginning immediately </w:t>
            </w:r>
          </w:p>
          <w:p>
            <w:pPr>
              <w:pStyle w:val="TableContents"/>
              <w:bidi w:val="0"/>
              <w:spacing w:before="0" w:after="283"/>
              <w:jc w:val="right"/>
              <w:rPr>
                <w:rFonts w:ascii="Arial" w:hAnsi="Arial"/>
                <w:b/>
                <w:color w:val="FFFFFF"/>
                <w:sz w:val="18"/>
              </w:rPr>
            </w:pPr>
            <w:r>
              <w:rPr>
                <w:rFonts w:ascii="Arial" w:hAnsi="Arial"/>
                <w:b/>
                <w:color w:val="FFFFFF"/>
                <w:sz w:val="18"/>
              </w:rPr>
              <w:t xml:space="preserve">following the </w:t>
            </w:r>
          </w:p>
          <w:p>
            <w:pPr>
              <w:pStyle w:val="TableContents"/>
              <w:bidi w:val="0"/>
              <w:spacing w:before="0" w:after="283"/>
              <w:jc w:val="right"/>
              <w:rPr>
                <w:rFonts w:ascii="Arial" w:hAnsi="Arial"/>
                <w:b/>
                <w:color w:val="FFFFFF"/>
                <w:sz w:val="18"/>
              </w:rPr>
            </w:pPr>
            <w:r>
              <w:rPr>
                <w:rFonts w:ascii="Arial" w:hAnsi="Arial"/>
                <w:b/>
                <w:color w:val="FFFFFF"/>
                <w:sz w:val="18"/>
              </w:rPr>
              <w:t xml:space="preserve">disclosure of </w:t>
            </w:r>
          </w:p>
          <w:p>
            <w:pPr>
              <w:pStyle w:val="TableContents"/>
              <w:bidi w:val="0"/>
              <w:spacing w:before="0" w:after="283"/>
              <w:jc w:val="right"/>
              <w:rPr>
                <w:rFonts w:ascii="Arial" w:hAnsi="Arial"/>
                <w:b/>
                <w:color w:val="FFFFFF"/>
                <w:sz w:val="18"/>
              </w:rPr>
            </w:pPr>
            <w:r>
              <w:rPr>
                <w:rFonts w:ascii="Arial" w:hAnsi="Arial"/>
                <w:b/>
                <w:color w:val="FFFFFF"/>
                <w:sz w:val="18"/>
              </w:rPr>
              <w:t xml:space="preserve">material nonpublic </w:t>
            </w:r>
          </w:p>
          <w:p>
            <w:pPr>
              <w:pStyle w:val="TableContents"/>
              <w:bidi w:val="0"/>
              <w:spacing w:before="0" w:after="283"/>
              <w:jc w:val="right"/>
              <w:rPr>
                <w:rFonts w:ascii="Arial" w:hAnsi="Arial"/>
                <w:b/>
                <w:color w:val="FFFFFF"/>
                <w:sz w:val="18"/>
              </w:rPr>
            </w:pPr>
            <w:r>
              <w:rPr>
                <w:rFonts w:ascii="Arial" w:hAnsi="Arial"/>
                <w:b/>
                <w:color w:val="FFFFFF"/>
                <w:sz w:val="18"/>
              </w:rPr>
              <w:t>information</w:t>
            </w:r>
          </w:p>
        </w:tc>
        <w:tc>
          <w:tcPr>
            <w:tcW w:w="218"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3"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Mark Litton</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25" w:type="dxa"/>
            <w:tcBorders>
              <w:bottom w:val="single" w:sz="8" w:space="0" w:color="FFFFFF"/>
            </w:tcBorders>
            <w:shd w:fill="EBEBEB" w:val="clear"/>
            <w:tcMar>
              <w:bottom w:w="2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February 15, 2024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9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82"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3.66</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8"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$1,885,000.00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914"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w:t>
            </w:r>
            <w:r>
              <w:rPr>
                <w:rFonts w:ascii="Arial" w:hAnsi="Arial"/>
                <w:color w:val="000000"/>
                <w:position w:val="5"/>
                <w:sz w:val="13"/>
                <w:sz w:val="16"/>
              </w:rPr>
              <w:t>(2)</w:t>
            </w:r>
            <w:r>
              <w:rPr>
                <w:rFonts w:ascii="Arial" w:hAnsi="Arial"/>
                <w:color w:val="000000"/>
                <w:sz w:val="16"/>
              </w:rPr>
              <w:t xml:space="preserve"> </w:t>
            </w:r>
          </w:p>
        </w:tc>
        <w:tc>
          <w:tcPr>
            <w:tcW w:w="218"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3" w:type="dxa"/>
            <w:tcBorders>
              <w:bottom w:val="single" w:sz="8" w:space="0" w:color="FFFFFF"/>
            </w:tcBorders>
            <w:shd w:fill="FAFAFA" w:val="clear"/>
            <w:tcMar>
              <w:bottom w:w="28"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Mark Litton</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325" w:type="dxa"/>
            <w:tcBorders>
              <w:bottom w:val="single" w:sz="8" w:space="0" w:color="FFFFFF"/>
            </w:tcBorders>
            <w:shd w:fill="FAFAFA" w:val="clear"/>
            <w:tcMar>
              <w:bottom w:w="2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3, 2024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90"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325,000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82"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0.4257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8"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​106,407.93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914" w:type="dxa"/>
            <w:tcBorders>
              <w:bottom w:val="single" w:sz="8" w:space="0" w:color="FFFFFF"/>
            </w:tcBorders>
            <w:shd w:fill="FAFAFA"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w:t>
            </w:r>
            <w:r>
              <w:rPr>
                <w:rFonts w:ascii="Arial" w:hAnsi="Arial"/>
                <w:color w:val="000000"/>
                <w:position w:val="5"/>
                <w:sz w:val="13"/>
                <w:sz w:val="16"/>
              </w:rPr>
              <w:t>(3)</w:t>
            </w:r>
          </w:p>
        </w:tc>
        <w:tc>
          <w:tcPr>
            <w:tcW w:w="218"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3" w:type="dxa"/>
            <w:tcBorders>
              <w:bottom w:val="single" w:sz="8" w:space="0" w:color="FFFFFF"/>
            </w:tcBorders>
            <w:shd w:fill="EBEBEB" w:val="clear"/>
            <w:tcMar>
              <w:bottom w:w="28"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Mark Worthington</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325" w:type="dxa"/>
            <w:tcBorders>
              <w:bottom w:val="single" w:sz="8" w:space="0" w:color="FFFFFF"/>
            </w:tcBorders>
            <w:shd w:fill="EBEBEB" w:val="clear"/>
            <w:tcMar>
              <w:bottom w:w="28"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1, 2024</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90"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110,000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82"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$0.4499</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8"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​38,033.82</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914" w:type="dxa"/>
            <w:tcBorders>
              <w:bottom w:val="single" w:sz="8" w:space="0" w:color="FFFFFF"/>
            </w:tcBorders>
            <w:shd w:fill="EBEBEB" w:val="clear"/>
            <w:tcMar>
              <w:bottom w:w="28"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w:t>
            </w:r>
            <w:r>
              <w:rPr>
                <w:rFonts w:ascii="Arial" w:hAnsi="Arial"/>
                <w:color w:val="000000"/>
                <w:position w:val="5"/>
                <w:sz w:val="13"/>
                <w:sz w:val="16"/>
              </w:rPr>
              <w:t>(3)</w:t>
            </w:r>
          </w:p>
        </w:tc>
        <w:tc>
          <w:tcPr>
            <w:tcW w:w="218"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1293" w:type="dxa"/>
            <w:tcBorders/>
            <w:shd w:fill="FAFAFA" w:val="cle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Kevin Church</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325" w:type="dxa"/>
            <w:tcBorders/>
            <w:shd w:fill="FAFAFA" w:val="clear"/>
            <w:vAlign w:val="center"/>
          </w:tcPr>
          <w:p>
            <w:pPr>
              <w:pStyle w:val="TableContents"/>
              <w:bidi w:val="0"/>
              <w:spacing w:before="0" w:after="283"/>
              <w:jc w:val="center"/>
              <w:rPr>
                <w:rFonts w:ascii="Arial" w:hAnsi="Arial"/>
                <w:color w:val="000000"/>
                <w:sz w:val="16"/>
              </w:rPr>
            </w:pPr>
            <w:r>
              <w:rPr>
                <w:rFonts w:ascii="Arial" w:hAnsi="Arial"/>
                <w:color w:val="000000"/>
                <w:sz w:val="16"/>
              </w:rPr>
              <w:t>October 1, 2024</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990"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110,000</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282"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$0.4499</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298"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​38,033.82</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914" w:type="dxa"/>
            <w:tcBorders/>
            <w:shd w:fill="FAFAFA" w:val="clear"/>
            <w:vAlign w:val="center"/>
          </w:tcPr>
          <w:p>
            <w:pPr>
              <w:pStyle w:val="TableContents"/>
              <w:bidi w:val="0"/>
              <w:spacing w:before="0" w:after="283"/>
              <w:jc w:val="right"/>
              <w:rPr>
                <w:rFonts w:ascii="Arial" w:hAnsi="Arial"/>
                <w:color w:val="000000"/>
                <w:sz w:val="16"/>
              </w:rPr>
            </w:pPr>
            <w:r>
              <w:rPr>
                <w:rFonts w:ascii="Arial" w:hAnsi="Arial"/>
                <w:color w:val="000000"/>
                <w:sz w:val="16"/>
              </w:rPr>
              <w:t>(1.45)%</w:t>
            </w:r>
            <w:r>
              <w:rPr>
                <w:rFonts w:ascii="Arial" w:hAnsi="Arial"/>
                <w:color w:val="000000"/>
                <w:position w:val="5"/>
                <w:sz w:val="13"/>
                <w:sz w:val="16"/>
              </w:rPr>
              <w:t>(3)</w:t>
            </w:r>
          </w:p>
        </w:tc>
        <w:tc>
          <w:tcPr>
            <w:tcW w:w="218" w:type="dxa"/>
            <w:tcBorders/>
            <w:shd w:fill="FAFAFA" w:val="clear"/>
            <w:vAlign w:val="center"/>
          </w:tcPr>
          <w:p>
            <w:pPr>
              <w:pStyle w:val="TableContents"/>
              <w:bidi w:val="0"/>
              <w:spacing w:before="0" w:after="0"/>
              <w:jc w:val="left"/>
              <w:rPr/>
            </w:pPr>
            <w:r>
              <w:rPr/>
              <w:t> </w:t>
            </w:r>
          </w:p>
        </w:tc>
      </w:tr>
      <w:tr>
        <w:trPr/>
        <w:tc>
          <w:tcPr>
            <w:tcW w:w="185" w:type="dxa"/>
            <w:tcBorders/>
            <w:shd w:fill="FAFAFA" w:val="clear"/>
            <w:vAlign w:val="center"/>
          </w:tcPr>
          <w:p>
            <w:pPr>
              <w:pStyle w:val="TableContents"/>
              <w:bidi w:val="0"/>
              <w:spacing w:before="0" w:after="0"/>
              <w:jc w:val="left"/>
              <w:rPr/>
            </w:pPr>
            <w:r>
              <w:rPr/>
              <w:t> </w:t>
            </w:r>
          </w:p>
        </w:tc>
        <w:tc>
          <w:tcPr>
            <w:tcW w:w="1293"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325"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99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282"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298"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70" w:type="dxa"/>
            <w:tcBorders/>
            <w:shd w:fill="FAFAFA" w:val="clear"/>
            <w:vAlign w:val="center"/>
          </w:tcPr>
          <w:p>
            <w:pPr>
              <w:pStyle w:val="TableContents"/>
              <w:bidi w:val="0"/>
              <w:spacing w:before="0" w:after="0"/>
              <w:jc w:val="left"/>
              <w:rPr/>
            </w:pPr>
            <w:r>
              <w:rPr/>
              <w:t> </w:t>
            </w:r>
          </w:p>
        </w:tc>
        <w:tc>
          <w:tcPr>
            <w:tcW w:w="1914" w:type="dxa"/>
            <w:tcBorders/>
            <w:shd w:fill="FAFAFA" w:val="clear"/>
            <w:vAlign w:val="center"/>
          </w:tcPr>
          <w:p>
            <w:pPr>
              <w:pStyle w:val="TableContents"/>
              <w:bidi w:val="0"/>
              <w:spacing w:before="0" w:after="0"/>
              <w:jc w:val="left"/>
              <w:rPr/>
            </w:pPr>
            <w:r>
              <w:rPr/>
              <w:t> </w:t>
            </w:r>
          </w:p>
        </w:tc>
        <w:tc>
          <w:tcPr>
            <w:tcW w:w="218" w:type="dxa"/>
            <w:tcBorders/>
            <w:shd w:fill="FAFAFA"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8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In accordance with SEC rules, amounts in this column reflect the aggregate grant date fair value of stock options computed in accordance with ASC Topic 718, rather than the amounts paid or realized by the named executive officer. For a discussion of valuation assumptions, see Note 9 and the section titled “Stock-based Compensation” to our financial statements included in our Annual Report on Form 10-K for the year ended December 31, 2024.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5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Calculated using the closing price of our common stock on NASDAQ on February 22, 2024 and February 23, 2024, of $3.93 and $3.93, per share, respectively.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5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Calculated using the closing price of our common stock on NASDAQ on October 7, 2024 and October 8, 2024, of $0.429 and $0.4228, per share, respectively.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23" w:name="ny20044300x2_def14a_112-security_pg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24" w:name="tSOCB"/>
      <w:bookmarkEnd w:id="124"/>
      <w:r>
        <w:rPr>
          <w:rFonts w:ascii="Times;Georgia" w:hAnsi="Times;Georgia"/>
          <w:color w:val="255993"/>
          <w:sz w:val="64"/>
        </w:rPr>
        <w:t>Security Ownership of Certain</w:t>
      </w:r>
    </w:p>
    <w:p>
      <w:pPr>
        <w:pStyle w:val="TextBody"/>
        <w:bidi w:val="0"/>
        <w:spacing w:before="0" w:after="283"/>
        <w:ind w:left="0" w:right="0" w:hanging="0"/>
        <w:jc w:val="left"/>
        <w:rPr>
          <w:rFonts w:ascii="Times;Georgia" w:hAnsi="Times;Georgia"/>
          <w:color w:val="255993"/>
          <w:sz w:val="64"/>
        </w:rPr>
      </w:pPr>
      <w:r>
        <w:rPr>
          <w:rFonts w:ascii="Times;Georgia" w:hAnsi="Times;Georgia"/>
          <w:color w:val="255993"/>
          <w:sz w:val="64"/>
        </w:rPr>
        <w:t>Beneficial Owners and Management</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The following table sets forth the beneficial ownership of our common stock as of April 4, 2025 by: </w:t>
      </w:r>
    </w:p>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255993"/>
              </w:rPr>
            </w:pPr>
            <w:r>
              <w:rPr>
                <w:color w:val="255993"/>
              </w:rPr>
              <w:t>•</w:t>
            </w:r>
          </w:p>
        </w:tc>
        <w:tc>
          <w:tcPr>
            <w:tcW w:w="975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each person, or group of affiliated persons, who is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255993"/>
              </w:rPr>
            </w:pPr>
            <w:r>
              <w:rPr>
                <w:color w:val="255993"/>
              </w:rPr>
              <w:t>•</w:t>
            </w:r>
          </w:p>
        </w:tc>
        <w:tc>
          <w:tcPr>
            <w:tcW w:w="315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each of our named executive officers; </w:t>
            </w:r>
          </w:p>
        </w:tc>
      </w:tr>
    </w:tbl>
    <w:tbl>
      <w:tblPr>
        <w:tblW w:w="2335" w:type="dxa"/>
        <w:jc w:val="left"/>
        <w:tblInd w:w="0" w:type="dxa"/>
        <w:tblLayout w:type="fixed"/>
        <w:tblCellMar>
          <w:top w:w="0" w:type="dxa"/>
          <w:left w:w="0" w:type="dxa"/>
          <w:bottom w:w="0" w:type="dxa"/>
          <w:right w:w="0" w:type="dxa"/>
        </w:tblCellMar>
      </w:tblPr>
      <w:tblGrid>
        <w:gridCol w:w="140"/>
        <w:gridCol w:w="2195"/>
      </w:tblGrid>
      <w:tr>
        <w:trPr/>
        <w:tc>
          <w:tcPr>
            <w:tcW w:w="140" w:type="dxa"/>
            <w:tcBorders/>
            <w:vAlign w:val="center"/>
          </w:tcPr>
          <w:p>
            <w:pPr>
              <w:pStyle w:val="TableContents"/>
              <w:bidi w:val="0"/>
              <w:spacing w:before="0" w:after="0"/>
              <w:jc w:val="left"/>
              <w:rPr>
                <w:color w:val="255993"/>
              </w:rPr>
            </w:pPr>
            <w:r>
              <w:rPr>
                <w:color w:val="255993"/>
              </w:rPr>
              <w:t>•</w:t>
            </w:r>
          </w:p>
        </w:tc>
        <w:tc>
          <w:tcPr>
            <w:tcW w:w="219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each of our directors;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255993"/>
              </w:rPr>
            </w:pPr>
            <w:r>
              <w:rPr>
                <w:color w:val="255993"/>
              </w:rPr>
              <w:t>•</w:t>
            </w:r>
          </w:p>
        </w:tc>
        <w:tc>
          <w:tcPr>
            <w:tcW w:w="435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all of our executive officers and directors as a group.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percentage of beneficial ownership shown in the table is based upon 39,042,445 shares of common stock outstanding as of April 4, 2025. </w:t>
      </w:r>
    </w:p>
    <w:p>
      <w:pPr>
        <w:pStyle w:val="TextBody"/>
        <w:bidi w:val="0"/>
        <w:spacing w:before="160" w:after="283"/>
        <w:ind w:left="0" w:right="0" w:hanging="0"/>
        <w:jc w:val="left"/>
        <w:rPr>
          <w:rFonts w:ascii="Arial" w:hAnsi="Arial"/>
          <w:color w:val="000000"/>
          <w:sz w:val="18"/>
        </w:rPr>
      </w:pPr>
      <w:r>
        <w:rPr>
          <w:rFonts w:ascii="Arial" w:hAnsi="Arial"/>
          <w:color w:val="000000"/>
          <w:sz w:val="18"/>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hAnsi="Arial"/>
          <w:color w:val="000000"/>
          <w:position w:val="6"/>
          <w:sz w:val="14"/>
          <w:sz w:val="18"/>
        </w:rPr>
        <w:t>th</w:t>
      </w:r>
      <w:r>
        <w:rPr>
          <w:rFonts w:ascii="Arial" w:hAnsi="Arial"/>
          <w:color w:val="000000"/>
          <w:sz w:val="18"/>
        </w:rPr>
        <w:t xml:space="preserve"> day after April 4, 2025.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Except as otherwise noted below, the address for each person or entity listed in the table is c/o Athira Pharma, Inc., 18706 North Creek Parkway, Suite 104, Bothell, Washington 98011.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25" w:name="ny20044300x2_def14a_112-security_pg2"/>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right"/>
        <w:rPr>
          <w:rFonts w:ascii="Arial" w:hAnsi="Arial"/>
          <w:color w:val="255993"/>
          <w:sz w:val="16"/>
        </w:rPr>
      </w:pPr>
      <w:r>
        <w:rPr>
          <w:rFonts w:ascii="Arial" w:hAnsi="Arial"/>
          <w:color w:val="255993"/>
          <w:sz w:val="16"/>
        </w:rPr>
        <w:t>Security Ownership of Certain Beneficial Owners and Management</w:t>
      </w:r>
    </w:p>
    <w:tbl>
      <w:tblPr>
        <w:tblW w:w="10205" w:type="dxa"/>
        <w:jc w:val="left"/>
        <w:tblInd w:w="0" w:type="dxa"/>
        <w:tblLayout w:type="fixed"/>
        <w:tblCellMar>
          <w:top w:w="0" w:type="dxa"/>
          <w:left w:w="0" w:type="dxa"/>
          <w:bottom w:w="0" w:type="dxa"/>
          <w:right w:w="0" w:type="dxa"/>
        </w:tblCellMar>
      </w:tblPr>
      <w:tblGrid>
        <w:gridCol w:w="185"/>
        <w:gridCol w:w="7109"/>
        <w:gridCol w:w="170"/>
        <w:gridCol w:w="170"/>
        <w:gridCol w:w="934"/>
        <w:gridCol w:w="170"/>
        <w:gridCol w:w="170"/>
        <w:gridCol w:w="1081"/>
        <w:gridCol w:w="216"/>
      </w:tblGrid>
      <w:tr>
        <w:trPr/>
        <w:tc>
          <w:tcPr>
            <w:tcW w:w="185" w:type="dxa"/>
            <w:tcBorders/>
            <w:shd w:fill="255993" w:val="clear"/>
            <w:vAlign w:val="center"/>
          </w:tcPr>
          <w:p>
            <w:pPr>
              <w:pStyle w:val="TableContents"/>
              <w:bidi w:val="0"/>
              <w:spacing w:before="0" w:after="0"/>
              <w:jc w:val="left"/>
              <w:rPr/>
            </w:pPr>
            <w:r>
              <w:rPr/>
              <w:t> </w:t>
            </w:r>
          </w:p>
        </w:tc>
        <w:tc>
          <w:tcPr>
            <w:tcW w:w="7109"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2355" w:type="dxa"/>
            <w:gridSpan w:val="4"/>
            <w:tcBorders/>
            <w:shd w:fill="255993" w:val="clear"/>
            <w:vAlign w:val="center"/>
          </w:tcPr>
          <w:p>
            <w:pPr>
              <w:pStyle w:val="TableContents"/>
              <w:bidi w:val="0"/>
              <w:spacing w:before="0" w:after="0"/>
              <w:jc w:val="left"/>
              <w:rPr/>
            </w:pPr>
            <w:r>
              <w:rPr/>
              <w:t> </w:t>
            </w:r>
          </w:p>
        </w:tc>
        <w:tc>
          <w:tcPr>
            <w:tcW w:w="216" w:type="dxa"/>
            <w:tcBorders/>
            <w:shd w:fill="255993" w:val="clear"/>
            <w:vAlign w:val="center"/>
          </w:tcPr>
          <w:p>
            <w:pPr>
              <w:pStyle w:val="TableContents"/>
              <w:bidi w:val="0"/>
              <w:spacing w:before="0" w:after="0"/>
              <w:jc w:val="left"/>
              <w:rPr/>
            </w:pPr>
            <w:r>
              <w:rPr/>
              <w:t> </w:t>
            </w:r>
          </w:p>
        </w:tc>
      </w:tr>
      <w:tr>
        <w:trPr/>
        <w:tc>
          <w:tcPr>
            <w:tcW w:w="185" w:type="dxa"/>
            <w:tcBorders/>
            <w:shd w:fill="255993" w:val="clear"/>
            <w:vAlign w:val="center"/>
          </w:tcPr>
          <w:p>
            <w:pPr>
              <w:pStyle w:val="TableContents"/>
              <w:bidi w:val="0"/>
              <w:spacing w:before="0" w:after="0"/>
              <w:jc w:val="left"/>
              <w:rPr/>
            </w:pPr>
            <w:r>
              <w:rPr/>
              <w:t> </w:t>
            </w:r>
          </w:p>
        </w:tc>
        <w:tc>
          <w:tcPr>
            <w:tcW w:w="7109" w:type="dxa"/>
            <w:tcBorders/>
            <w:shd w:fill="255993" w:val="clear"/>
            <w:vAlign w:val="center"/>
          </w:tcPr>
          <w:p>
            <w:pPr>
              <w:pStyle w:val="TableContents"/>
              <w:bidi w:val="0"/>
              <w:spacing w:before="0" w:after="283"/>
              <w:ind w:left="70" w:right="0" w:hanging="0"/>
              <w:jc w:val="left"/>
              <w:rPr>
                <w:color w:val="FFFFFF"/>
              </w:rPr>
            </w:pPr>
            <w:r>
              <w:rPr>
                <w:color w:val="FFFFFF"/>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2355" w:type="dxa"/>
            <w:gridSpan w:val="4"/>
            <w:tcBorders/>
            <w:shd w:fill="255993" w:val="clear"/>
            <w:vAlign w:val="center"/>
          </w:tcPr>
          <w:p>
            <w:pPr>
              <w:pStyle w:val="TableContents"/>
              <w:bidi w:val="0"/>
              <w:spacing w:before="0" w:after="283"/>
              <w:jc w:val="right"/>
              <w:rPr>
                <w:rFonts w:ascii="Arial" w:hAnsi="Arial"/>
                <w:b/>
                <w:color w:val="FFFFFF"/>
                <w:sz w:val="18"/>
                <w:bdr w:val="single" w:sz="8" w:space="3" w:color="FFFFFF"/>
              </w:rPr>
            </w:pPr>
            <w:r>
              <w:rPr>
                <w:rFonts w:ascii="Arial" w:hAnsi="Arial"/>
                <w:b/>
                <w:color w:val="FFFFFF"/>
                <w:sz w:val="18"/>
                <w:bdr w:val="single" w:sz="8" w:space="3" w:color="FFFFFF"/>
              </w:rPr>
              <w:t>Shares Beneficially Owned</w:t>
            </w:r>
          </w:p>
        </w:tc>
        <w:tc>
          <w:tcPr>
            <w:tcW w:w="216"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255993" w:val="clear"/>
            <w:tcMar>
              <w:bottom w:w="47" w:type="dxa"/>
            </w:tcMar>
            <w:vAlign w:val="center"/>
          </w:tcPr>
          <w:p>
            <w:pPr>
              <w:pStyle w:val="TableContents"/>
              <w:bidi w:val="0"/>
              <w:spacing w:before="0" w:after="283"/>
              <w:ind w:left="70" w:right="0" w:hanging="0"/>
              <w:jc w:val="left"/>
              <w:rPr>
                <w:color w:val="FFFFFF"/>
              </w:rPr>
            </w:pPr>
            <w:r>
              <w:rPr>
                <w:color w:val="FFFFFF"/>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255993" w:val="clear"/>
            <w:tcMar>
              <w:bottom w:w="47"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Number of</w:t>
            </w:r>
          </w:p>
          <w:p>
            <w:pPr>
              <w:pStyle w:val="TableContents"/>
              <w:bidi w:val="0"/>
              <w:spacing w:before="0" w:after="283"/>
              <w:jc w:val="right"/>
              <w:rPr>
                <w:rFonts w:ascii="Arial" w:hAnsi="Arial"/>
                <w:b/>
                <w:color w:val="FFFFFF"/>
                <w:sz w:val="18"/>
              </w:rPr>
            </w:pPr>
            <w:r>
              <w:rPr>
                <w:rFonts w:ascii="Arial" w:hAnsi="Arial"/>
                <w:b/>
                <w:color w:val="FFFFFF"/>
                <w:sz w:val="18"/>
              </w:rPr>
              <w:t>Shares</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255993" w:val="clear"/>
            <w:tcMar>
              <w:bottom w:w="47"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 xml:space="preserve">Percentage </w:t>
            </w:r>
          </w:p>
          <w:p>
            <w:pPr>
              <w:pStyle w:val="TableContents"/>
              <w:bidi w:val="0"/>
              <w:spacing w:before="0" w:after="283"/>
              <w:jc w:val="right"/>
              <w:rPr>
                <w:rFonts w:ascii="Arial" w:hAnsi="Arial"/>
                <w:b/>
                <w:color w:val="FFFFFF"/>
                <w:sz w:val="18"/>
              </w:rPr>
            </w:pPr>
            <w:r>
              <w:rPr>
                <w:rFonts w:ascii="Arial" w:hAnsi="Arial"/>
                <w:b/>
                <w:color w:val="FFFFFF"/>
                <w:sz w:val="18"/>
              </w:rPr>
              <w:t xml:space="preserve">(%) </w:t>
            </w:r>
          </w:p>
        </w:tc>
        <w:tc>
          <w:tcPr>
            <w:tcW w:w="216"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804" w:type="dxa"/>
            <w:gridSpan w:val="7"/>
            <w:tcBorders>
              <w:bottom w:val="single" w:sz="8" w:space="0" w:color="FFFFFF"/>
            </w:tcBorders>
            <w:shd w:fill="EBEBEB" w:val="clear"/>
            <w:tcMar>
              <w:bottom w:w="47" w:type="dxa"/>
            </w:tcMar>
            <w:vAlign w:val="center"/>
          </w:tcPr>
          <w:p>
            <w:pPr>
              <w:pStyle w:val="TableContents"/>
              <w:bidi w:val="0"/>
              <w:spacing w:before="0" w:after="283"/>
              <w:ind w:left="70" w:right="0" w:hanging="0"/>
              <w:jc w:val="left"/>
              <w:rPr>
                <w:rFonts w:ascii="Arial" w:hAnsi="Arial"/>
                <w:b/>
                <w:color w:val="255993"/>
                <w:sz w:val="18"/>
              </w:rPr>
            </w:pPr>
            <w:r>
              <w:rPr>
                <w:rFonts w:ascii="Arial" w:hAnsi="Arial"/>
                <w:b/>
                <w:color w:val="255993"/>
                <w:sz w:val="18"/>
              </w:rPr>
              <w:t>5% AND GREATER STOCKHOLDERS:</w:t>
            </w:r>
            <w:r>
              <w:rPr>
                <w:rFonts w:ascii="Arial" w:hAnsi="Arial"/>
                <w:b/>
                <w:color w:val="000000"/>
                <w:sz w:val="18"/>
              </w:rPr>
              <w:t xml:space="preserve">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Perceptive Life Sciences Master Fund Ltd.</w:t>
            </w:r>
            <w:r>
              <w:rPr>
                <w:rFonts w:ascii="Arial" w:hAnsi="Arial"/>
                <w:b/>
                <w:color w:val="000000"/>
                <w:position w:val="5"/>
                <w:sz w:val="13"/>
                <w:sz w:val="16"/>
              </w:rPr>
              <w:t>(1)</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5,402,964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13.8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BML Investment Partners, L.P.</w:t>
            </w:r>
            <w:r>
              <w:rPr>
                <w:rFonts w:ascii="Arial" w:hAnsi="Arial"/>
                <w:b/>
                <w:color w:val="000000"/>
                <w:position w:val="5"/>
                <w:sz w:val="13"/>
                <w:sz w:val="16"/>
              </w:rPr>
              <w:t>(2)</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3,027,163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7.8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47" w:type="dxa"/>
            </w:tcMar>
            <w:vAlign w:val="center"/>
          </w:tcPr>
          <w:p>
            <w:pPr>
              <w:pStyle w:val="TableContents"/>
              <w:bidi w:val="0"/>
              <w:spacing w:before="0" w:after="283"/>
              <w:ind w:left="70" w:right="0" w:hanging="0"/>
              <w:jc w:val="left"/>
              <w:rPr>
                <w:rFonts w:ascii="Arial" w:hAnsi="Arial"/>
                <w:b/>
                <w:color w:val="255993"/>
                <w:sz w:val="18"/>
              </w:rPr>
            </w:pPr>
            <w:r>
              <w:rPr>
                <w:rFonts w:ascii="Arial" w:hAnsi="Arial"/>
                <w:b/>
                <w:color w:val="255993"/>
                <w:sz w:val="18"/>
              </w:rPr>
              <w:t>NAMED EXECUTIVE OFFICERS AND DIRECTORS:</w:t>
            </w:r>
            <w:r>
              <w:rPr>
                <w:rFonts w:ascii="Arial" w:hAnsi="Arial"/>
                <w:b/>
                <w:color w:val="000000"/>
                <w:sz w:val="18"/>
              </w:rPr>
              <w:t xml:space="preserve">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47"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47" w:type="dxa"/>
            </w:tcMar>
            <w:vAlign w:val="center"/>
          </w:tcPr>
          <w:p>
            <w:pPr>
              <w:pStyle w:val="TableContents"/>
              <w:bidi w:val="0"/>
              <w:spacing w:before="0" w:after="283"/>
              <w:jc w:val="right"/>
              <w:rPr>
                <w:color w:val="000000"/>
              </w:rPr>
            </w:pPr>
            <w:r>
              <w:rPr>
                <w:color w:val="000000"/>
              </w:rPr>
              <w:t>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Mark Litton</w:t>
            </w:r>
            <w:r>
              <w:rPr>
                <w:rFonts w:ascii="Arial" w:hAnsi="Arial"/>
                <w:b/>
                <w:color w:val="000000"/>
                <w:position w:val="5"/>
                <w:sz w:val="13"/>
                <w:sz w:val="16"/>
              </w:rPr>
              <w:t>(3)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1,491,027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3.7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Kevin Church</w:t>
            </w:r>
            <w:r>
              <w:rPr>
                <w:rFonts w:ascii="Arial" w:hAnsi="Arial"/>
                <w:b/>
                <w:color w:val="000000"/>
                <w:position w:val="5"/>
                <w:sz w:val="13"/>
                <w:sz w:val="16"/>
              </w:rPr>
              <w:t>(4)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531,654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Mark Worthington</w:t>
            </w:r>
            <w:r>
              <w:rPr>
                <w:rFonts w:ascii="Arial" w:hAnsi="Arial"/>
                <w:b/>
                <w:color w:val="000000"/>
                <w:position w:val="5"/>
                <w:sz w:val="13"/>
                <w:sz w:val="16"/>
              </w:rPr>
              <w:t>(5)</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586,187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Andrew Gengos</w:t>
            </w:r>
            <w:r>
              <w:rPr>
                <w:rFonts w:ascii="Arial" w:hAnsi="Arial"/>
                <w:b/>
                <w:color w:val="000000"/>
                <w:position w:val="5"/>
                <w:sz w:val="13"/>
                <w:sz w:val="16"/>
              </w:rPr>
              <w:t>(6)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97,532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Rachel Lenington</w:t>
            </w:r>
            <w:r>
              <w:rPr>
                <w:rFonts w:ascii="Arial" w:hAnsi="Arial"/>
                <w:b/>
                <w:color w:val="000000"/>
                <w:position w:val="5"/>
                <w:sz w:val="13"/>
                <w:sz w:val="16"/>
              </w:rPr>
              <w:t>(7)</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20,870</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Joseph Edelman</w:t>
            </w:r>
            <w:r>
              <w:rPr>
                <w:rFonts w:ascii="Arial" w:hAnsi="Arial"/>
                <w:b/>
                <w:color w:val="000000"/>
                <w:position w:val="5"/>
                <w:sz w:val="13"/>
                <w:sz w:val="16"/>
              </w:rPr>
              <w:t>(8)</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5,500,248</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14.1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John M. Fluke, Jr.</w:t>
            </w:r>
            <w:r>
              <w:rPr>
                <w:rFonts w:ascii="Arial" w:hAnsi="Arial"/>
                <w:b/>
                <w:color w:val="000000"/>
                <w:position w:val="5"/>
                <w:sz w:val="13"/>
                <w:sz w:val="16"/>
              </w:rPr>
              <w:t>(9)</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245,899</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James A. Johnson</w:t>
            </w:r>
            <w:r>
              <w:rPr>
                <w:rFonts w:ascii="Arial" w:hAnsi="Arial"/>
                <w:b/>
                <w:color w:val="000000"/>
                <w:position w:val="5"/>
                <w:sz w:val="13"/>
                <w:sz w:val="16"/>
              </w:rPr>
              <w:t>(10)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color w:val="000000"/>
              </w:rPr>
            </w:pPr>
            <w:r>
              <w:rPr>
                <w:color w:val="000000"/>
              </w:rPr>
              <w:t>​</w:t>
            </w:r>
            <w:r>
              <w:rPr>
                <w:rFonts w:ascii="Arial" w:hAnsi="Arial"/>
                <w:color w:val="000000"/>
                <w:sz w:val="16"/>
              </w:rPr>
              <w:t>102,284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Barbara Kosacz</w:t>
            </w:r>
            <w:r>
              <w:rPr>
                <w:rFonts w:ascii="Arial" w:hAnsi="Arial"/>
                <w:b/>
                <w:color w:val="000000"/>
                <w:position w:val="5"/>
                <w:sz w:val="13"/>
                <w:sz w:val="16"/>
              </w:rPr>
              <w:t>(11)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color w:val="000000"/>
              </w:rPr>
            </w:pPr>
            <w:r>
              <w:rPr>
                <w:color w:val="000000"/>
              </w:rPr>
              <w:t>​</w:t>
            </w:r>
            <w:r>
              <w:rPr>
                <w:rFonts w:ascii="Arial" w:hAnsi="Arial"/>
                <w:color w:val="000000"/>
                <w:sz w:val="16"/>
              </w:rPr>
              <w:t>83,413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Kelly A. Romano</w:t>
            </w:r>
            <w:r>
              <w:rPr>
                <w:rFonts w:ascii="Arial" w:hAnsi="Arial"/>
                <w:b/>
                <w:color w:val="000000"/>
                <w:position w:val="5"/>
                <w:sz w:val="13"/>
                <w:sz w:val="16"/>
              </w:rPr>
              <w:t>(12)</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color w:val="000000"/>
              </w:rPr>
            </w:pPr>
            <w:r>
              <w:rPr>
                <w:color w:val="000000"/>
              </w:rPr>
              <w:t>​</w:t>
            </w:r>
            <w:r>
              <w:rPr>
                <w:rFonts w:ascii="Arial" w:hAnsi="Arial"/>
                <w:color w:val="000000"/>
                <w:sz w:val="16"/>
              </w:rPr>
              <w:t>164,128</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EBEBEB"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Grant Pickering</w:t>
            </w:r>
            <w:r>
              <w:rPr>
                <w:rFonts w:ascii="Arial" w:hAnsi="Arial"/>
                <w:b/>
                <w:color w:val="000000"/>
                <w:position w:val="5"/>
                <w:sz w:val="13"/>
                <w:sz w:val="16"/>
              </w:rPr>
              <w:t>(13)</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EBEBEB" w:val="clear"/>
            <w:tcMar>
              <w:bottom w:w="50" w:type="dxa"/>
            </w:tcMar>
            <w:vAlign w:val="center"/>
          </w:tcPr>
          <w:p>
            <w:pPr>
              <w:pStyle w:val="TableContents"/>
              <w:bidi w:val="0"/>
              <w:spacing w:before="0" w:after="283"/>
              <w:jc w:val="right"/>
              <w:rPr>
                <w:color w:val="000000"/>
              </w:rPr>
            </w:pPr>
            <w:r>
              <w:rPr>
                <w:color w:val="000000"/>
              </w:rPr>
              <w:t>​</w:t>
            </w:r>
            <w:r>
              <w:rPr>
                <w:rFonts w:ascii="Arial" w:hAnsi="Arial"/>
                <w:color w:val="000000"/>
                <w:sz w:val="16"/>
              </w:rPr>
              <w:t>98,792</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EBEBEB"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7109" w:type="dxa"/>
            <w:tcBorders>
              <w:bottom w:val="single" w:sz="8" w:space="0" w:color="FFFFFF"/>
            </w:tcBorders>
            <w:shd w:fill="FAFAFA" w:val="clear"/>
            <w:tcMar>
              <w:bottom w:w="50" w:type="dxa"/>
            </w:tcMar>
            <w:vAlign w:val="center"/>
          </w:tcPr>
          <w:p>
            <w:pPr>
              <w:pStyle w:val="TableContents"/>
              <w:bidi w:val="0"/>
              <w:spacing w:before="0" w:after="283"/>
              <w:ind w:left="70" w:right="0" w:hanging="0"/>
              <w:jc w:val="left"/>
              <w:rPr>
                <w:rFonts w:ascii="Arial" w:hAnsi="Arial"/>
                <w:b/>
                <w:color w:val="000000"/>
                <w:sz w:val="16"/>
              </w:rPr>
            </w:pPr>
            <w:r>
              <w:rPr>
                <w:rFonts w:ascii="Arial" w:hAnsi="Arial"/>
                <w:b/>
                <w:color w:val="000000"/>
                <w:sz w:val="16"/>
              </w:rPr>
              <w:t>Michael Panzara</w:t>
            </w:r>
            <w:r>
              <w:rPr>
                <w:rFonts w:ascii="Arial" w:hAnsi="Arial"/>
                <w:b/>
                <w:color w:val="000000"/>
                <w:position w:val="5"/>
                <w:sz w:val="13"/>
                <w:sz w:val="16"/>
              </w:rPr>
              <w:t>(14)</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934" w:type="dxa"/>
            <w:tcBorders>
              <w:bottom w:val="single" w:sz="8" w:space="0" w:color="FFFFFF"/>
            </w:tcBorders>
            <w:shd w:fill="FAFAFA" w:val="clear"/>
            <w:tcMar>
              <w:bottom w:w="50" w:type="dxa"/>
            </w:tcMar>
            <w:vAlign w:val="center"/>
          </w:tcPr>
          <w:p>
            <w:pPr>
              <w:pStyle w:val="TableContents"/>
              <w:bidi w:val="0"/>
              <w:spacing w:before="0" w:after="283"/>
              <w:jc w:val="right"/>
              <w:rPr>
                <w:color w:val="000000"/>
              </w:rPr>
            </w:pPr>
            <w:r>
              <w:rPr>
                <w:color w:val="000000"/>
              </w:rPr>
              <w:t>​</w:t>
            </w:r>
            <w:r>
              <w:rPr>
                <w:rFonts w:ascii="Arial" w:hAnsi="Arial"/>
                <w:color w:val="000000"/>
                <w:sz w:val="16"/>
              </w:rPr>
              <w:t>71,853</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081" w:type="dxa"/>
            <w:tcBorders>
              <w:bottom w:val="single" w:sz="8" w:space="0" w:color="FFFFFF"/>
            </w:tcBorders>
            <w:shd w:fill="FAFAFA" w:val="clear"/>
            <w:tcMar>
              <w:bottom w:w="5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 </w:t>
            </w:r>
          </w:p>
        </w:tc>
        <w:tc>
          <w:tcPr>
            <w:tcW w:w="216"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7109" w:type="dxa"/>
            <w:tcBorders/>
            <w:shd w:fill="EBEBEB" w:val="clear"/>
            <w:vAlign w:val="center"/>
          </w:tcPr>
          <w:p>
            <w:pPr>
              <w:pStyle w:val="TableContents"/>
              <w:bidi w:val="0"/>
              <w:spacing w:before="0" w:after="283"/>
              <w:ind w:left="70" w:right="0" w:hanging="0"/>
              <w:jc w:val="left"/>
              <w:rPr>
                <w:rFonts w:ascii="Arial" w:hAnsi="Arial"/>
                <w:b/>
                <w:color w:val="255993"/>
                <w:sz w:val="18"/>
              </w:rPr>
            </w:pPr>
            <w:r>
              <w:rPr>
                <w:rFonts w:ascii="Arial" w:hAnsi="Arial"/>
                <w:b/>
                <w:color w:val="255993"/>
                <w:sz w:val="18"/>
              </w:rPr>
              <w:t>ALL CURRENT DIRECTORS AND EXECUTIVE OFFICERS AS A GROUP (12 PERSONS)</w:t>
            </w:r>
            <w:r>
              <w:rPr>
                <w:rFonts w:ascii="Arial" w:hAnsi="Arial"/>
                <w:b w:val="false"/>
                <w:color w:val="255993"/>
                <w:position w:val="6"/>
                <w:sz w:val="14"/>
                <w:sz w:val="18"/>
              </w:rPr>
              <w:t>(15)</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934" w:type="dxa"/>
            <w:tcBorders/>
            <w:shd w:fill="EBEBEB" w:val="clear"/>
            <w:vAlign w:val="center"/>
          </w:tcPr>
          <w:p>
            <w:pPr>
              <w:pStyle w:val="TableContents"/>
              <w:bidi w:val="0"/>
              <w:spacing w:before="0" w:after="283"/>
              <w:jc w:val="right"/>
              <w:rPr>
                <w:rFonts w:ascii="Arial" w:hAnsi="Arial"/>
                <w:b/>
                <w:color w:val="255993"/>
                <w:sz w:val="16"/>
              </w:rPr>
            </w:pPr>
            <w:r>
              <w:rPr>
                <w:rFonts w:ascii="Arial" w:hAnsi="Arial"/>
                <w:b/>
                <w:color w:val="255993"/>
                <w:sz w:val="16"/>
              </w:rPr>
              <w:t>9,319,914</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081" w:type="dxa"/>
            <w:tcBorders/>
            <w:shd w:fill="EBEBEB" w:val="clear"/>
            <w:vAlign w:val="center"/>
          </w:tcPr>
          <w:p>
            <w:pPr>
              <w:pStyle w:val="TableContents"/>
              <w:bidi w:val="0"/>
              <w:spacing w:before="0" w:after="283"/>
              <w:jc w:val="right"/>
              <w:rPr>
                <w:rFonts w:ascii="Arial" w:hAnsi="Arial"/>
                <w:b/>
                <w:color w:val="255993"/>
                <w:sz w:val="16"/>
              </w:rPr>
            </w:pPr>
            <w:r>
              <w:rPr>
                <w:rFonts w:ascii="Arial" w:hAnsi="Arial"/>
                <w:b/>
                <w:color w:val="255993"/>
                <w:sz w:val="16"/>
              </w:rPr>
              <w:t>22.1</w:t>
            </w:r>
          </w:p>
        </w:tc>
        <w:tc>
          <w:tcPr>
            <w:tcW w:w="216"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7109"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934"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081" w:type="dxa"/>
            <w:tcBorders/>
            <w:shd w:fill="EBEBEB" w:val="clear"/>
            <w:vAlign w:val="center"/>
          </w:tcPr>
          <w:p>
            <w:pPr>
              <w:pStyle w:val="TableContents"/>
              <w:bidi w:val="0"/>
              <w:spacing w:before="0" w:after="0"/>
              <w:jc w:val="left"/>
              <w:rPr/>
            </w:pPr>
            <w:r>
              <w:rPr/>
              <w:t> </w:t>
            </w:r>
          </w:p>
        </w:tc>
        <w:tc>
          <w:tcPr>
            <w:tcW w:w="216" w:type="dxa"/>
            <w:tcBorders/>
            <w:shd w:fill="EBEBEB" w:val="clear"/>
            <w:vAlign w:val="center"/>
          </w:tcPr>
          <w:p>
            <w:pPr>
              <w:pStyle w:val="TableContents"/>
              <w:bidi w:val="0"/>
              <w:spacing w:before="0" w:after="0"/>
              <w:jc w:val="left"/>
              <w:rPr/>
            </w:pPr>
            <w:r>
              <w:rPr/>
              <w:t>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w:t>
            </w:r>
          </w:p>
        </w:tc>
        <w:tc>
          <w:tcPr>
            <w:tcW w:w="618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Represents beneficial ownership of less than 1% of our outstanding common stock.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99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Based on the Schedule 13D/A filed with the SEC on October 31, 2024. Consists of 5,402,964 shares held of record by Perceptive Life Sciences Master Fund Ltd.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8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Based on the Schedule 13G filed with the SEC on February 14, 2025. Consists of 2,775,885 shares held of record by BML Investment Partners, L.P. and 251,278 shares for which Braden M Leonard holds sole voting and dispositive power. The address and principal office of BML Investment Partners, L.P. is 65 E Cedar, Suite 2, Zionsville, IN 46077.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8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242,591 shares held of record by Dr. Litton, 6,563 shares held by Irrevocable Trust of OSL, 6,563 shares held by Irrevocable Trust of SWL, and 6,563 shares held by Irrevocable Trust of WGL, each irrevocable trust is for the benefit of Dr. Litton’s children, and options to purchase 1,228,747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(4)</w:t>
            </w:r>
          </w:p>
        </w:tc>
        <w:tc>
          <w:tcPr>
            <w:tcW w:w="994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130,761 shares held by Dr. Church and options to purchase 400,893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(5)</w:t>
            </w:r>
          </w:p>
        </w:tc>
        <w:tc>
          <w:tcPr>
            <w:tcW w:w="994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Consists of 83,724 shares held by Mr. Worthington and options to purchase 502,452 shares that are exercisable within 60 days of April 4, 2025.</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(6)</w:t>
            </w:r>
          </w:p>
        </w:tc>
        <w:tc>
          <w:tcPr>
            <w:tcW w:w="998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Mr. Gengos ceased to be Athira’s chief business officer and chief financial officer on October 1, 2024 and is no longer an executive officer of Athira. Consists of 97,532 shares held by Mr. Gengos as reported on Form 4 filed with the SEC on September 5, 2024. We have limited information about Mr. Gengos’ transactions in Athira’s securities following October 1, 2024</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(7)</w:t>
            </w:r>
          </w:p>
        </w:tc>
        <w:tc>
          <w:tcPr>
            <w:tcW w:w="998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Ms. Lenington ceased to be Athira’s chief operating officer and chief development officer on October 1, 2024 and is no longer an executive officer of Athira. Consists of 20,870 shares held by Ms. Lenington as reported on Form 4 filed with the SEC on September 5, 2024. We have limited information about Ms. Lenington’s transactions in Athira’s securities following October 1, 2024</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(8)</w:t>
            </w:r>
          </w:p>
        </w:tc>
        <w:tc>
          <w:tcPr>
            <w:tcW w:w="995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the shares referenced in footnote (1) above and options to purchase 97,284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(9)</w:t>
            </w:r>
          </w:p>
        </w:tc>
        <w:tc>
          <w:tcPr>
            <w:tcW w:w="996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3,731 shares held of record by Fluke Capital Management, L.P., 144,884 shares held by Mr. Fluke, and options to purchase 97,284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(10)</w:t>
            </w:r>
          </w:p>
        </w:tc>
        <w:tc>
          <w:tcPr>
            <w:tcW w:w="985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5,000 shares held by Mr. Johnson and options to purchase 97,284 shares that are exercisable within 60 days of April 4, 2025. </w:t>
            </w:r>
          </w:p>
        </w:tc>
      </w:tr>
    </w:tbl>
    <w:tbl>
      <w:tblPr>
        <w:tblW w:w="9100" w:type="dxa"/>
        <w:jc w:val="left"/>
        <w:tblInd w:w="0" w:type="dxa"/>
        <w:tblLayout w:type="fixed"/>
        <w:tblCellMar>
          <w:top w:w="0" w:type="dxa"/>
          <w:left w:w="0" w:type="dxa"/>
          <w:bottom w:w="0" w:type="dxa"/>
          <w:right w:w="0" w:type="dxa"/>
        </w:tblCellMar>
      </w:tblPr>
      <w:tblGrid>
        <w:gridCol w:w="350"/>
        <w:gridCol w:w="8750"/>
      </w:tblGrid>
      <w:tr>
        <w:trPr/>
        <w:tc>
          <w:tcPr>
            <w:tcW w:w="3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(11)</w:t>
            </w:r>
          </w:p>
        </w:tc>
        <w:tc>
          <w:tcPr>
            <w:tcW w:w="87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options held by Ms. Kosacz to purchase 83,413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(12)</w:t>
            </w:r>
          </w:p>
        </w:tc>
        <w:tc>
          <w:tcPr>
            <w:tcW w:w="985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80,715 shares held by Ms. Romano and options to purchase 83,413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(13)</w:t>
            </w:r>
          </w:p>
        </w:tc>
        <w:tc>
          <w:tcPr>
            <w:tcW w:w="9858"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25,783 shares held by Mr. Pickering and options to purchase 73,009 shares that are exercisable within 60 days of April 4, 2025. </w:t>
            </w:r>
          </w:p>
        </w:tc>
      </w:tr>
    </w:tbl>
    <w:tbl>
      <w:tblPr>
        <w:tblW w:w="9115" w:type="dxa"/>
        <w:jc w:val="left"/>
        <w:tblInd w:w="0" w:type="dxa"/>
        <w:tblLayout w:type="fixed"/>
        <w:tblCellMar>
          <w:top w:w="0" w:type="dxa"/>
          <w:left w:w="0" w:type="dxa"/>
          <w:bottom w:w="0" w:type="dxa"/>
          <w:right w:w="0" w:type="dxa"/>
        </w:tblCellMar>
      </w:tblPr>
      <w:tblGrid>
        <w:gridCol w:w="350"/>
        <w:gridCol w:w="8765"/>
      </w:tblGrid>
      <w:tr>
        <w:trPr/>
        <w:tc>
          <w:tcPr>
            <w:tcW w:w="35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(14)</w:t>
            </w:r>
          </w:p>
        </w:tc>
        <w:tc>
          <w:tcPr>
            <w:tcW w:w="8765"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options held by Dr. Panzara to purchase 71,853 shares that are exercisable within 60 days of April 4, 2025. </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(15)</w:t>
            </w:r>
          </w:p>
        </w:tc>
        <w:tc>
          <w:tcPr>
            <w:tcW w:w="9874"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Consists of 6,265,418 shares held by our current directors and executive officers as a group and options to purchase 3,054,496 shares that are exercisable within 60 days of April 4, 2025. </w:t>
            </w:r>
          </w:p>
        </w:tc>
      </w:tr>
    </w:tbl>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26" w:name="ny20044300x2_def14a_112-security_pg3"/>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lineRule="atLeast" w:line="610" w:before="430" w:after="283"/>
        <w:ind w:left="0" w:right="0" w:hanging="0"/>
        <w:jc w:val="left"/>
        <w:rPr>
          <w:rFonts w:ascii="Times;Georgia" w:hAnsi="Times;Georgia"/>
          <w:color w:val="255993"/>
          <w:sz w:val="64"/>
        </w:rPr>
      </w:pPr>
      <w:bookmarkStart w:id="127" w:name="tSAIU"/>
      <w:bookmarkEnd w:id="127"/>
      <w:r>
        <w:rPr>
          <w:rFonts w:ascii="Times;Georgia" w:hAnsi="Times;Georgia"/>
          <w:color w:val="255993"/>
          <w:sz w:val="64"/>
        </w:rPr>
        <w:t xml:space="preserve">Securities Authorized for Issuance Under Equity Compensation Plans </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The following table summarizes information about our equity compensation plans as of December 31, 2024. All outstanding awards relate to our common stock. </w:t>
      </w:r>
    </w:p>
    <w:tbl>
      <w:tblPr>
        <w:tblW w:w="8295" w:type="dxa"/>
        <w:jc w:val="left"/>
        <w:tblInd w:w="0" w:type="dxa"/>
        <w:tblLayout w:type="fixed"/>
        <w:tblCellMar>
          <w:top w:w="0" w:type="dxa"/>
          <w:left w:w="0" w:type="dxa"/>
          <w:bottom w:w="0" w:type="dxa"/>
          <w:right w:w="0" w:type="dxa"/>
        </w:tblCellMar>
      </w:tblPr>
      <w:tblGrid>
        <w:gridCol w:w="185"/>
        <w:gridCol w:w="2870"/>
        <w:gridCol w:w="170"/>
        <w:gridCol w:w="170"/>
        <w:gridCol w:w="1595"/>
        <w:gridCol w:w="170"/>
        <w:gridCol w:w="170"/>
        <w:gridCol w:w="1115"/>
        <w:gridCol w:w="170"/>
        <w:gridCol w:w="170"/>
        <w:gridCol w:w="1295"/>
        <w:gridCol w:w="215"/>
      </w:tblGrid>
      <w:tr>
        <w:trPr/>
        <w:tc>
          <w:tcPr>
            <w:tcW w:w="185" w:type="dxa"/>
            <w:tcBorders/>
            <w:shd w:fill="255993" w:val="clear"/>
            <w:vAlign w:val="center"/>
          </w:tcPr>
          <w:p>
            <w:pPr>
              <w:pStyle w:val="TableContents"/>
              <w:bidi w:val="0"/>
              <w:spacing w:before="0" w:after="0"/>
              <w:jc w:val="left"/>
              <w:rPr/>
            </w:pPr>
            <w:r>
              <w:rPr/>
              <w:t> </w:t>
            </w:r>
          </w:p>
        </w:tc>
        <w:tc>
          <w:tcPr>
            <w:tcW w:w="28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59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115"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70" w:type="dxa"/>
            <w:tcBorders/>
            <w:shd w:fill="255993" w:val="clear"/>
            <w:vAlign w:val="center"/>
          </w:tcPr>
          <w:p>
            <w:pPr>
              <w:pStyle w:val="TableContents"/>
              <w:bidi w:val="0"/>
              <w:spacing w:before="0" w:after="0"/>
              <w:jc w:val="left"/>
              <w:rPr/>
            </w:pPr>
            <w:r>
              <w:rPr/>
              <w:t> </w:t>
            </w:r>
          </w:p>
        </w:tc>
        <w:tc>
          <w:tcPr>
            <w:tcW w:w="1295" w:type="dxa"/>
            <w:tcBorders/>
            <w:shd w:fill="255993" w:val="clear"/>
            <w:vAlign w:val="center"/>
          </w:tcPr>
          <w:p>
            <w:pPr>
              <w:pStyle w:val="TableContents"/>
              <w:bidi w:val="0"/>
              <w:spacing w:before="0" w:after="0"/>
              <w:jc w:val="left"/>
              <w:rPr/>
            </w:pPr>
            <w:r>
              <w:rPr/>
              <w:t> </w:t>
            </w:r>
          </w:p>
        </w:tc>
        <w:tc>
          <w:tcPr>
            <w:tcW w:w="215" w:type="dxa"/>
            <w:tcBorders/>
            <w:shd w:fill="255993" w:val="clear"/>
            <w:vAlign w:val="center"/>
          </w:tcPr>
          <w:p>
            <w:pPr>
              <w:pStyle w:val="TableContents"/>
              <w:bidi w:val="0"/>
              <w:spacing w:before="0" w:after="0"/>
              <w:jc w:val="left"/>
              <w:rPr/>
            </w:pPr>
            <w:r>
              <w:rPr/>
              <w:t> </w:t>
            </w:r>
          </w:p>
        </w:tc>
      </w:tr>
      <w:tr>
        <w:trPr/>
        <w:tc>
          <w:tcPr>
            <w:tcW w:w="18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2870" w:type="dxa"/>
            <w:tcBorders>
              <w:bottom w:val="single" w:sz="8" w:space="0" w:color="FFFFFF"/>
            </w:tcBorders>
            <w:shd w:fill="255993" w:val="clear"/>
            <w:tcMar>
              <w:bottom w:w="50" w:type="dxa"/>
            </w:tcMar>
            <w:vAlign w:val="center"/>
          </w:tcPr>
          <w:p>
            <w:pPr>
              <w:pStyle w:val="TableContents"/>
              <w:bidi w:val="0"/>
              <w:spacing w:before="0" w:after="283"/>
              <w:ind w:left="70" w:right="0" w:hanging="0"/>
              <w:jc w:val="left"/>
              <w:rPr>
                <w:rFonts w:ascii="Arial" w:hAnsi="Arial"/>
                <w:b/>
                <w:color w:val="FFFFFF"/>
                <w:sz w:val="18"/>
              </w:rPr>
            </w:pPr>
            <w:r>
              <w:rPr>
                <w:rFonts w:ascii="Arial" w:hAnsi="Arial"/>
                <w:b/>
                <w:color w:val="FFFFFF"/>
                <w:sz w:val="18"/>
              </w:rPr>
              <w:t xml:space="preserve">Plan Category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595" w:type="dxa"/>
            <w:tcBorders>
              <w:bottom w:val="single" w:sz="8" w:space="0" w:color="FFFFFF"/>
            </w:tcBorders>
            <w:shd w:fill="255993" w:val="clear"/>
            <w:tcMar>
              <w:bottom w:w="5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(a) Number of</w:t>
            </w:r>
          </w:p>
          <w:p>
            <w:pPr>
              <w:pStyle w:val="TableContents"/>
              <w:bidi w:val="0"/>
              <w:spacing w:before="0" w:after="283"/>
              <w:jc w:val="right"/>
              <w:rPr>
                <w:rFonts w:ascii="Arial" w:hAnsi="Arial"/>
                <w:b/>
                <w:color w:val="FFFFFF"/>
                <w:sz w:val="18"/>
              </w:rPr>
            </w:pPr>
            <w:r>
              <w:rPr>
                <w:rFonts w:ascii="Arial" w:hAnsi="Arial"/>
                <w:b/>
                <w:color w:val="FFFFFF"/>
                <w:sz w:val="18"/>
              </w:rPr>
              <w:t>Securities to be</w:t>
            </w:r>
          </w:p>
          <w:p>
            <w:pPr>
              <w:pStyle w:val="TableContents"/>
              <w:bidi w:val="0"/>
              <w:spacing w:before="0" w:after="283"/>
              <w:jc w:val="right"/>
              <w:rPr>
                <w:rFonts w:ascii="Arial" w:hAnsi="Arial"/>
                <w:b/>
                <w:color w:val="FFFFFF"/>
                <w:sz w:val="18"/>
              </w:rPr>
            </w:pPr>
            <w:r>
              <w:rPr>
                <w:rFonts w:ascii="Arial" w:hAnsi="Arial"/>
                <w:b/>
                <w:color w:val="FFFFFF"/>
                <w:sz w:val="18"/>
              </w:rPr>
              <w:t>Issued Upon</w:t>
            </w:r>
          </w:p>
          <w:p>
            <w:pPr>
              <w:pStyle w:val="TableContents"/>
              <w:bidi w:val="0"/>
              <w:spacing w:before="0" w:after="283"/>
              <w:jc w:val="right"/>
              <w:rPr>
                <w:rFonts w:ascii="Arial" w:hAnsi="Arial"/>
                <w:b/>
                <w:color w:val="FFFFFF"/>
                <w:sz w:val="18"/>
              </w:rPr>
            </w:pPr>
            <w:r>
              <w:rPr>
                <w:rFonts w:ascii="Arial" w:hAnsi="Arial"/>
                <w:b/>
                <w:color w:val="FFFFFF"/>
                <w:sz w:val="18"/>
              </w:rPr>
              <w:t>Exercise of</w:t>
            </w:r>
          </w:p>
          <w:p>
            <w:pPr>
              <w:pStyle w:val="TableContents"/>
              <w:bidi w:val="0"/>
              <w:spacing w:before="0" w:after="283"/>
              <w:jc w:val="right"/>
              <w:rPr>
                <w:rFonts w:ascii="Arial" w:hAnsi="Arial"/>
                <w:b/>
                <w:color w:val="FFFFFF"/>
                <w:sz w:val="18"/>
              </w:rPr>
            </w:pPr>
            <w:r>
              <w:rPr>
                <w:rFonts w:ascii="Arial" w:hAnsi="Arial"/>
                <w:b/>
                <w:color w:val="FFFFFF"/>
                <w:sz w:val="18"/>
              </w:rPr>
              <w:t>Outstanding</w:t>
            </w:r>
          </w:p>
          <w:p>
            <w:pPr>
              <w:pStyle w:val="TableContents"/>
              <w:bidi w:val="0"/>
              <w:spacing w:before="0" w:after="283"/>
              <w:jc w:val="right"/>
              <w:rPr>
                <w:rFonts w:ascii="Arial" w:hAnsi="Arial"/>
                <w:b/>
                <w:color w:val="FFFFFF"/>
                <w:sz w:val="18"/>
              </w:rPr>
            </w:pPr>
            <w:r>
              <w:rPr>
                <w:rFonts w:ascii="Arial" w:hAnsi="Arial"/>
                <w:b/>
                <w:color w:val="FFFFFF"/>
                <w:sz w:val="18"/>
              </w:rPr>
              <w:t>Options, Warrants</w:t>
            </w:r>
          </w:p>
          <w:p>
            <w:pPr>
              <w:pStyle w:val="TableContents"/>
              <w:bidi w:val="0"/>
              <w:spacing w:before="0" w:after="283"/>
              <w:jc w:val="right"/>
              <w:rPr>
                <w:rFonts w:ascii="Arial" w:hAnsi="Arial"/>
                <w:b/>
                <w:color w:val="FFFFFF"/>
                <w:sz w:val="18"/>
              </w:rPr>
            </w:pPr>
            <w:r>
              <w:rPr>
                <w:rFonts w:ascii="Arial" w:hAnsi="Arial"/>
                <w:b/>
                <w:color w:val="FFFFFF"/>
                <w:sz w:val="18"/>
              </w:rPr>
              <w:t>and Rights</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115" w:type="dxa"/>
            <w:tcBorders>
              <w:bottom w:val="single" w:sz="8" w:space="0" w:color="FFFFFF"/>
            </w:tcBorders>
            <w:shd w:fill="255993" w:val="clear"/>
            <w:tcMar>
              <w:bottom w:w="5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(b) Weighted</w:t>
            </w:r>
          </w:p>
          <w:p>
            <w:pPr>
              <w:pStyle w:val="TableContents"/>
              <w:bidi w:val="0"/>
              <w:spacing w:before="0" w:after="283"/>
              <w:jc w:val="right"/>
              <w:rPr>
                <w:rFonts w:ascii="Arial" w:hAnsi="Arial"/>
                <w:b/>
                <w:color w:val="FFFFFF"/>
                <w:sz w:val="18"/>
              </w:rPr>
            </w:pPr>
            <w:r>
              <w:rPr>
                <w:rFonts w:ascii="Arial" w:hAnsi="Arial"/>
                <w:b/>
                <w:color w:val="FFFFFF"/>
                <w:sz w:val="18"/>
              </w:rPr>
              <w:t>Average</w:t>
            </w:r>
          </w:p>
          <w:p>
            <w:pPr>
              <w:pStyle w:val="TableContents"/>
              <w:bidi w:val="0"/>
              <w:spacing w:before="0" w:after="283"/>
              <w:jc w:val="right"/>
              <w:rPr>
                <w:rFonts w:ascii="Arial" w:hAnsi="Arial"/>
                <w:b/>
                <w:color w:val="FFFFFF"/>
                <w:sz w:val="18"/>
              </w:rPr>
            </w:pPr>
            <w:r>
              <w:rPr>
                <w:rFonts w:ascii="Arial" w:hAnsi="Arial"/>
                <w:b/>
                <w:color w:val="FFFFFF"/>
                <w:sz w:val="18"/>
              </w:rPr>
              <w:t>Exercise</w:t>
            </w:r>
          </w:p>
          <w:p>
            <w:pPr>
              <w:pStyle w:val="TableContents"/>
              <w:bidi w:val="0"/>
              <w:spacing w:before="0" w:after="283"/>
              <w:jc w:val="right"/>
              <w:rPr>
                <w:rFonts w:ascii="Arial" w:hAnsi="Arial"/>
                <w:b/>
                <w:color w:val="FFFFFF"/>
                <w:sz w:val="18"/>
              </w:rPr>
            </w:pPr>
            <w:r>
              <w:rPr>
                <w:rFonts w:ascii="Arial" w:hAnsi="Arial"/>
                <w:b/>
                <w:color w:val="FFFFFF"/>
                <w:sz w:val="18"/>
              </w:rPr>
              <w:t>Price of</w:t>
            </w:r>
          </w:p>
          <w:p>
            <w:pPr>
              <w:pStyle w:val="TableContents"/>
              <w:bidi w:val="0"/>
              <w:spacing w:before="0" w:after="283"/>
              <w:jc w:val="right"/>
              <w:rPr>
                <w:rFonts w:ascii="Arial" w:hAnsi="Arial"/>
                <w:b/>
                <w:color w:val="FFFFFF"/>
                <w:sz w:val="18"/>
              </w:rPr>
            </w:pPr>
            <w:r>
              <w:rPr>
                <w:rFonts w:ascii="Arial" w:hAnsi="Arial"/>
                <w:b/>
                <w:color w:val="FFFFFF"/>
                <w:sz w:val="18"/>
              </w:rPr>
              <w:t>Outstanding</w:t>
            </w:r>
          </w:p>
          <w:p>
            <w:pPr>
              <w:pStyle w:val="TableContents"/>
              <w:bidi w:val="0"/>
              <w:spacing w:before="0" w:after="283"/>
              <w:jc w:val="right"/>
              <w:rPr>
                <w:rFonts w:ascii="Arial" w:hAnsi="Arial"/>
                <w:b/>
                <w:color w:val="FFFFFF"/>
                <w:sz w:val="18"/>
              </w:rPr>
            </w:pPr>
            <w:r>
              <w:rPr>
                <w:rFonts w:ascii="Arial" w:hAnsi="Arial"/>
                <w:b/>
                <w:color w:val="FFFFFF"/>
                <w:sz w:val="18"/>
              </w:rPr>
              <w:t>Options,</w:t>
            </w:r>
          </w:p>
          <w:p>
            <w:pPr>
              <w:pStyle w:val="TableContents"/>
              <w:bidi w:val="0"/>
              <w:spacing w:before="0" w:after="283"/>
              <w:jc w:val="right"/>
              <w:rPr>
                <w:rFonts w:ascii="Arial" w:hAnsi="Arial"/>
                <w:b/>
                <w:color w:val="FFFFFF"/>
                <w:sz w:val="18"/>
              </w:rPr>
            </w:pPr>
            <w:r>
              <w:rPr>
                <w:rFonts w:ascii="Arial" w:hAnsi="Arial"/>
                <w:b/>
                <w:color w:val="FFFFFF"/>
                <w:sz w:val="18"/>
              </w:rPr>
              <w:t>Warrants</w:t>
            </w:r>
          </w:p>
          <w:p>
            <w:pPr>
              <w:pStyle w:val="TableContents"/>
              <w:bidi w:val="0"/>
              <w:spacing w:before="0" w:after="283"/>
              <w:jc w:val="right"/>
              <w:rPr>
                <w:rFonts w:ascii="Arial" w:hAnsi="Arial"/>
                <w:b/>
                <w:color w:val="FFFFFF"/>
                <w:sz w:val="18"/>
              </w:rPr>
            </w:pPr>
            <w:r>
              <w:rPr>
                <w:rFonts w:ascii="Arial" w:hAnsi="Arial"/>
                <w:b/>
                <w:color w:val="FFFFFF"/>
                <w:sz w:val="18"/>
              </w:rPr>
              <w:t>and Rights</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255993" w:val="clear"/>
            <w:tcMar>
              <w:bottom w:w="50" w:type="dxa"/>
            </w:tcMar>
            <w:vAlign w:val="center"/>
          </w:tcPr>
          <w:p>
            <w:pPr>
              <w:pStyle w:val="TableContents"/>
              <w:bidi w:val="0"/>
              <w:spacing w:before="0" w:after="283"/>
              <w:jc w:val="right"/>
              <w:rPr>
                <w:rFonts w:ascii="Arial" w:hAnsi="Arial"/>
                <w:b/>
                <w:color w:val="FFFFFF"/>
                <w:sz w:val="18"/>
              </w:rPr>
            </w:pPr>
            <w:r>
              <w:rPr>
                <w:rFonts w:ascii="Arial" w:hAnsi="Arial"/>
                <w:b/>
                <w:color w:val="FFFFFF"/>
                <w:sz w:val="18"/>
              </w:rPr>
              <w:t>(c) Number of</w:t>
            </w:r>
          </w:p>
          <w:p>
            <w:pPr>
              <w:pStyle w:val="TableContents"/>
              <w:bidi w:val="0"/>
              <w:spacing w:before="0" w:after="283"/>
              <w:jc w:val="right"/>
              <w:rPr>
                <w:rFonts w:ascii="Arial" w:hAnsi="Arial"/>
                <w:b/>
                <w:color w:val="FFFFFF"/>
                <w:sz w:val="18"/>
              </w:rPr>
            </w:pPr>
            <w:r>
              <w:rPr>
                <w:rFonts w:ascii="Arial" w:hAnsi="Arial"/>
                <w:b/>
                <w:color w:val="FFFFFF"/>
                <w:sz w:val="18"/>
              </w:rPr>
              <w:t>Securities</w:t>
            </w:r>
          </w:p>
          <w:p>
            <w:pPr>
              <w:pStyle w:val="TableContents"/>
              <w:bidi w:val="0"/>
              <w:spacing w:before="0" w:after="283"/>
              <w:jc w:val="right"/>
              <w:rPr>
                <w:rFonts w:ascii="Arial" w:hAnsi="Arial"/>
                <w:b/>
                <w:color w:val="FFFFFF"/>
                <w:sz w:val="18"/>
              </w:rPr>
            </w:pPr>
            <w:r>
              <w:rPr>
                <w:rFonts w:ascii="Arial" w:hAnsi="Arial"/>
                <w:b/>
                <w:color w:val="FFFFFF"/>
                <w:sz w:val="18"/>
              </w:rPr>
              <w:t xml:space="preserve">Remaining </w:t>
            </w:r>
          </w:p>
          <w:p>
            <w:pPr>
              <w:pStyle w:val="TableContents"/>
              <w:bidi w:val="0"/>
              <w:spacing w:before="0" w:after="283"/>
              <w:jc w:val="right"/>
              <w:rPr>
                <w:rFonts w:ascii="Arial" w:hAnsi="Arial"/>
                <w:b/>
                <w:color w:val="FFFFFF"/>
                <w:sz w:val="18"/>
              </w:rPr>
            </w:pPr>
            <w:r>
              <w:rPr>
                <w:rFonts w:ascii="Arial" w:hAnsi="Arial"/>
                <w:b/>
                <w:color w:val="FFFFFF"/>
                <w:sz w:val="18"/>
              </w:rPr>
              <w:t>Available for</w:t>
            </w:r>
          </w:p>
          <w:p>
            <w:pPr>
              <w:pStyle w:val="TableContents"/>
              <w:bidi w:val="0"/>
              <w:spacing w:before="0" w:after="283"/>
              <w:jc w:val="right"/>
              <w:rPr>
                <w:rFonts w:ascii="Arial" w:hAnsi="Arial"/>
                <w:b/>
                <w:color w:val="FFFFFF"/>
                <w:sz w:val="18"/>
              </w:rPr>
            </w:pPr>
            <w:r>
              <w:rPr>
                <w:rFonts w:ascii="Arial" w:hAnsi="Arial"/>
                <w:b/>
                <w:color w:val="FFFFFF"/>
                <w:sz w:val="18"/>
              </w:rPr>
              <w:t xml:space="preserve">Future </w:t>
            </w:r>
          </w:p>
          <w:p>
            <w:pPr>
              <w:pStyle w:val="TableContents"/>
              <w:bidi w:val="0"/>
              <w:spacing w:before="0" w:after="283"/>
              <w:jc w:val="right"/>
              <w:rPr>
                <w:rFonts w:ascii="Arial" w:hAnsi="Arial"/>
                <w:b/>
                <w:color w:val="FFFFFF"/>
                <w:sz w:val="18"/>
              </w:rPr>
            </w:pPr>
            <w:r>
              <w:rPr>
                <w:rFonts w:ascii="Arial" w:hAnsi="Arial"/>
                <w:b/>
                <w:color w:val="FFFFFF"/>
                <w:sz w:val="18"/>
              </w:rPr>
              <w:t>Issuance</w:t>
            </w:r>
          </w:p>
          <w:p>
            <w:pPr>
              <w:pStyle w:val="TableContents"/>
              <w:bidi w:val="0"/>
              <w:spacing w:before="0" w:after="283"/>
              <w:jc w:val="right"/>
              <w:rPr>
                <w:rFonts w:ascii="Arial" w:hAnsi="Arial"/>
                <w:b/>
                <w:color w:val="FFFFFF"/>
                <w:sz w:val="18"/>
              </w:rPr>
            </w:pPr>
            <w:r>
              <w:rPr>
                <w:rFonts w:ascii="Arial" w:hAnsi="Arial"/>
                <w:b/>
                <w:color w:val="FFFFFF"/>
                <w:sz w:val="18"/>
              </w:rPr>
              <w:t>Under Equity</w:t>
            </w:r>
          </w:p>
          <w:p>
            <w:pPr>
              <w:pStyle w:val="TableContents"/>
              <w:bidi w:val="0"/>
              <w:spacing w:before="0" w:after="283"/>
              <w:jc w:val="right"/>
              <w:rPr>
                <w:rFonts w:ascii="Arial" w:hAnsi="Arial"/>
                <w:b/>
                <w:color w:val="FFFFFF"/>
                <w:sz w:val="18"/>
              </w:rPr>
            </w:pPr>
            <w:r>
              <w:rPr>
                <w:rFonts w:ascii="Arial" w:hAnsi="Arial"/>
                <w:b/>
                <w:color w:val="FFFFFF"/>
                <w:sz w:val="18"/>
              </w:rPr>
              <w:t>Compensation</w:t>
            </w:r>
          </w:p>
          <w:p>
            <w:pPr>
              <w:pStyle w:val="TableContents"/>
              <w:bidi w:val="0"/>
              <w:spacing w:before="0" w:after="283"/>
              <w:jc w:val="right"/>
              <w:rPr>
                <w:rFonts w:ascii="Arial" w:hAnsi="Arial"/>
                <w:b/>
                <w:color w:val="FFFFFF"/>
                <w:sz w:val="18"/>
              </w:rPr>
            </w:pPr>
            <w:r>
              <w:rPr>
                <w:rFonts w:ascii="Arial" w:hAnsi="Arial"/>
                <w:b/>
                <w:color w:val="FFFFFF"/>
                <w:sz w:val="18"/>
              </w:rPr>
              <w:t>Plans</w:t>
            </w:r>
          </w:p>
          <w:p>
            <w:pPr>
              <w:pStyle w:val="TableContents"/>
              <w:bidi w:val="0"/>
              <w:spacing w:before="0" w:after="283"/>
              <w:jc w:val="right"/>
              <w:rPr>
                <w:rFonts w:ascii="Arial" w:hAnsi="Arial"/>
                <w:b/>
                <w:color w:val="FFFFFF"/>
                <w:sz w:val="18"/>
              </w:rPr>
            </w:pPr>
            <w:r>
              <w:rPr>
                <w:rFonts w:ascii="Arial" w:hAnsi="Arial"/>
                <w:b/>
                <w:color w:val="FFFFFF"/>
                <w:sz w:val="18"/>
              </w:rPr>
              <w:t>(Excluding</w:t>
            </w:r>
          </w:p>
          <w:p>
            <w:pPr>
              <w:pStyle w:val="TableContents"/>
              <w:bidi w:val="0"/>
              <w:spacing w:before="0" w:after="283"/>
              <w:jc w:val="right"/>
              <w:rPr>
                <w:rFonts w:ascii="Arial" w:hAnsi="Arial"/>
                <w:b/>
                <w:color w:val="FFFFFF"/>
                <w:sz w:val="18"/>
              </w:rPr>
            </w:pPr>
            <w:r>
              <w:rPr>
                <w:rFonts w:ascii="Arial" w:hAnsi="Arial"/>
                <w:b/>
                <w:color w:val="FFFFFF"/>
                <w:sz w:val="18"/>
              </w:rPr>
              <w:t>Securities</w:t>
            </w:r>
          </w:p>
          <w:p>
            <w:pPr>
              <w:pStyle w:val="TableContents"/>
              <w:bidi w:val="0"/>
              <w:spacing w:before="0" w:after="283"/>
              <w:jc w:val="right"/>
              <w:rPr>
                <w:rFonts w:ascii="Arial" w:hAnsi="Arial"/>
                <w:b/>
                <w:color w:val="FFFFFF"/>
                <w:sz w:val="18"/>
              </w:rPr>
            </w:pPr>
            <w:r>
              <w:rPr>
                <w:rFonts w:ascii="Arial" w:hAnsi="Arial"/>
                <w:b/>
                <w:color w:val="FFFFFF"/>
                <w:sz w:val="18"/>
              </w:rPr>
              <w:t>Reflected in</w:t>
            </w:r>
          </w:p>
          <w:p>
            <w:pPr>
              <w:pStyle w:val="TableContents"/>
              <w:bidi w:val="0"/>
              <w:spacing w:before="0" w:after="283"/>
              <w:jc w:val="right"/>
              <w:rPr>
                <w:rFonts w:ascii="Arial" w:hAnsi="Arial"/>
                <w:b/>
                <w:color w:val="FFFFFF"/>
                <w:sz w:val="18"/>
              </w:rPr>
            </w:pPr>
            <w:r>
              <w:rPr>
                <w:rFonts w:ascii="Arial" w:hAnsi="Arial"/>
                <w:b/>
                <w:color w:val="FFFFFF"/>
                <w:sz w:val="18"/>
              </w:rPr>
              <w:t>Column (a))</w:t>
            </w:r>
            <w:r>
              <w:rPr>
                <w:rFonts w:ascii="Arial" w:hAnsi="Arial"/>
                <w:b/>
                <w:color w:val="FFFFFF"/>
                <w:position w:val="6"/>
                <w:sz w:val="14"/>
                <w:sz w:val="18"/>
              </w:rPr>
              <w:t>(3)</w:t>
            </w:r>
          </w:p>
        </w:tc>
        <w:tc>
          <w:tcPr>
            <w:tcW w:w="215" w:type="dxa"/>
            <w:tcBorders>
              <w:bottom w:val="single" w:sz="8" w:space="0" w:color="FFFFFF"/>
            </w:tcBorders>
            <w:shd w:fill="25599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895" w:type="dxa"/>
            <w:gridSpan w:val="10"/>
            <w:tcBorders>
              <w:bottom w:val="single" w:sz="8" w:space="0" w:color="FFFFFF"/>
            </w:tcBorders>
            <w:shd w:fill="EBEBEB" w:val="clear"/>
            <w:tcMar>
              <w:bottom w:w="5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 xml:space="preserve">Equity compensation plans approved by security holders: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870" w:type="dxa"/>
            <w:tcBorders>
              <w:bottom w:val="single" w:sz="8" w:space="0" w:color="FFFFFF"/>
            </w:tcBorders>
            <w:shd w:fill="FAFAFA" w:val="clear"/>
            <w:tcMar>
              <w:bottom w:w="53" w:type="dxa"/>
            </w:tcMar>
            <w:vAlign w:val="center"/>
          </w:tcPr>
          <w:p>
            <w:pPr>
              <w:pStyle w:val="TableContents"/>
              <w:bidi w:val="0"/>
              <w:spacing w:before="0" w:after="283"/>
              <w:ind w:left="270" w:right="0" w:hanging="0"/>
              <w:jc w:val="left"/>
              <w:rPr>
                <w:rFonts w:ascii="Arial" w:hAnsi="Arial"/>
                <w:color w:val="000000"/>
                <w:sz w:val="16"/>
              </w:rPr>
            </w:pPr>
            <w:r>
              <w:rPr>
                <w:rFonts w:ascii="Arial" w:hAnsi="Arial"/>
                <w:color w:val="000000"/>
                <w:sz w:val="16"/>
              </w:rPr>
              <w:t>2014 Equity Incentive Plan</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595" w:type="dxa"/>
            <w:tcBorders>
              <w:bottom w:val="single" w:sz="8" w:space="0" w:color="FFFFFF"/>
            </w:tcBorders>
            <w:shd w:fill="FAFAFA"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183,987</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115" w:type="dxa"/>
            <w:tcBorders>
              <w:bottom w:val="single" w:sz="8" w:space="0" w:color="FFFFFF"/>
            </w:tcBorders>
            <w:shd w:fill="FAFAFA"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1.26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53"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2870" w:type="dxa"/>
            <w:tcBorders>
              <w:bottom w:val="single" w:sz="8" w:space="0" w:color="FFFFFF"/>
            </w:tcBorders>
            <w:shd w:fill="EBEBEB" w:val="clear"/>
            <w:tcMar>
              <w:bottom w:w="53" w:type="dxa"/>
            </w:tcMar>
            <w:vAlign w:val="center"/>
          </w:tcPr>
          <w:p>
            <w:pPr>
              <w:pStyle w:val="TableContents"/>
              <w:bidi w:val="0"/>
              <w:spacing w:before="0" w:after="283"/>
              <w:ind w:left="270" w:right="0" w:hanging="0"/>
              <w:jc w:val="left"/>
              <w:rPr>
                <w:rFonts w:ascii="Arial" w:hAnsi="Arial"/>
                <w:color w:val="000000"/>
                <w:sz w:val="16"/>
              </w:rPr>
            </w:pPr>
            <w:r>
              <w:rPr>
                <w:rFonts w:ascii="Arial" w:hAnsi="Arial"/>
                <w:color w:val="000000"/>
                <w:sz w:val="16"/>
              </w:rPr>
              <w:t>2020 Equity Incentive Plan</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595" w:type="dxa"/>
            <w:tcBorders>
              <w:bottom w:val="single" w:sz="8" w:space="0" w:color="FFFFFF"/>
            </w:tcBorders>
            <w:shd w:fill="EBEBEB"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9,650,984</w:t>
            </w:r>
            <w:r>
              <w:rPr>
                <w:rFonts w:ascii="Arial" w:hAnsi="Arial"/>
                <w:color w:val="000000"/>
                <w:position w:val="5"/>
                <w:sz w:val="13"/>
                <w:sz w:val="16"/>
              </w:rPr>
              <w:t>(1)</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115" w:type="dxa"/>
            <w:tcBorders>
              <w:bottom w:val="single" w:sz="8" w:space="0" w:color="FFFFFF"/>
            </w:tcBorders>
            <w:shd w:fill="EBEBEB"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r>
              <w:rPr>
                <w:rFonts w:ascii="Arial" w:hAnsi="Arial"/>
                <w:color w:val="000000"/>
                <w:sz w:val="16"/>
              </w:rPr>
              <w:t>6.36</w:t>
            </w:r>
            <w:r>
              <w:rPr>
                <w:rFonts w:ascii="Arial" w:hAnsi="Arial"/>
                <w:color w:val="000000"/>
                <w:position w:val="5"/>
                <w:sz w:val="13"/>
                <w:sz w:val="16"/>
              </w:rPr>
              <w:t>(2)</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EBEBEB"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1,666,381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870" w:type="dxa"/>
            <w:tcBorders>
              <w:bottom w:val="single" w:sz="8" w:space="0" w:color="FFFFFF"/>
            </w:tcBorders>
            <w:shd w:fill="FAFAFA" w:val="clear"/>
            <w:tcMar>
              <w:bottom w:w="53" w:type="dxa"/>
            </w:tcMar>
            <w:vAlign w:val="center"/>
          </w:tcPr>
          <w:p>
            <w:pPr>
              <w:pStyle w:val="TableContents"/>
              <w:bidi w:val="0"/>
              <w:spacing w:before="0" w:after="283"/>
              <w:ind w:left="270" w:right="0" w:hanging="0"/>
              <w:jc w:val="left"/>
              <w:rPr>
                <w:rFonts w:ascii="Arial" w:hAnsi="Arial"/>
                <w:color w:val="000000"/>
                <w:sz w:val="16"/>
              </w:rPr>
            </w:pPr>
            <w:r>
              <w:rPr>
                <w:rFonts w:ascii="Arial" w:hAnsi="Arial"/>
                <w:color w:val="000000"/>
                <w:sz w:val="16"/>
              </w:rPr>
              <w:t>2020 Employee Stock Purchase Plan</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595" w:type="dxa"/>
            <w:tcBorders>
              <w:bottom w:val="single" w:sz="8" w:space="0" w:color="FFFFFF"/>
            </w:tcBorders>
            <w:shd w:fill="FAFAFA" w:val="clear"/>
            <w:tcMar>
              <w:bottom w:w="5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115" w:type="dxa"/>
            <w:tcBorders>
              <w:bottom w:val="single" w:sz="8" w:space="0" w:color="FFFFFF"/>
            </w:tcBorders>
            <w:shd w:fill="FAFAFA" w:val="clear"/>
            <w:tcMar>
              <w:bottom w:w="53"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 xml:space="preserve">1,338,444 </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c>
          <w:tcPr>
            <w:tcW w:w="7895" w:type="dxa"/>
            <w:gridSpan w:val="10"/>
            <w:tcBorders>
              <w:bottom w:val="single" w:sz="8" w:space="0" w:color="FFFFFF"/>
            </w:tcBorders>
            <w:shd w:fill="EBEBEB" w:val="clear"/>
            <w:tcMar>
              <w:bottom w:w="53" w:type="dxa"/>
            </w:tcM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 xml:space="preserve">Equity compensation plans not approved by security holders: </w:t>
            </w:r>
          </w:p>
        </w:tc>
        <w:tc>
          <w:tcPr>
            <w:tcW w:w="215" w:type="dxa"/>
            <w:tcBorders>
              <w:bottom w:val="single" w:sz="8" w:space="0" w:color="FFFFFF"/>
            </w:tcBorders>
            <w:shd w:fill="EBEBEB"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2870" w:type="dxa"/>
            <w:tcBorders>
              <w:bottom w:val="single" w:sz="8" w:space="0" w:color="FFFFFF"/>
            </w:tcBorders>
            <w:shd w:fill="FAFAFA" w:val="clear"/>
            <w:tcMar>
              <w:bottom w:w="53" w:type="dxa"/>
            </w:tcMar>
            <w:vAlign w:val="center"/>
          </w:tcPr>
          <w:p>
            <w:pPr>
              <w:pStyle w:val="TableContents"/>
              <w:bidi w:val="0"/>
              <w:spacing w:before="0" w:after="283"/>
              <w:ind w:left="270" w:right="0" w:hanging="0"/>
              <w:jc w:val="left"/>
              <w:rPr>
                <w:rFonts w:ascii="Arial" w:hAnsi="Arial"/>
                <w:color w:val="000000"/>
                <w:sz w:val="16"/>
              </w:rPr>
            </w:pPr>
            <w:r>
              <w:rPr>
                <w:rFonts w:ascii="Arial" w:hAnsi="Arial"/>
                <w:color w:val="000000"/>
                <w:sz w:val="16"/>
              </w:rPr>
              <w:t>2024 Inducement Equity Incentive Plan</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595" w:type="dxa"/>
            <w:tcBorders>
              <w:bottom w:val="single" w:sz="8" w:space="0" w:color="FFFFFF"/>
            </w:tcBorders>
            <w:shd w:fill="FAFAFA"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400,000</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115" w:type="dxa"/>
            <w:tcBorders>
              <w:bottom w:val="single" w:sz="8" w:space="0" w:color="FFFFFF"/>
            </w:tcBorders>
            <w:shd w:fill="FAFAFA"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c>
          <w:tcPr>
            <w:tcW w:w="1295" w:type="dxa"/>
            <w:tcBorders>
              <w:bottom w:val="single" w:sz="8" w:space="0" w:color="FFFFFF"/>
            </w:tcBorders>
            <w:shd w:fill="FAFAFA" w:val="clear"/>
            <w:tcMar>
              <w:bottom w:w="53"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350,000</w:t>
            </w:r>
          </w:p>
        </w:tc>
        <w:tc>
          <w:tcPr>
            <w:tcW w:w="215" w:type="dxa"/>
            <w:tcBorders>
              <w:bottom w:val="single" w:sz="8" w:space="0" w:color="FFFFFF"/>
            </w:tcBorders>
            <w:shd w:fill="FAFAFA" w:val="clear"/>
            <w:tcMar>
              <w:bottom w:w="28" w:type="dxa"/>
            </w:tcM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2870" w:type="dxa"/>
            <w:tcBorders/>
            <w:shd w:fill="EBEBEB" w:val="clear"/>
            <w:vAlign w:val="center"/>
          </w:tcPr>
          <w:p>
            <w:pPr>
              <w:pStyle w:val="TableContents"/>
              <w:bidi w:val="0"/>
              <w:spacing w:before="0" w:after="283"/>
              <w:ind w:left="70" w:right="0" w:hanging="0"/>
              <w:jc w:val="left"/>
              <w:rPr>
                <w:rFonts w:ascii="Arial" w:hAnsi="Arial"/>
                <w:color w:val="000000"/>
                <w:sz w:val="16"/>
              </w:rPr>
            </w:pPr>
            <w:r>
              <w:rPr>
                <w:rFonts w:ascii="Arial" w:hAnsi="Arial"/>
                <w:color w:val="000000"/>
                <w:sz w:val="16"/>
              </w:rPr>
              <w:t>Total</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5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10,234,971</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115" w:type="dxa"/>
            <w:tcBorders/>
            <w:shd w:fill="EBEBEB" w:val="clear"/>
            <w:vAlign w:val="center"/>
          </w:tcPr>
          <w:p>
            <w:pPr>
              <w:pStyle w:val="TableContents"/>
              <w:bidi w:val="0"/>
              <w:spacing w:before="0" w:after="283"/>
              <w:jc w:val="right"/>
              <w:rPr>
                <w:color w:val="000000"/>
              </w:rPr>
            </w:pPr>
            <w:r>
              <w:rPr>
                <w:color w:val="000000"/>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283"/>
              <w:jc w:val="right"/>
              <w:rPr>
                <w:rFonts w:ascii="Arial" w:hAnsi="Arial"/>
                <w:color w:val="000000"/>
                <w:sz w:val="16"/>
              </w:rPr>
            </w:pPr>
            <w:r>
              <w:rPr>
                <w:rFonts w:ascii="Arial" w:hAnsi="Arial"/>
                <w:color w:val="000000"/>
                <w:sz w:val="16"/>
              </w:rPr>
              <w:t>3,354,825</w:t>
            </w:r>
          </w:p>
        </w:tc>
        <w:tc>
          <w:tcPr>
            <w:tcW w:w="215" w:type="dxa"/>
            <w:tcBorders/>
            <w:shd w:fill="EBEBEB" w:val="clear"/>
            <w:vAlign w:val="center"/>
          </w:tcPr>
          <w:p>
            <w:pPr>
              <w:pStyle w:val="TableContents"/>
              <w:bidi w:val="0"/>
              <w:spacing w:before="0" w:after="0"/>
              <w:jc w:val="left"/>
              <w:rPr/>
            </w:pPr>
            <w:r>
              <w:rPr/>
              <w:t> </w:t>
            </w:r>
          </w:p>
        </w:tc>
      </w:tr>
      <w:tr>
        <w:trPr/>
        <w:tc>
          <w:tcPr>
            <w:tcW w:w="185" w:type="dxa"/>
            <w:tcBorders/>
            <w:shd w:fill="EBEBEB" w:val="clear"/>
            <w:vAlign w:val="center"/>
          </w:tcPr>
          <w:p>
            <w:pPr>
              <w:pStyle w:val="TableContents"/>
              <w:bidi w:val="0"/>
              <w:spacing w:before="0" w:after="0"/>
              <w:jc w:val="left"/>
              <w:rPr/>
            </w:pPr>
            <w:r>
              <w:rPr/>
              <w:t> </w:t>
            </w:r>
          </w:p>
        </w:tc>
        <w:tc>
          <w:tcPr>
            <w:tcW w:w="28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59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115"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70" w:type="dxa"/>
            <w:tcBorders/>
            <w:shd w:fill="EBEBEB" w:val="clear"/>
            <w:vAlign w:val="center"/>
          </w:tcPr>
          <w:p>
            <w:pPr>
              <w:pStyle w:val="TableContents"/>
              <w:bidi w:val="0"/>
              <w:spacing w:before="0" w:after="0"/>
              <w:jc w:val="left"/>
              <w:rPr/>
            </w:pPr>
            <w:r>
              <w:rPr/>
              <w:t> </w:t>
            </w:r>
          </w:p>
        </w:tc>
        <w:tc>
          <w:tcPr>
            <w:tcW w:w="1295" w:type="dxa"/>
            <w:tcBorders/>
            <w:shd w:fill="EBEBEB" w:val="clear"/>
            <w:vAlign w:val="center"/>
          </w:tcPr>
          <w:p>
            <w:pPr>
              <w:pStyle w:val="TableContents"/>
              <w:bidi w:val="0"/>
              <w:spacing w:before="0" w:after="0"/>
              <w:jc w:val="left"/>
              <w:rPr/>
            </w:pPr>
            <w:r>
              <w:rPr/>
              <w:t> </w:t>
            </w:r>
          </w:p>
        </w:tc>
        <w:tc>
          <w:tcPr>
            <w:tcW w:w="215" w:type="dxa"/>
            <w:tcBorders/>
            <w:shd w:fill="EBEBEB" w:val="clear"/>
            <w:vAlign w:val="center"/>
          </w:tcPr>
          <w:p>
            <w:pPr>
              <w:pStyle w:val="TableContents"/>
              <w:bidi w:val="0"/>
              <w:spacing w:before="0" w:after="0"/>
              <w:jc w:val="left"/>
              <w:rPr/>
            </w:pPr>
            <w:r>
              <w:rPr/>
              <w:t> </w:t>
            </w:r>
          </w:p>
        </w:tc>
      </w:tr>
    </w:tbl>
    <w:tbl>
      <w:tblPr>
        <w:tblW w:w="9940" w:type="dxa"/>
        <w:jc w:val="left"/>
        <w:tblInd w:w="0" w:type="dxa"/>
        <w:tblLayout w:type="fixed"/>
        <w:tblCellMar>
          <w:top w:w="0" w:type="dxa"/>
          <w:left w:w="0" w:type="dxa"/>
          <w:bottom w:w="0" w:type="dxa"/>
          <w:right w:w="0" w:type="dxa"/>
        </w:tblCellMar>
      </w:tblPr>
      <w:tblGrid>
        <w:gridCol w:w="260"/>
        <w:gridCol w:w="9680"/>
      </w:tblGrid>
      <w:tr>
        <w:trPr/>
        <w:tc>
          <w:tcPr>
            <w:tcW w:w="26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(1)</w:t>
            </w:r>
          </w:p>
        </w:tc>
        <w:tc>
          <w:tcPr>
            <w:tcW w:w="9680"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Includes both 9,028,323 outstanding options and 622,661 outstanding, unvested time-based and performance restricted stock units.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(2)</w:t>
            </w:r>
          </w:p>
        </w:tc>
        <w:tc>
          <w:tcPr>
            <w:tcW w:w="9973"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 xml:space="preserve">Represents the outstanding options’ weighted-average exercise price and does not take into account the shares issuable upon vesting of outstanding time-based and performance restricted stock units, which do not have an exercise price.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(3)</w:t>
            </w:r>
          </w:p>
        </w:tc>
        <w:tc>
          <w:tcPr>
            <w:tcW w:w="9996" w:type="dxa"/>
            <w:tcBorders/>
            <w:vAlign w:val="center"/>
          </w:tcPr>
          <w:p>
            <w:pPr>
              <w:pStyle w:val="TableContents"/>
              <w:bidi w:val="0"/>
              <w:spacing w:before="0" w:after="0"/>
              <w:jc w:val="left"/>
              <w:rPr>
                <w:rFonts w:ascii="Arial" w:hAnsi="Arial"/>
                <w:color w:val="255993"/>
                <w:sz w:val="16"/>
              </w:rPr>
            </w:pPr>
            <w:r>
              <w:rPr>
                <w:rFonts w:ascii="Arial" w:hAnsi="Arial"/>
                <w:color w:val="255993"/>
                <w:sz w:val="16"/>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as of the last day of the immediately preceding fiscal year; (2) 646,000 shares; and (3) such lesser number of shares determined by the board of directors.</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 February 2024, our board of directors adopted the Inducement Plan, and, subject to the adjustment provisions of the Inducement Plan, reserved 750,000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“Change in Control” (as defined under the Inducement Plan) of the Company or a merger of the Company with or into another corporation or entity,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28" w:name="ny20044300x2_def14a_112-security_pg4"/>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29" w:name="tRPT"/>
      <w:bookmarkEnd w:id="129"/>
      <w:r>
        <w:rPr>
          <w:rFonts w:ascii="Times;Georgia" w:hAnsi="Times;Georgia"/>
          <w:color w:val="255993"/>
          <w:sz w:val="64"/>
        </w:rPr>
        <w:t xml:space="preserve">Related Person Transactions </w:t>
      </w:r>
    </w:p>
    <w:p>
      <w:pPr>
        <w:pStyle w:val="TextBody"/>
        <w:bidi w:val="0"/>
        <w:spacing w:before="360" w:after="283"/>
        <w:ind w:left="0" w:right="0" w:hanging="0"/>
        <w:jc w:val="left"/>
        <w:rPr>
          <w:rFonts w:ascii="Arial" w:hAnsi="Arial"/>
          <w:color w:val="000000"/>
          <w:sz w:val="18"/>
        </w:rPr>
      </w:pPr>
      <w:r>
        <w:rPr>
          <w:rFonts w:ascii="Arial" w:hAnsi="Arial"/>
          <w:color w:val="000000"/>
          <w:sz w:val="18"/>
        </w:rPr>
        <w:t xml:space="preserve">The following is a summary of transactions since January 1, 2023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 </w:t>
      </w:r>
    </w:p>
    <w:p>
      <w:pPr>
        <w:pStyle w:val="TextBody"/>
        <w:bidi w:val="0"/>
        <w:spacing w:before="290" w:after="283"/>
        <w:ind w:left="0" w:right="0" w:hanging="0"/>
        <w:jc w:val="left"/>
        <w:rPr>
          <w:rFonts w:ascii="Arial" w:hAnsi="Arial"/>
          <w:b/>
          <w:color w:val="F8991D"/>
          <w:sz w:val="20"/>
        </w:rPr>
      </w:pPr>
      <w:bookmarkStart w:id="130" w:name="tRPTP"/>
      <w:bookmarkEnd w:id="130"/>
      <w:r>
        <w:rPr>
          <w:rFonts w:ascii="Arial" w:hAnsi="Arial"/>
          <w:b/>
          <w:color w:val="F8991D"/>
          <w:sz w:val="20"/>
        </w:rPr>
        <w:t xml:space="preserve">RELATED-PERSON TRANSACTIONS POLICY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 </w:t>
      </w:r>
    </w:p>
    <w:p>
      <w:pPr>
        <w:pStyle w:val="TextBody"/>
        <w:bidi w:val="0"/>
        <w:spacing w:before="250" w:after="283"/>
        <w:ind w:left="0" w:right="0" w:hanging="0"/>
        <w:jc w:val="left"/>
        <w:rPr>
          <w:rFonts w:ascii="Arial" w:hAnsi="Arial"/>
          <w:color w:val="000000"/>
          <w:sz w:val="18"/>
        </w:rPr>
      </w:pPr>
      <w:r>
        <w:rPr>
          <w:rFonts w:ascii="Arial" w:hAnsi="Arial"/>
          <w:color w:val="000000"/>
          <w:sz w:val="18"/>
        </w:rPr>
        <w:t xml:space="preserve">Certain transactions with related persons, however, are exempted from pre-approval including, but not limited to: </w:t>
      </w:r>
    </w:p>
    <w:tbl>
      <w:tblPr>
        <w:tblW w:w="9400" w:type="dxa"/>
        <w:jc w:val="left"/>
        <w:tblInd w:w="0" w:type="dxa"/>
        <w:tblLayout w:type="fixed"/>
        <w:tblCellMar>
          <w:top w:w="0" w:type="dxa"/>
          <w:left w:w="0" w:type="dxa"/>
          <w:bottom w:w="0" w:type="dxa"/>
          <w:right w:w="0" w:type="dxa"/>
        </w:tblCellMar>
      </w:tblPr>
      <w:tblGrid>
        <w:gridCol w:w="140"/>
        <w:gridCol w:w="9260"/>
      </w:tblGrid>
      <w:tr>
        <w:trPr/>
        <w:tc>
          <w:tcPr>
            <w:tcW w:w="140" w:type="dxa"/>
            <w:tcBorders/>
            <w:vAlign w:val="center"/>
          </w:tcPr>
          <w:p>
            <w:pPr>
              <w:pStyle w:val="TableContents"/>
              <w:bidi w:val="0"/>
              <w:spacing w:before="0" w:after="0"/>
              <w:jc w:val="left"/>
              <w:rPr>
                <w:color w:val="255993"/>
              </w:rPr>
            </w:pPr>
            <w:r>
              <w:rPr>
                <w:color w:val="255993"/>
              </w:rPr>
              <w:t>•</w:t>
            </w:r>
          </w:p>
        </w:tc>
        <w:tc>
          <w:tcPr>
            <w:tcW w:w="926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compensation of our executive officers and directors that is otherwise disclosed in our public filings with the SEC; </w:t>
            </w:r>
          </w:p>
        </w:tc>
      </w:tr>
    </w:tbl>
    <w:tbl>
      <w:tblPr>
        <w:tblW w:w="7555" w:type="dxa"/>
        <w:jc w:val="left"/>
        <w:tblInd w:w="0" w:type="dxa"/>
        <w:tblLayout w:type="fixed"/>
        <w:tblCellMar>
          <w:top w:w="0" w:type="dxa"/>
          <w:left w:w="0" w:type="dxa"/>
          <w:bottom w:w="0" w:type="dxa"/>
          <w:right w:w="0" w:type="dxa"/>
        </w:tblCellMar>
      </w:tblPr>
      <w:tblGrid>
        <w:gridCol w:w="140"/>
        <w:gridCol w:w="7415"/>
      </w:tblGrid>
      <w:tr>
        <w:trPr/>
        <w:tc>
          <w:tcPr>
            <w:tcW w:w="140" w:type="dxa"/>
            <w:tcBorders/>
            <w:vAlign w:val="center"/>
          </w:tcPr>
          <w:p>
            <w:pPr>
              <w:pStyle w:val="TableContents"/>
              <w:bidi w:val="0"/>
              <w:spacing w:before="0" w:after="0"/>
              <w:jc w:val="left"/>
              <w:rPr>
                <w:color w:val="255993"/>
              </w:rPr>
            </w:pPr>
            <w:r>
              <w:rPr>
                <w:color w:val="255993"/>
              </w:rPr>
              <w:t>•</w:t>
            </w:r>
          </w:p>
        </w:tc>
        <w:tc>
          <w:tcPr>
            <w:tcW w:w="741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compensation, benefits and other transactions available to all of our employees generally;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transactions where a related-person’s interest derives solely from his or her service as a director of another entity that is a party to the transaction;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transactions where a related-person’s interest derives solely from his or her ownership of less than 10% of the equity interest in another entity that is a party to the transaction;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255993"/>
              </w:rPr>
            </w:pPr>
            <w:r>
              <w:rPr>
                <w:color w:val="255993"/>
              </w:rPr>
              <w:t>•</w:t>
            </w:r>
          </w:p>
        </w:tc>
        <w:tc>
          <w:tcPr>
            <w:tcW w:w="1006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transactions where a related-person’s interest derives solely from his or her ownership of a class of our equity securities and all holders of that class received the same benefit on a pro rata basis. </w:t>
            </w:r>
          </w:p>
        </w:tc>
      </w:tr>
    </w:tbl>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No member of the audit committee may participate in any review, consideration or approval of any related-person transaction where such member or any of his or her immediate family members is the related-person. In approving or rejecting the proposed agreement or transaction, our audit committee shall consider the relevant facts and circumstances available and deemed relevant to the audit committee, including, but not limited to: </w:t>
      </w:r>
    </w:p>
    <w:tbl>
      <w:tblPr>
        <w:tblW w:w="3595" w:type="dxa"/>
        <w:jc w:val="left"/>
        <w:tblInd w:w="0" w:type="dxa"/>
        <w:tblLayout w:type="fixed"/>
        <w:tblCellMar>
          <w:top w:w="0" w:type="dxa"/>
          <w:left w:w="0" w:type="dxa"/>
          <w:bottom w:w="0" w:type="dxa"/>
          <w:right w:w="0" w:type="dxa"/>
        </w:tblCellMar>
      </w:tblPr>
      <w:tblGrid>
        <w:gridCol w:w="140"/>
        <w:gridCol w:w="3455"/>
      </w:tblGrid>
      <w:tr>
        <w:trPr/>
        <w:tc>
          <w:tcPr>
            <w:tcW w:w="140" w:type="dxa"/>
            <w:tcBorders/>
            <w:vAlign w:val="center"/>
          </w:tcPr>
          <w:p>
            <w:pPr>
              <w:pStyle w:val="TableContents"/>
              <w:bidi w:val="0"/>
              <w:spacing w:before="0" w:after="0"/>
              <w:jc w:val="left"/>
              <w:rPr>
                <w:color w:val="255993"/>
              </w:rPr>
            </w:pPr>
            <w:r>
              <w:rPr>
                <w:color w:val="255993"/>
              </w:rPr>
              <w:t>•</w:t>
            </w:r>
          </w:p>
        </w:tc>
        <w:tc>
          <w:tcPr>
            <w:tcW w:w="345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the benefits and perceived benefits to us; </w:t>
            </w:r>
          </w:p>
        </w:tc>
      </w:tr>
    </w:tbl>
    <w:tbl>
      <w:tblPr>
        <w:tblW w:w="6640" w:type="dxa"/>
        <w:jc w:val="left"/>
        <w:tblInd w:w="0" w:type="dxa"/>
        <w:tblLayout w:type="fixed"/>
        <w:tblCellMar>
          <w:top w:w="0" w:type="dxa"/>
          <w:left w:w="0" w:type="dxa"/>
          <w:bottom w:w="0" w:type="dxa"/>
          <w:right w:w="0" w:type="dxa"/>
        </w:tblCellMar>
      </w:tblPr>
      <w:tblGrid>
        <w:gridCol w:w="140"/>
        <w:gridCol w:w="6500"/>
      </w:tblGrid>
      <w:tr>
        <w:trPr/>
        <w:tc>
          <w:tcPr>
            <w:tcW w:w="140" w:type="dxa"/>
            <w:tcBorders/>
            <w:vAlign w:val="center"/>
          </w:tcPr>
          <w:p>
            <w:pPr>
              <w:pStyle w:val="TableContents"/>
              <w:bidi w:val="0"/>
              <w:spacing w:before="0" w:after="0"/>
              <w:jc w:val="left"/>
              <w:rPr>
                <w:color w:val="255993"/>
              </w:rPr>
            </w:pPr>
            <w:r>
              <w:rPr>
                <w:color w:val="255993"/>
              </w:rPr>
              <w:t>•</w:t>
            </w:r>
          </w:p>
        </w:tc>
        <w:tc>
          <w:tcPr>
            <w:tcW w:w="650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the materiality and character of the related-person’s direct and indirect interest; </w:t>
            </w:r>
          </w:p>
        </w:tc>
      </w:tr>
    </w:tbl>
    <w:tbl>
      <w:tblPr>
        <w:tblW w:w="5785" w:type="dxa"/>
        <w:jc w:val="left"/>
        <w:tblInd w:w="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255993"/>
              </w:rPr>
            </w:pPr>
            <w:r>
              <w:rPr>
                <w:color w:val="255993"/>
              </w:rPr>
              <w:t>•</w:t>
            </w:r>
          </w:p>
        </w:tc>
        <w:tc>
          <w:tcPr>
            <w:tcW w:w="5645"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the availability of other sources for comparable products or services; </w:t>
            </w:r>
          </w:p>
        </w:tc>
      </w:tr>
    </w:tbl>
    <w:tbl>
      <w:tblPr>
        <w:tblW w:w="2860" w:type="dxa"/>
        <w:jc w:val="left"/>
        <w:tblInd w:w="0" w:type="dxa"/>
        <w:tblLayout w:type="fixed"/>
        <w:tblCellMar>
          <w:top w:w="0" w:type="dxa"/>
          <w:left w:w="0" w:type="dxa"/>
          <w:bottom w:w="0" w:type="dxa"/>
          <w:right w:w="0" w:type="dxa"/>
        </w:tblCellMar>
      </w:tblPr>
      <w:tblGrid>
        <w:gridCol w:w="140"/>
        <w:gridCol w:w="2720"/>
      </w:tblGrid>
      <w:tr>
        <w:trPr/>
        <w:tc>
          <w:tcPr>
            <w:tcW w:w="140" w:type="dxa"/>
            <w:tcBorders/>
            <w:vAlign w:val="center"/>
          </w:tcPr>
          <w:p>
            <w:pPr>
              <w:pStyle w:val="TableContents"/>
              <w:bidi w:val="0"/>
              <w:spacing w:before="0" w:after="0"/>
              <w:jc w:val="left"/>
              <w:rPr>
                <w:color w:val="255993"/>
              </w:rPr>
            </w:pPr>
            <w:r>
              <w:rPr>
                <w:color w:val="255993"/>
              </w:rPr>
              <w:t>•</w:t>
            </w:r>
          </w:p>
        </w:tc>
        <w:tc>
          <w:tcPr>
            <w:tcW w:w="272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the terms of the transaction; and </w:t>
            </w:r>
          </w:p>
        </w:tc>
      </w:tr>
    </w:tbl>
    <w:tbl>
      <w:tblPr>
        <w:tblW w:w="7210" w:type="dxa"/>
        <w:jc w:val="left"/>
        <w:tblInd w:w="0" w:type="dxa"/>
        <w:tblLayout w:type="fixed"/>
        <w:tblCellMar>
          <w:top w:w="0" w:type="dxa"/>
          <w:left w:w="0" w:type="dxa"/>
          <w:bottom w:w="0" w:type="dxa"/>
          <w:right w:w="0" w:type="dxa"/>
        </w:tblCellMar>
      </w:tblPr>
      <w:tblGrid>
        <w:gridCol w:w="140"/>
        <w:gridCol w:w="7070"/>
      </w:tblGrid>
      <w:tr>
        <w:trPr/>
        <w:tc>
          <w:tcPr>
            <w:tcW w:w="140" w:type="dxa"/>
            <w:tcBorders/>
            <w:vAlign w:val="center"/>
          </w:tcPr>
          <w:p>
            <w:pPr>
              <w:pStyle w:val="TableContents"/>
              <w:bidi w:val="0"/>
              <w:spacing w:before="0" w:after="0"/>
              <w:jc w:val="left"/>
              <w:rPr>
                <w:color w:val="255993"/>
              </w:rPr>
            </w:pPr>
            <w:r>
              <w:rPr>
                <w:color w:val="255993"/>
              </w:rPr>
              <w:t>•</w:t>
            </w:r>
          </w:p>
        </w:tc>
        <w:tc>
          <w:tcPr>
            <w:tcW w:w="7070" w:type="dxa"/>
            <w:tcBorders/>
            <w:vAlign w:val="center"/>
          </w:tcPr>
          <w:p>
            <w:pPr>
              <w:pStyle w:val="TableContents"/>
              <w:bidi w:val="0"/>
              <w:spacing w:before="0" w:after="0"/>
              <w:jc w:val="left"/>
              <w:rPr>
                <w:rFonts w:ascii="Arial" w:hAnsi="Arial"/>
                <w:color w:val="000000"/>
                <w:sz w:val="18"/>
              </w:rPr>
            </w:pPr>
            <w:r>
              <w:rPr>
                <w:rFonts w:ascii="Arial" w:hAnsi="Arial"/>
                <w:color w:val="000000"/>
                <w:sz w:val="18"/>
              </w:rPr>
              <w:t xml:space="preserve">the terms available to unrelated third parties under the same or similar circumstances. </w:t>
            </w:r>
          </w:p>
        </w:tc>
      </w:tr>
    </w:tbl>
    <w:p>
      <w:pPr>
        <w:pStyle w:val="TextBody"/>
        <w:bidi w:val="0"/>
        <w:spacing w:before="290" w:after="283"/>
        <w:ind w:left="0" w:right="0" w:hanging="0"/>
        <w:jc w:val="left"/>
        <w:rPr>
          <w:rFonts w:ascii="Arial" w:hAnsi="Arial"/>
          <w:b/>
          <w:color w:val="F8991D"/>
          <w:sz w:val="20"/>
        </w:rPr>
      </w:pPr>
      <w:bookmarkStart w:id="131" w:name="tIRA"/>
      <w:bookmarkEnd w:id="131"/>
      <w:r>
        <w:rPr>
          <w:rFonts w:ascii="Arial" w:hAnsi="Arial"/>
          <w:b/>
          <w:color w:val="F8991D"/>
          <w:sz w:val="20"/>
        </w:rPr>
        <w:t>INVESTORS’ RIGHTS AGREEMENT</w:t>
      </w:r>
    </w:p>
    <w:p>
      <w:pPr>
        <w:pStyle w:val="TextBody"/>
        <w:bidi w:val="0"/>
        <w:spacing w:before="120" w:after="283"/>
        <w:ind w:left="0" w:right="0" w:hanging="0"/>
        <w:jc w:val="left"/>
        <w:rPr>
          <w:rFonts w:ascii="Arial" w:hAnsi="Arial"/>
          <w:color w:val="000000"/>
          <w:sz w:val="18"/>
        </w:rPr>
      </w:pPr>
      <w:r>
        <w:rPr>
          <w:rFonts w:ascii="Arial" w:hAnsi="Arial"/>
          <w:color w:val="000000"/>
          <w:sz w:val="18"/>
        </w:rPr>
        <w:t>We entered into an investors’ rights agreement on May 29, 2020 with certain of our stockholders, including Dr. Litton, our president and chief executive officer and a member of our board of directors, Mark Worthington, our general counsel, chief compliance officer and corporate secretary, Fluke Capital Management, L.P., of which John M. Fluke, Jr., a member of our board of directors, has a beneficial ownership interest, and Perceptive Life Sciences Master Fund Ltd., of which Joseph Edelman, a member of our board of directors, has a beneficial ownership interest. Pursuant to the terms of the investors’ rights agreement, such holders were entitled to rights with respect to the registration of their outstanding shares, which rights expired pursuant to the terms of the investors’ rights agreement on the third anniversary of the Company’s initial public offering.</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32" w:name="ny20044300x2_def14a_112-security_pg5"/>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800"/>
        <w:ind w:left="0" w:right="0" w:hanging="0"/>
        <w:jc w:val="left"/>
        <w:rPr>
          <w:rFonts w:ascii="Arial" w:hAnsi="Arial"/>
          <w:color w:val="255993"/>
          <w:sz w:val="16"/>
        </w:rPr>
      </w:pPr>
      <w:r>
        <w:rPr>
          <w:rFonts w:ascii="Arial" w:hAnsi="Arial"/>
          <w:color w:val="255993"/>
          <w:sz w:val="16"/>
        </w:rPr>
        <w:t>Related Person Transactions</w:t>
      </w:r>
    </w:p>
    <w:p>
      <w:pPr>
        <w:pStyle w:val="TextBody"/>
        <w:bidi w:val="0"/>
        <w:spacing w:before="135" w:after="283"/>
        <w:ind w:left="0" w:right="0" w:hanging="0"/>
        <w:jc w:val="left"/>
        <w:rPr>
          <w:rFonts w:ascii="Arial" w:hAnsi="Arial"/>
          <w:b/>
          <w:color w:val="F8991D"/>
          <w:sz w:val="20"/>
        </w:rPr>
      </w:pPr>
      <w:bookmarkStart w:id="133" w:name="tOTTR"/>
      <w:bookmarkStart w:id="134" w:name="tSAOS"/>
      <w:bookmarkEnd w:id="133"/>
      <w:bookmarkEnd w:id="134"/>
      <w:r>
        <w:rPr>
          <w:rFonts w:ascii="Arial" w:hAnsi="Arial"/>
          <w:b/>
          <w:color w:val="F8991D"/>
          <w:sz w:val="20"/>
        </w:rPr>
        <w:t xml:space="preserve">OTHER TRANSACTIONS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We have entered into employment offer letters and change in control and severance agreements with our executive officers. For a description of these agreements with our named executive officers, see the section of this proxy statement titled “Executive Compensation – Executive Employment Arrangements.”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We have granted stock options and/or restricted stock units, and issued common stock in connection therewith as applicable, to our executive officers and our non-employee directors. For a description of these grants and issuances, see the sections of this proxy statement titled “Board of Directors and Corporate Governance – Director Compensation” and “Executive Compensation.”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We have entered into indemnification agreements with our directors and executive officers which provide for the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 director, officer, employee,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35" w:name="ny20044300x2_def14a_112-security_pg6"/>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36" w:name="tOTMA"/>
      <w:bookmarkEnd w:id="136"/>
      <w:r>
        <w:rPr>
          <w:rFonts w:ascii="Times;Georgia" w:hAnsi="Times;Georgia"/>
          <w:color w:val="255993"/>
          <w:sz w:val="64"/>
        </w:rPr>
        <w:t xml:space="preserve">Other Matters </w:t>
      </w:r>
    </w:p>
    <w:p>
      <w:pPr>
        <w:pStyle w:val="TextBody"/>
        <w:bidi w:val="0"/>
        <w:spacing w:before="420" w:after="283"/>
        <w:ind w:left="0" w:right="0" w:hanging="0"/>
        <w:jc w:val="left"/>
        <w:rPr>
          <w:rFonts w:ascii="Arial" w:hAnsi="Arial"/>
          <w:b/>
          <w:color w:val="F8991D"/>
          <w:sz w:val="20"/>
        </w:rPr>
      </w:pPr>
      <w:bookmarkStart w:id="137" w:name="tABL"/>
      <w:bookmarkEnd w:id="137"/>
      <w:r>
        <w:rPr>
          <w:rFonts w:ascii="Arial" w:hAnsi="Arial"/>
          <w:b/>
          <w:color w:val="F8991D"/>
          <w:sz w:val="20"/>
        </w:rPr>
        <w:t xml:space="preserve">AVAILABILITY OF BYLAWS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A copy of the Bylaws may be obtained by accessing our filings on the SEC’s website at </w:t>
      </w:r>
      <w:r>
        <w:rPr>
          <w:rFonts w:ascii="Arial" w:hAnsi="Arial"/>
          <w:i/>
          <w:color w:val="000000"/>
          <w:sz w:val="18"/>
        </w:rPr>
        <w:t>www.sec.gov</w:t>
      </w:r>
      <w:r>
        <w:rPr>
          <w:rFonts w:ascii="Arial" w:hAnsi="Arial"/>
          <w:color w:val="000000"/>
          <w:sz w:val="18"/>
        </w:rPr>
        <w:t xml:space="preserve">. You may also contact our corporate secretary at our principal executive offices for a copy of the relevant Bylaw provisions regarding the requirements for making stockholder proposals and nominating director candidates. </w:t>
      </w:r>
    </w:p>
    <w:p>
      <w:pPr>
        <w:pStyle w:val="TextBody"/>
        <w:bidi w:val="0"/>
        <w:spacing w:before="280" w:after="283"/>
        <w:ind w:left="0" w:right="0" w:hanging="0"/>
        <w:jc w:val="left"/>
        <w:rPr>
          <w:rFonts w:ascii="Arial" w:hAnsi="Arial"/>
          <w:b/>
          <w:color w:val="F8991D"/>
          <w:sz w:val="20"/>
        </w:rPr>
      </w:pPr>
      <w:bookmarkStart w:id="138" w:name="tANRE"/>
      <w:bookmarkEnd w:id="138"/>
      <w:r>
        <w:rPr>
          <w:rFonts w:ascii="Arial" w:hAnsi="Arial"/>
          <w:b/>
          <w:color w:val="F8991D"/>
          <w:sz w:val="20"/>
        </w:rPr>
        <w:t xml:space="preserve">2024 ANNUAL REPORT </w:t>
      </w:r>
    </w:p>
    <w:p>
      <w:pPr>
        <w:pStyle w:val="TextBody"/>
        <w:bidi w:val="0"/>
        <w:spacing w:before="120" w:after="283"/>
        <w:ind w:left="0" w:right="0" w:hanging="0"/>
        <w:jc w:val="left"/>
        <w:rPr>
          <w:rFonts w:ascii="Arial" w:hAnsi="Arial"/>
          <w:color w:val="000000"/>
          <w:sz w:val="18"/>
        </w:rPr>
      </w:pPr>
      <w:r>
        <w:rPr>
          <w:rFonts w:ascii="Arial" w:hAnsi="Arial"/>
          <w:color w:val="000000"/>
          <w:sz w:val="18"/>
        </w:rPr>
        <w:t xml:space="preserve">Our financial statements for our fiscal year ended December 31, 2024, are included in our Annual Report on Form 10-K, filed with the SEC on February 27, 2025, which we will make available to stockholders at the same time as this proxy statement. Our proxy materials and our annual report are posted on our website at </w:t>
      </w:r>
      <w:r>
        <w:rPr>
          <w:rFonts w:ascii="Arial" w:hAnsi="Arial"/>
          <w:i/>
          <w:color w:val="000000"/>
          <w:sz w:val="18"/>
        </w:rPr>
        <w:t>www.athira.com</w:t>
      </w:r>
      <w:r>
        <w:rPr>
          <w:rFonts w:ascii="Arial" w:hAnsi="Arial"/>
          <w:color w:val="000000"/>
          <w:sz w:val="18"/>
        </w:rPr>
        <w:t xml:space="preserve"> and are available from the SEC at its website at </w:t>
      </w:r>
      <w:r>
        <w:rPr>
          <w:rFonts w:ascii="Arial" w:hAnsi="Arial"/>
          <w:i/>
          <w:color w:val="000000"/>
          <w:sz w:val="18"/>
        </w:rPr>
        <w:t>www.sec.gov</w:t>
      </w:r>
      <w:r>
        <w:rPr>
          <w:rFonts w:ascii="Arial" w:hAnsi="Arial"/>
          <w:color w:val="000000"/>
          <w:sz w:val="18"/>
        </w:rPr>
        <w:t xml:space="preserve">. </w:t>
      </w:r>
      <w:r>
        <w:rPr>
          <w:rFonts w:ascii="Arial" w:hAnsi="Arial"/>
          <w:b/>
          <w:color w:val="255993"/>
          <w:sz w:val="18"/>
        </w:rPr>
        <w:t>You may also obtain a copy of our annual report, free of charge, by sending a written request to Athira Pharma, Inc., 18706 North Creek Parkway, Suite 104, Bothell, Washington 98011, Attention: Investor Relations.</w:t>
      </w:r>
      <w:r>
        <w:rPr>
          <w:rFonts w:ascii="Arial" w:hAnsi="Arial"/>
          <w:color w:val="000000"/>
          <w:sz w:val="18"/>
        </w:rPr>
        <w:t xml:space="preserve">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240" w:after="283"/>
        <w:jc w:val="center"/>
        <w:rPr>
          <w:rFonts w:ascii="Arial" w:hAnsi="Arial"/>
          <w:color w:val="000000"/>
          <w:sz w:val="18"/>
        </w:rPr>
      </w:pPr>
      <w:r>
        <w:rPr>
          <w:rFonts w:ascii="Arial" w:hAnsi="Arial"/>
          <w:color w:val="000000"/>
          <w:sz w:val="18"/>
        </w:rPr>
        <w:t xml:space="preserve">* * *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 </w:t>
      </w:r>
    </w:p>
    <w:p>
      <w:pPr>
        <w:pStyle w:val="TextBody"/>
        <w:bidi w:val="0"/>
        <w:spacing w:before="160" w:after="283"/>
        <w:ind w:left="0" w:right="0" w:hanging="0"/>
        <w:jc w:val="left"/>
        <w:rPr>
          <w:rFonts w:ascii="Arial" w:hAnsi="Arial"/>
          <w:color w:val="000000"/>
          <w:sz w:val="18"/>
        </w:rPr>
      </w:pPr>
      <w:r>
        <w:rPr>
          <w:rFonts w:ascii="Arial" w:hAnsi="Arial"/>
          <w:color w:val="000000"/>
          <w:sz w:val="18"/>
        </w:rPr>
        <w:t xml:space="preserve">It is important that your shares be represented at the Annual Meeting, regardless of the number of shares that you hold. You are, therefore, urged to vote as promptly as possible to ensure your vote is recorded. </w:t>
      </w:r>
    </w:p>
    <w:p>
      <w:pPr>
        <w:pStyle w:val="TextBody"/>
        <w:bidi w:val="0"/>
        <w:spacing w:before="560" w:after="283"/>
        <w:ind w:left="0" w:right="0" w:hanging="0"/>
        <w:jc w:val="left"/>
        <w:rPr>
          <w:rFonts w:ascii="Arial" w:hAnsi="Arial"/>
          <w:b/>
          <w:color w:val="255993"/>
          <w:sz w:val="18"/>
        </w:rPr>
      </w:pPr>
      <w:r>
        <w:rPr>
          <w:rFonts w:ascii="Arial" w:hAnsi="Arial"/>
          <w:b/>
          <w:color w:val="255993"/>
          <w:sz w:val="18"/>
        </w:rPr>
        <w:t xml:space="preserve">THE BOARD OF DIRECTORS </w:t>
      </w:r>
    </w:p>
    <w:p>
      <w:pPr>
        <w:pStyle w:val="TextBody"/>
        <w:bidi w:val="0"/>
        <w:spacing w:before="130" w:after="283"/>
        <w:ind w:left="0" w:right="0" w:hanging="0"/>
        <w:jc w:val="left"/>
        <w:rPr>
          <w:rFonts w:ascii="Arial" w:hAnsi="Arial"/>
          <w:color w:val="000000"/>
          <w:sz w:val="18"/>
        </w:rPr>
      </w:pPr>
      <w:r>
        <w:rPr>
          <w:rFonts w:ascii="Arial" w:hAnsi="Arial"/>
          <w:color w:val="000000"/>
          <w:sz w:val="18"/>
        </w:rPr>
        <w:t xml:space="preserve">Bothell, Washington </w:t>
      </w:r>
    </w:p>
    <w:p>
      <w:pPr>
        <w:pStyle w:val="TextBody"/>
        <w:bidi w:val="0"/>
        <w:spacing w:before="0" w:after="283"/>
        <w:ind w:left="0" w:right="0" w:hanging="0"/>
        <w:jc w:val="left"/>
        <w:rPr>
          <w:rFonts w:ascii="Arial" w:hAnsi="Arial"/>
          <w:color w:val="000000"/>
          <w:sz w:val="18"/>
        </w:rPr>
      </w:pPr>
      <w:r>
        <w:rPr>
          <w:rFonts w:ascii="Arial" w:hAnsi="Arial"/>
          <w:color w:val="000000"/>
          <w:sz w:val="18"/>
        </w:rPr>
        <w:t xml:space="preserve">April 14, 2025 </w:t>
      </w:r>
    </w:p>
    <w:tbl>
      <w:tblPr>
        <w:tblW w:w="4085" w:type="dxa"/>
        <w:jc w:val="left"/>
        <w:tblInd w:w="0" w:type="dxa"/>
        <w:tblLayout w:type="fixed"/>
        <w:tblCellMar>
          <w:top w:w="0" w:type="dxa"/>
          <w:left w:w="0" w:type="dxa"/>
          <w:bottom w:w="0" w:type="dxa"/>
          <w:right w:w="0" w:type="dxa"/>
        </w:tblCellMar>
      </w:tblPr>
      <w:tblGrid>
        <w:gridCol w:w="1460"/>
        <w:gridCol w:w="170"/>
        <w:gridCol w:w="170"/>
        <w:gridCol w:w="23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39" w:name="ny20044300x2_def14a_113-appa_pg1"/>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40" w:name="tANNXA"/>
      <w:bookmarkEnd w:id="140"/>
      <w:r>
        <w:rPr>
          <w:rFonts w:ascii="Times;Georgia" w:hAnsi="Times;Georgia"/>
          <w:color w:val="255993"/>
          <w:sz w:val="64"/>
        </w:rPr>
        <w:t xml:space="preserve">Annex A </w:t>
      </w:r>
    </w:p>
    <w:p>
      <w:pPr>
        <w:pStyle w:val="TextBody"/>
        <w:bidi w:val="0"/>
        <w:spacing w:before="260" w:after="283"/>
        <w:jc w:val="center"/>
        <w:rPr>
          <w:rFonts w:ascii="Arial" w:hAnsi="Arial"/>
          <w:b/>
          <w:color w:val="000000"/>
          <w:sz w:val="18"/>
        </w:rPr>
      </w:pPr>
      <w:r>
        <w:rPr>
          <w:rFonts w:ascii="Arial" w:hAnsi="Arial"/>
          <w:b/>
          <w:color w:val="000000"/>
          <w:sz w:val="18"/>
        </w:rPr>
        <w:t xml:space="preserve">CERTIFICATE OF AMENDMENT </w:t>
      </w:r>
    </w:p>
    <w:p>
      <w:pPr>
        <w:pStyle w:val="TextBody"/>
        <w:bidi w:val="0"/>
        <w:spacing w:before="0" w:after="283"/>
        <w:jc w:val="center"/>
        <w:rPr>
          <w:rFonts w:ascii="Arial" w:hAnsi="Arial"/>
          <w:b/>
          <w:color w:val="000000"/>
          <w:sz w:val="18"/>
        </w:rPr>
      </w:pPr>
      <w:r>
        <w:rPr>
          <w:rFonts w:ascii="Arial" w:hAnsi="Arial"/>
          <w:b/>
          <w:color w:val="000000"/>
          <w:sz w:val="18"/>
        </w:rPr>
        <w:t>TO THE</w:t>
      </w:r>
    </w:p>
    <w:p>
      <w:pPr>
        <w:pStyle w:val="TextBody"/>
        <w:bidi w:val="0"/>
        <w:spacing w:before="0" w:after="283"/>
        <w:jc w:val="center"/>
        <w:rPr>
          <w:rFonts w:ascii="Arial" w:hAnsi="Arial"/>
          <w:b/>
          <w:color w:val="000000"/>
          <w:sz w:val="18"/>
        </w:rPr>
      </w:pPr>
      <w:r>
        <w:rPr>
          <w:rFonts w:ascii="Arial" w:hAnsi="Arial"/>
          <w:b/>
          <w:color w:val="000000"/>
          <w:sz w:val="18"/>
        </w:rPr>
        <w:t xml:space="preserve">AMENDED AND RESTATED CERTIFICATE OF INCORPORATION </w:t>
      </w:r>
    </w:p>
    <w:p>
      <w:pPr>
        <w:pStyle w:val="TextBody"/>
        <w:bidi w:val="0"/>
        <w:spacing w:before="0" w:after="283"/>
        <w:jc w:val="center"/>
        <w:rPr>
          <w:rFonts w:ascii="Arial" w:hAnsi="Arial"/>
          <w:b/>
          <w:color w:val="000000"/>
          <w:sz w:val="18"/>
        </w:rPr>
      </w:pPr>
      <w:r>
        <w:rPr>
          <w:rFonts w:ascii="Arial" w:hAnsi="Arial"/>
          <w:b/>
          <w:color w:val="000000"/>
          <w:sz w:val="18"/>
        </w:rPr>
        <w:t>OF</w:t>
      </w:r>
    </w:p>
    <w:p>
      <w:pPr>
        <w:pStyle w:val="TextBody"/>
        <w:bidi w:val="0"/>
        <w:spacing w:before="0" w:after="283"/>
        <w:jc w:val="center"/>
        <w:rPr>
          <w:rFonts w:ascii="Arial" w:hAnsi="Arial"/>
          <w:b/>
          <w:color w:val="000000"/>
          <w:sz w:val="18"/>
        </w:rPr>
      </w:pPr>
      <w:r>
        <w:rPr>
          <w:rFonts w:ascii="Arial" w:hAnsi="Arial"/>
          <w:b/>
          <w:color w:val="000000"/>
          <w:sz w:val="18"/>
        </w:rPr>
        <w:t xml:space="preserve">ATHIRA PHARMA, INC. </w:t>
      </w:r>
    </w:p>
    <w:p>
      <w:pPr>
        <w:pStyle w:val="TextBody"/>
        <w:bidi w:val="0"/>
        <w:spacing w:before="120" w:after="283"/>
        <w:ind w:left="0" w:right="0" w:firstLine="400"/>
        <w:jc w:val="left"/>
        <w:rPr>
          <w:rFonts w:ascii="Arial" w:hAnsi="Arial"/>
          <w:color w:val="000000"/>
          <w:sz w:val="20"/>
        </w:rPr>
      </w:pPr>
      <w:r>
        <w:rPr>
          <w:rFonts w:ascii="Arial" w:hAnsi="Arial"/>
          <w:color w:val="000000"/>
          <w:sz w:val="20"/>
        </w:rPr>
        <w:t>Athira Pharma, Inc., a corporation organized and existing under the laws of the State of Delaware (the “</w:t>
      </w:r>
      <w:r>
        <w:rPr>
          <w:rFonts w:ascii="Arial" w:hAnsi="Arial"/>
          <w:b/>
          <w:color w:val="000000"/>
          <w:sz w:val="20"/>
        </w:rPr>
        <w:t>Company</w:t>
      </w:r>
      <w:r>
        <w:rPr>
          <w:rFonts w:ascii="Arial" w:hAnsi="Arial"/>
          <w:color w:val="000000"/>
          <w:sz w:val="20"/>
        </w:rPr>
        <w:t xml:space="preserve">”), does hereby certify as follows: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1. The Company was originally incorporated under the name of M3 Biotechnology, Inc., and the original Certificate of Incorporation of the Company was filed with the Secretary of State of the State of Delaware on October 27, 2015.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hAnsi="Arial"/>
          <w:b/>
          <w:color w:val="000000"/>
          <w:sz w:val="20"/>
        </w:rPr>
        <w:t>Board of Directors</w:t>
      </w:r>
      <w:r>
        <w:rPr>
          <w:rFonts w:ascii="Arial" w:hAnsi="Arial"/>
          <w:color w:val="000000"/>
          <w:sz w:val="20"/>
        </w:rPr>
        <w:t xml:space="preserve">”) and the stockholders of the Company.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3. Section 1 of Article IV of the Amended and Restated Certificate of Incorporation of the Company, as amended, is hereby amended and restated in its entirety to read as follows: </w:t>
      </w:r>
    </w:p>
    <w:p>
      <w:pPr>
        <w:pStyle w:val="TextBody"/>
        <w:bidi w:val="0"/>
        <w:spacing w:before="120" w:after="283"/>
        <w:ind w:left="800" w:right="0" w:firstLine="400"/>
        <w:jc w:val="left"/>
        <w:rPr>
          <w:color w:val="000000"/>
        </w:rPr>
      </w:pPr>
      <w:r>
        <w:rPr>
          <w:color w:val="000000"/>
        </w:rPr>
        <w:t>“</w:t>
      </w:r>
      <w:r>
        <w:rPr>
          <w:rFonts w:ascii="Arial" w:hAnsi="Arial"/>
          <w:color w:val="000000"/>
          <w:sz w:val="20"/>
        </w:rPr>
        <w:t>Section 1. Effective immediately upon the filing and effectiveness of this Certificate of Amendment (the “</w:t>
      </w:r>
      <w:r>
        <w:rPr>
          <w:rFonts w:ascii="Arial" w:hAnsi="Arial"/>
          <w:b/>
          <w:color w:val="000000"/>
          <w:sz w:val="20"/>
        </w:rPr>
        <w:t>Effective Time</w:t>
      </w:r>
      <w:r>
        <w:rPr>
          <w:rFonts w:ascii="Arial" w:hAnsi="Arial"/>
          <w:color w:val="000000"/>
          <w:sz w:val="20"/>
        </w:rPr>
        <w:t>”), each five (5) shares of Common Stock of the Company, par value $0.0001 per share, that are issued and outstanding or held in treasury on the Effective Time shall be combined into one (1) validly issued, fully paid and non-assessable share of Common Stock of the Company, par value $0.0001 per share, subject to the treatment of fractional share interests as described below (the “</w:t>
      </w:r>
      <w:r>
        <w:rPr>
          <w:rFonts w:ascii="Arial" w:hAnsi="Arial"/>
          <w:b/>
          <w:color w:val="000000"/>
          <w:sz w:val="20"/>
        </w:rPr>
        <w:t>Reverse Stock Split</w:t>
      </w:r>
      <w:r>
        <w:rPr>
          <w:rFonts w:ascii="Arial" w:hAnsi="Arial"/>
          <w:color w:val="000000"/>
          <w:sz w:val="20"/>
        </w:rPr>
        <w:t xml:space="preserve">”). No fractional shares shall be issued upon the Reverse Stock Split. </w:t>
      </w:r>
    </w:p>
    <w:p>
      <w:pPr>
        <w:pStyle w:val="TextBody"/>
        <w:bidi w:val="0"/>
        <w:spacing w:before="120" w:after="283"/>
        <w:ind w:left="800" w:right="0" w:firstLine="400"/>
        <w:jc w:val="left"/>
        <w:rPr>
          <w:rFonts w:ascii="Arial" w:hAnsi="Arial"/>
          <w:color w:val="000000"/>
          <w:sz w:val="20"/>
        </w:rPr>
      </w:pPr>
      <w:r>
        <w:rPr>
          <w:rFonts w:ascii="Arial" w:hAnsi="Arial"/>
          <w:color w:val="000000"/>
          <w:sz w:val="20"/>
        </w:rPr>
        <w:t xml:space="preserve">This Company is authorized to issue two classes of stock, to be designated, respectively, Common Stock and Preferred Stock. The total number of shares of stock that the Company shall have authority to issue is 280,000,000 shares, of which 180,000,000 shares are Common Stock, $0.0001 par value per share, and 100,000,000 shares are Preferred Stock, $0.0001 par value per share.” </w:t>
      </w:r>
    </w:p>
    <w:p>
      <w:pPr>
        <w:pStyle w:val="TextBody"/>
        <w:bidi w:val="0"/>
        <w:spacing w:before="160" w:after="283"/>
        <w:ind w:left="400" w:right="0" w:firstLine="400"/>
        <w:jc w:val="left"/>
        <w:rPr>
          <w:rFonts w:ascii="Arial" w:hAnsi="Arial"/>
          <w:color w:val="000000"/>
          <w:sz w:val="20"/>
        </w:rPr>
      </w:pPr>
      <w:r>
        <w:rPr>
          <w:rFonts w:ascii="Arial" w:hAnsi="Arial"/>
          <w:color w:val="000000"/>
          <w:sz w:val="20"/>
        </w:rPr>
        <w:t xml:space="preserve">4. This Certificate of Amendment shall become effective on [•], 2025 at [•]. Eastern Time. </w:t>
      </w:r>
    </w:p>
    <w:p>
      <w:pPr>
        <w:pStyle w:val="TextBody"/>
        <w:bidi w:val="0"/>
        <w:spacing w:before="120" w:after="283"/>
        <w:ind w:left="0" w:right="0" w:firstLine="400"/>
        <w:jc w:val="left"/>
        <w:rPr>
          <w:rFonts w:ascii="Arial" w:hAnsi="Arial"/>
          <w:color w:val="000000"/>
          <w:sz w:val="20"/>
        </w:rPr>
      </w:pPr>
      <w:r>
        <w:rPr>
          <w:rFonts w:ascii="Arial" w:hAnsi="Arial"/>
          <w:color w:val="000000"/>
          <w:sz w:val="20"/>
        </w:rPr>
        <w:t>IN WITNESS WHEREOF, the Company has caused this Certificate of Amendment to the Amended and Restated Certificate of Incorporation of the Company, as amended, to be signed by a duly authorized officer of the Company, on [•], 2025.</w:t>
      </w:r>
    </w:p>
    <w:tbl>
      <w:tblPr>
        <w:tblW w:w="3905" w:type="dxa"/>
        <w:jc w:val="left"/>
        <w:tblInd w:w="0" w:type="dxa"/>
        <w:tblLayout w:type="fixed"/>
        <w:tblCellMar>
          <w:top w:w="0" w:type="dxa"/>
          <w:left w:w="0" w:type="dxa"/>
          <w:bottom w:w="0" w:type="dxa"/>
          <w:right w:w="0" w:type="dxa"/>
        </w:tblCellMar>
      </w:tblPr>
      <w:tblGrid>
        <w:gridCol w:w="185"/>
        <w:gridCol w:w="170"/>
        <w:gridCol w:w="170"/>
        <w:gridCol w:w="338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b/>
                <w:color w:val="000000"/>
                <w:sz w:val="20"/>
              </w:rPr>
            </w:pPr>
            <w:r>
              <w:rPr>
                <w:rFonts w:ascii="Arial" w:hAnsi="Arial"/>
                <w:b/>
                <w:color w:val="000000"/>
                <w:sz w:val="20"/>
              </w:rPr>
              <w:t xml:space="preserve">ATHIRA PHARMA,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color w:val="000000"/>
                <w:sz w:val="20"/>
              </w:rPr>
            </w:pPr>
            <w:r>
              <w:rPr>
                <w:rFonts w:ascii="Arial" w:hAnsi="Arial"/>
                <w:color w:val="000000"/>
                <w:sz w:val="20"/>
              </w:rPr>
              <w:t xml:space="preserve">Mark Litton </w:t>
            </w:r>
          </w:p>
          <w:p>
            <w:pPr>
              <w:pStyle w:val="TableContents"/>
              <w:bidi w:val="0"/>
              <w:spacing w:before="0" w:after="283"/>
              <w:ind w:left="0" w:right="0" w:hanging="0"/>
              <w:jc w:val="left"/>
              <w:rPr>
                <w:rFonts w:ascii="Arial" w:hAnsi="Arial"/>
                <w:color w:val="000000"/>
                <w:sz w:val="20"/>
              </w:rPr>
            </w:pPr>
            <w:r>
              <w:rPr>
                <w:rFonts w:ascii="Arial" w:hAnsi="Arial"/>
                <w:color w:val="000000"/>
                <w:sz w:val="20"/>
              </w:rPr>
              <w:t>President and 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bl>
    <w:tbl>
      <w:tblPr>
        <w:tblW w:w="4175" w:type="dxa"/>
        <w:jc w:val="left"/>
        <w:tblInd w:w="0" w:type="dxa"/>
        <w:tblLayout w:type="fixed"/>
        <w:tblCellMar>
          <w:top w:w="0" w:type="dxa"/>
          <w:left w:w="0" w:type="dxa"/>
          <w:bottom w:w="0" w:type="dxa"/>
          <w:right w:w="0" w:type="dxa"/>
        </w:tblCellMar>
      </w:tblPr>
      <w:tblGrid>
        <w:gridCol w:w="1460"/>
        <w:gridCol w:w="170"/>
        <w:gridCol w:w="170"/>
        <w:gridCol w:w="32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A-1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41" w:name="ny20044300x2_def14a_114-appb_pg1"/>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42" w:name="tANNXB"/>
      <w:bookmarkEnd w:id="142"/>
      <w:r>
        <w:rPr>
          <w:rFonts w:ascii="Times;Georgia" w:hAnsi="Times;Georgia"/>
          <w:color w:val="255993"/>
          <w:sz w:val="64"/>
        </w:rPr>
        <w:t xml:space="preserve">Annex B </w:t>
      </w:r>
    </w:p>
    <w:p>
      <w:pPr>
        <w:pStyle w:val="TextBody"/>
        <w:bidi w:val="0"/>
        <w:spacing w:before="260" w:after="283"/>
        <w:jc w:val="center"/>
        <w:rPr>
          <w:rFonts w:ascii="Arial" w:hAnsi="Arial"/>
          <w:b/>
          <w:color w:val="000000"/>
          <w:sz w:val="18"/>
        </w:rPr>
      </w:pPr>
      <w:r>
        <w:rPr>
          <w:rFonts w:ascii="Arial" w:hAnsi="Arial"/>
          <w:b/>
          <w:color w:val="000000"/>
          <w:sz w:val="18"/>
        </w:rPr>
        <w:t>CERTIFICATE OF AMENDMENT</w:t>
      </w:r>
    </w:p>
    <w:p>
      <w:pPr>
        <w:pStyle w:val="TextBody"/>
        <w:bidi w:val="0"/>
        <w:spacing w:before="0" w:after="283"/>
        <w:jc w:val="center"/>
        <w:rPr>
          <w:rFonts w:ascii="Arial" w:hAnsi="Arial"/>
          <w:b/>
          <w:color w:val="000000"/>
          <w:sz w:val="18"/>
        </w:rPr>
      </w:pPr>
      <w:r>
        <w:rPr>
          <w:rFonts w:ascii="Arial" w:hAnsi="Arial"/>
          <w:b/>
          <w:color w:val="000000"/>
          <w:sz w:val="18"/>
        </w:rPr>
        <w:t>TO THE</w:t>
      </w:r>
    </w:p>
    <w:p>
      <w:pPr>
        <w:pStyle w:val="TextBody"/>
        <w:bidi w:val="0"/>
        <w:spacing w:before="0" w:after="283"/>
        <w:jc w:val="center"/>
        <w:rPr>
          <w:rFonts w:ascii="Arial" w:hAnsi="Arial"/>
          <w:b/>
          <w:color w:val="000000"/>
          <w:sz w:val="18"/>
        </w:rPr>
      </w:pPr>
      <w:r>
        <w:rPr>
          <w:rFonts w:ascii="Arial" w:hAnsi="Arial"/>
          <w:b/>
          <w:color w:val="000000"/>
          <w:sz w:val="18"/>
        </w:rPr>
        <w:t>AMENDED AND RESTATED CERTIFICATE OF INCORPORATION</w:t>
      </w:r>
    </w:p>
    <w:p>
      <w:pPr>
        <w:pStyle w:val="TextBody"/>
        <w:bidi w:val="0"/>
        <w:spacing w:before="0" w:after="283"/>
        <w:jc w:val="center"/>
        <w:rPr>
          <w:rFonts w:ascii="Arial" w:hAnsi="Arial"/>
          <w:b/>
          <w:color w:val="000000"/>
          <w:sz w:val="18"/>
        </w:rPr>
      </w:pPr>
      <w:r>
        <w:rPr>
          <w:rFonts w:ascii="Arial" w:hAnsi="Arial"/>
          <w:b/>
          <w:color w:val="000000"/>
          <w:sz w:val="18"/>
        </w:rPr>
        <w:t>OF</w:t>
      </w:r>
    </w:p>
    <w:p>
      <w:pPr>
        <w:pStyle w:val="TextBody"/>
        <w:bidi w:val="0"/>
        <w:spacing w:before="0" w:after="283"/>
        <w:jc w:val="center"/>
        <w:rPr>
          <w:rFonts w:ascii="Arial" w:hAnsi="Arial"/>
          <w:b/>
          <w:color w:val="000000"/>
          <w:sz w:val="18"/>
        </w:rPr>
      </w:pPr>
      <w:r>
        <w:rPr>
          <w:rFonts w:ascii="Arial" w:hAnsi="Arial"/>
          <w:b/>
          <w:color w:val="000000"/>
          <w:sz w:val="18"/>
        </w:rPr>
        <w:t xml:space="preserve">ATHIRA PHARMA, INC. </w:t>
      </w:r>
    </w:p>
    <w:p>
      <w:pPr>
        <w:pStyle w:val="TextBody"/>
        <w:bidi w:val="0"/>
        <w:spacing w:before="120" w:after="283"/>
        <w:ind w:left="0" w:right="0" w:firstLine="400"/>
        <w:jc w:val="left"/>
        <w:rPr>
          <w:rFonts w:ascii="Arial" w:hAnsi="Arial"/>
          <w:color w:val="000000"/>
          <w:sz w:val="20"/>
        </w:rPr>
      </w:pPr>
      <w:r>
        <w:rPr>
          <w:rFonts w:ascii="Arial" w:hAnsi="Arial"/>
          <w:color w:val="000000"/>
          <w:sz w:val="20"/>
        </w:rPr>
        <w:t>Athira Pharma, Inc., a corporation organized and existing under the laws of the State of Delaware (the “</w:t>
      </w:r>
      <w:r>
        <w:rPr>
          <w:rFonts w:ascii="Arial" w:hAnsi="Arial"/>
          <w:b/>
          <w:color w:val="000000"/>
          <w:sz w:val="20"/>
        </w:rPr>
        <w:t>Company</w:t>
      </w:r>
      <w:r>
        <w:rPr>
          <w:rFonts w:ascii="Arial" w:hAnsi="Arial"/>
          <w:color w:val="000000"/>
          <w:sz w:val="20"/>
        </w:rPr>
        <w:t xml:space="preserve">”), does hereby certify as follows: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1. The Company was originally incorporated under the name of M3 Biotechnology, Inc., and the original Certificate of Incorporation of the Company was filed with the Secretary of State of the State of Delaware on October 27, 2015.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hAnsi="Arial"/>
          <w:b/>
          <w:color w:val="000000"/>
          <w:sz w:val="20"/>
        </w:rPr>
        <w:t>Board of Directors</w:t>
      </w:r>
      <w:r>
        <w:rPr>
          <w:rFonts w:ascii="Arial" w:hAnsi="Arial"/>
          <w:color w:val="000000"/>
          <w:sz w:val="20"/>
        </w:rPr>
        <w:t xml:space="preserve">”) and the stockholders of the Company.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3. Section 1 of Article IV of the Amended and Restated Certificate of Incorporation of the Company, as amended, is hereby amended and restated in its entirety to read as follows: </w:t>
      </w:r>
    </w:p>
    <w:p>
      <w:pPr>
        <w:pStyle w:val="TextBody"/>
        <w:bidi w:val="0"/>
        <w:spacing w:before="120" w:after="283"/>
        <w:ind w:left="800" w:right="0" w:firstLine="400"/>
        <w:jc w:val="left"/>
        <w:rPr>
          <w:color w:val="000000"/>
        </w:rPr>
      </w:pPr>
      <w:r>
        <w:rPr>
          <w:color w:val="000000"/>
        </w:rPr>
        <w:t>“</w:t>
      </w:r>
      <w:r>
        <w:rPr>
          <w:rFonts w:ascii="Arial" w:hAnsi="Arial"/>
          <w:color w:val="000000"/>
          <w:sz w:val="20"/>
        </w:rPr>
        <w:t>Section 1. Effective immediately upon the filing and effectiveness of this Certificate of Amendment (the “</w:t>
      </w:r>
      <w:r>
        <w:rPr>
          <w:rFonts w:ascii="Arial" w:hAnsi="Arial"/>
          <w:b/>
          <w:color w:val="000000"/>
          <w:sz w:val="20"/>
        </w:rPr>
        <w:t>Effective Time</w:t>
      </w:r>
      <w:r>
        <w:rPr>
          <w:rFonts w:ascii="Arial" w:hAnsi="Arial"/>
          <w:color w:val="000000"/>
          <w:sz w:val="20"/>
        </w:rPr>
        <w:t>”), each ten (10) shares of Common Stock of the Company, par value $0.0001 per share, that are issued and outstanding or held in treasury on the Effective Time shall be combined into one (1) validly issued, fully paid and non-assessable share of Common Stock of the Company, par value $0.0001 per share, subject to the treatment of fractional share interests as described below (the “</w:t>
      </w:r>
      <w:r>
        <w:rPr>
          <w:rFonts w:ascii="Arial" w:hAnsi="Arial"/>
          <w:b/>
          <w:color w:val="000000"/>
          <w:sz w:val="20"/>
        </w:rPr>
        <w:t>Reverse Stock Split</w:t>
      </w:r>
      <w:r>
        <w:rPr>
          <w:rFonts w:ascii="Arial" w:hAnsi="Arial"/>
          <w:color w:val="000000"/>
          <w:sz w:val="20"/>
        </w:rPr>
        <w:t xml:space="preserve">”). No fractional shares shall be issued upon the Reverse Stock Split. </w:t>
      </w:r>
    </w:p>
    <w:p>
      <w:pPr>
        <w:pStyle w:val="TextBody"/>
        <w:bidi w:val="0"/>
        <w:spacing w:before="120" w:after="283"/>
        <w:ind w:left="800" w:right="0" w:firstLine="400"/>
        <w:jc w:val="left"/>
        <w:rPr>
          <w:rFonts w:ascii="Arial" w:hAnsi="Arial"/>
          <w:color w:val="000000"/>
          <w:sz w:val="20"/>
        </w:rPr>
      </w:pPr>
      <w:r>
        <w:rPr>
          <w:rFonts w:ascii="Arial" w:hAnsi="Arial"/>
          <w:color w:val="000000"/>
          <w:sz w:val="20"/>
        </w:rPr>
        <w:t xml:space="preserve">This Company is authorized to issue two classes of stock, to be designated, respectively, Common Stock and Preferred Stock. The total number of shares of stock that the Company shall have authority to issue is 190,000,000 shares, of which 90,000,000 shares are Common Stock, $0.0001 par value per share, and 100,000,000 shares are Preferred Stock, $0.0001 par value per share.” </w:t>
      </w:r>
    </w:p>
    <w:p>
      <w:pPr>
        <w:pStyle w:val="TextBody"/>
        <w:bidi w:val="0"/>
        <w:spacing w:before="160" w:after="283"/>
        <w:ind w:left="400" w:right="0" w:firstLine="400"/>
        <w:jc w:val="left"/>
        <w:rPr>
          <w:rFonts w:ascii="Arial" w:hAnsi="Arial"/>
          <w:color w:val="000000"/>
          <w:sz w:val="20"/>
        </w:rPr>
      </w:pPr>
      <w:r>
        <w:rPr>
          <w:rFonts w:ascii="Arial" w:hAnsi="Arial"/>
          <w:color w:val="000000"/>
          <w:sz w:val="20"/>
        </w:rPr>
        <w:t>4. This Certificate of Amendment shall become effective on [•], 2025 at [•]. Eastern Time.</w:t>
      </w:r>
    </w:p>
    <w:p>
      <w:pPr>
        <w:pStyle w:val="TextBody"/>
        <w:bidi w:val="0"/>
        <w:spacing w:before="120" w:after="283"/>
        <w:ind w:left="0" w:right="0" w:firstLine="400"/>
        <w:jc w:val="left"/>
        <w:rPr>
          <w:rFonts w:ascii="Arial" w:hAnsi="Arial"/>
          <w:color w:val="000000"/>
          <w:sz w:val="20"/>
        </w:rPr>
      </w:pPr>
      <w:r>
        <w:rPr>
          <w:rFonts w:ascii="Arial" w:hAnsi="Arial"/>
          <w:color w:val="000000"/>
          <w:sz w:val="20"/>
        </w:rPr>
        <w:t>IN WITNESS WHEREOF, the Company has caused this Certificate of Amendment to the Amended and Restated Certificate of Incorporation of the Company, as amended, to be signed by a duly authorized officer of the Company, on [•], 2025.</w:t>
      </w:r>
    </w:p>
    <w:tbl>
      <w:tblPr>
        <w:tblW w:w="3905" w:type="dxa"/>
        <w:jc w:val="left"/>
        <w:tblInd w:w="0" w:type="dxa"/>
        <w:tblLayout w:type="fixed"/>
        <w:tblCellMar>
          <w:top w:w="0" w:type="dxa"/>
          <w:left w:w="0" w:type="dxa"/>
          <w:bottom w:w="0" w:type="dxa"/>
          <w:right w:w="0" w:type="dxa"/>
        </w:tblCellMar>
      </w:tblPr>
      <w:tblGrid>
        <w:gridCol w:w="185"/>
        <w:gridCol w:w="170"/>
        <w:gridCol w:w="170"/>
        <w:gridCol w:w="338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b/>
                <w:color w:val="000000"/>
                <w:sz w:val="20"/>
              </w:rPr>
            </w:pPr>
            <w:r>
              <w:rPr>
                <w:rFonts w:ascii="Arial" w:hAnsi="Arial"/>
                <w:b/>
                <w:color w:val="000000"/>
                <w:sz w:val="20"/>
              </w:rPr>
              <w:t xml:space="preserve">ATHIRA PHARMA,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color w:val="000000"/>
                <w:sz w:val="20"/>
              </w:rPr>
            </w:pPr>
            <w:r>
              <w:rPr>
                <w:rFonts w:ascii="Arial" w:hAnsi="Arial"/>
                <w:color w:val="000000"/>
                <w:sz w:val="20"/>
              </w:rPr>
              <w:t xml:space="preserve">Mark Litton </w:t>
            </w:r>
          </w:p>
          <w:p>
            <w:pPr>
              <w:pStyle w:val="TableContents"/>
              <w:bidi w:val="0"/>
              <w:spacing w:before="0" w:after="283"/>
              <w:ind w:left="0" w:right="0" w:hanging="0"/>
              <w:jc w:val="left"/>
              <w:rPr>
                <w:rFonts w:ascii="Arial" w:hAnsi="Arial"/>
                <w:color w:val="000000"/>
                <w:sz w:val="20"/>
              </w:rPr>
            </w:pPr>
            <w:r>
              <w:rPr>
                <w:rFonts w:ascii="Arial" w:hAnsi="Arial"/>
                <w:color w:val="000000"/>
                <w:sz w:val="20"/>
              </w:rPr>
              <w:t>President and 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bl>
    <w:tbl>
      <w:tblPr>
        <w:tblW w:w="4175" w:type="dxa"/>
        <w:jc w:val="left"/>
        <w:tblInd w:w="0" w:type="dxa"/>
        <w:tblLayout w:type="fixed"/>
        <w:tblCellMar>
          <w:top w:w="0" w:type="dxa"/>
          <w:left w:w="0" w:type="dxa"/>
          <w:bottom w:w="0" w:type="dxa"/>
          <w:right w:w="0" w:type="dxa"/>
        </w:tblCellMar>
      </w:tblPr>
      <w:tblGrid>
        <w:gridCol w:w="1460"/>
        <w:gridCol w:w="170"/>
        <w:gridCol w:w="170"/>
        <w:gridCol w:w="32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B-1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43" w:name="ny20044300x2_def14a_115-appc_pg1"/>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44" w:name="tANNXC"/>
      <w:bookmarkEnd w:id="144"/>
      <w:r>
        <w:rPr>
          <w:rFonts w:ascii="Times;Georgia" w:hAnsi="Times;Georgia"/>
          <w:color w:val="255993"/>
          <w:sz w:val="64"/>
        </w:rPr>
        <w:t xml:space="preserve">Annex C </w:t>
      </w:r>
    </w:p>
    <w:p>
      <w:pPr>
        <w:pStyle w:val="TextBody"/>
        <w:bidi w:val="0"/>
        <w:spacing w:before="260" w:after="283"/>
        <w:jc w:val="center"/>
        <w:rPr>
          <w:rFonts w:ascii="Arial" w:hAnsi="Arial"/>
          <w:b/>
          <w:color w:val="000000"/>
          <w:sz w:val="18"/>
        </w:rPr>
      </w:pPr>
      <w:r>
        <w:rPr>
          <w:rFonts w:ascii="Arial" w:hAnsi="Arial"/>
          <w:b/>
          <w:color w:val="000000"/>
          <w:sz w:val="18"/>
        </w:rPr>
        <w:t>CERTIFICATE OF AMENDMENT</w:t>
      </w:r>
    </w:p>
    <w:p>
      <w:pPr>
        <w:pStyle w:val="TextBody"/>
        <w:bidi w:val="0"/>
        <w:spacing w:before="0" w:after="283"/>
        <w:jc w:val="center"/>
        <w:rPr>
          <w:rFonts w:ascii="Arial" w:hAnsi="Arial"/>
          <w:b/>
          <w:color w:val="000000"/>
          <w:sz w:val="18"/>
        </w:rPr>
      </w:pPr>
      <w:r>
        <w:rPr>
          <w:rFonts w:ascii="Arial" w:hAnsi="Arial"/>
          <w:b/>
          <w:color w:val="000000"/>
          <w:sz w:val="18"/>
        </w:rPr>
        <w:t>TO THE</w:t>
      </w:r>
    </w:p>
    <w:p>
      <w:pPr>
        <w:pStyle w:val="TextBody"/>
        <w:bidi w:val="0"/>
        <w:spacing w:before="0" w:after="283"/>
        <w:jc w:val="center"/>
        <w:rPr>
          <w:rFonts w:ascii="Arial" w:hAnsi="Arial"/>
          <w:b/>
          <w:color w:val="000000"/>
          <w:sz w:val="18"/>
        </w:rPr>
      </w:pPr>
      <w:r>
        <w:rPr>
          <w:rFonts w:ascii="Arial" w:hAnsi="Arial"/>
          <w:b/>
          <w:color w:val="000000"/>
          <w:sz w:val="18"/>
        </w:rPr>
        <w:t>AMENDED AND RESTATED CERTIFICATE OF INCORPORATION</w:t>
      </w:r>
    </w:p>
    <w:p>
      <w:pPr>
        <w:pStyle w:val="TextBody"/>
        <w:bidi w:val="0"/>
        <w:spacing w:before="0" w:after="283"/>
        <w:jc w:val="center"/>
        <w:rPr>
          <w:rFonts w:ascii="Arial" w:hAnsi="Arial"/>
          <w:b/>
          <w:color w:val="000000"/>
          <w:sz w:val="18"/>
        </w:rPr>
      </w:pPr>
      <w:r>
        <w:rPr>
          <w:rFonts w:ascii="Arial" w:hAnsi="Arial"/>
          <w:b/>
          <w:color w:val="000000"/>
          <w:sz w:val="18"/>
        </w:rPr>
        <w:t>OF</w:t>
      </w:r>
    </w:p>
    <w:p>
      <w:pPr>
        <w:pStyle w:val="TextBody"/>
        <w:bidi w:val="0"/>
        <w:spacing w:before="0" w:after="283"/>
        <w:jc w:val="center"/>
        <w:rPr>
          <w:rFonts w:ascii="Arial" w:hAnsi="Arial"/>
          <w:b/>
          <w:color w:val="000000"/>
          <w:sz w:val="18"/>
        </w:rPr>
      </w:pPr>
      <w:r>
        <w:rPr>
          <w:rFonts w:ascii="Arial" w:hAnsi="Arial"/>
          <w:b/>
          <w:color w:val="000000"/>
          <w:sz w:val="18"/>
        </w:rPr>
        <w:t xml:space="preserve">ATHIRA PHARMA, INC. </w:t>
      </w:r>
    </w:p>
    <w:p>
      <w:pPr>
        <w:pStyle w:val="TextBody"/>
        <w:bidi w:val="0"/>
        <w:spacing w:before="120" w:after="283"/>
        <w:ind w:left="0" w:right="0" w:firstLine="400"/>
        <w:jc w:val="left"/>
        <w:rPr>
          <w:rFonts w:ascii="Arial" w:hAnsi="Arial"/>
          <w:color w:val="000000"/>
          <w:sz w:val="20"/>
        </w:rPr>
      </w:pPr>
      <w:r>
        <w:rPr>
          <w:rFonts w:ascii="Arial" w:hAnsi="Arial"/>
          <w:color w:val="000000"/>
          <w:sz w:val="20"/>
        </w:rPr>
        <w:t>Athira Pharma, Inc., a corporation organized and existing under the laws of the State of Delaware (the “</w:t>
      </w:r>
      <w:r>
        <w:rPr>
          <w:rFonts w:ascii="Arial" w:hAnsi="Arial"/>
          <w:b/>
          <w:color w:val="000000"/>
          <w:sz w:val="20"/>
        </w:rPr>
        <w:t>Company</w:t>
      </w:r>
      <w:r>
        <w:rPr>
          <w:rFonts w:ascii="Arial" w:hAnsi="Arial"/>
          <w:color w:val="000000"/>
          <w:sz w:val="20"/>
        </w:rPr>
        <w:t xml:space="preserve">”), does hereby certify as follows: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1. The Company was originally incorporated under the name of M3 Biotechnology, Inc., and the original Certificate of Incorporation of the Company was filed with the Secretary of State of the State of Delaware on October 27, 2015.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hAnsi="Arial"/>
          <w:b/>
          <w:color w:val="000000"/>
          <w:sz w:val="20"/>
        </w:rPr>
        <w:t>Board of Directors</w:t>
      </w:r>
      <w:r>
        <w:rPr>
          <w:rFonts w:ascii="Arial" w:hAnsi="Arial"/>
          <w:color w:val="000000"/>
          <w:sz w:val="20"/>
        </w:rPr>
        <w:t xml:space="preserve">”) and the stockholders of the Company.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3. Section 1 of Article IV of the Amended and Restated Certificate of Incorporation of the Company, as amended, is hereby amended and restated in its entirety to read as follows: </w:t>
      </w:r>
    </w:p>
    <w:p>
      <w:pPr>
        <w:pStyle w:val="TextBody"/>
        <w:bidi w:val="0"/>
        <w:spacing w:before="120" w:after="283"/>
        <w:ind w:left="800" w:right="0" w:firstLine="400"/>
        <w:jc w:val="left"/>
        <w:rPr>
          <w:color w:val="000000"/>
        </w:rPr>
      </w:pPr>
      <w:r>
        <w:rPr>
          <w:color w:val="000000"/>
        </w:rPr>
        <w:t>“</w:t>
      </w:r>
      <w:r>
        <w:rPr>
          <w:rFonts w:ascii="Arial" w:hAnsi="Arial"/>
          <w:color w:val="000000"/>
          <w:sz w:val="20"/>
        </w:rPr>
        <w:t>Section 1. Effective immediately upon the filing and effectiveness of this Certificate of Amendment (the “</w:t>
      </w:r>
      <w:r>
        <w:rPr>
          <w:rFonts w:ascii="Arial" w:hAnsi="Arial"/>
          <w:b/>
          <w:color w:val="000000"/>
          <w:sz w:val="20"/>
        </w:rPr>
        <w:t>Effective Time</w:t>
      </w:r>
      <w:r>
        <w:rPr>
          <w:rFonts w:ascii="Arial" w:hAnsi="Arial"/>
          <w:color w:val="000000"/>
          <w:sz w:val="20"/>
        </w:rPr>
        <w:t>”), each fifteen (15) shares of Common Stock of the Company, par value $0.0001 per share, that are issued and outstanding or held in treasury on the Effective Time shall be combined into one (1) validly issued, fully paid and non-assessable share of Common Stock of the Company, par value $0.0001 per share, subject to the treatment of fractional share interests as described below (the “</w:t>
      </w:r>
      <w:r>
        <w:rPr>
          <w:rFonts w:ascii="Arial" w:hAnsi="Arial"/>
          <w:b/>
          <w:color w:val="000000"/>
          <w:sz w:val="20"/>
        </w:rPr>
        <w:t>Reverse Stock Split</w:t>
      </w:r>
      <w:r>
        <w:rPr>
          <w:rFonts w:ascii="Arial" w:hAnsi="Arial"/>
          <w:color w:val="000000"/>
          <w:sz w:val="20"/>
        </w:rPr>
        <w:t xml:space="preserve">”). No fractional shares shall be issued upon the Reverse Stock Split. </w:t>
      </w:r>
    </w:p>
    <w:p>
      <w:pPr>
        <w:pStyle w:val="TextBody"/>
        <w:bidi w:val="0"/>
        <w:spacing w:before="120" w:after="283"/>
        <w:ind w:left="800" w:right="0" w:firstLine="400"/>
        <w:jc w:val="left"/>
        <w:rPr>
          <w:rFonts w:ascii="Arial" w:hAnsi="Arial"/>
          <w:color w:val="000000"/>
          <w:sz w:val="20"/>
        </w:rPr>
      </w:pPr>
      <w:r>
        <w:rPr>
          <w:rFonts w:ascii="Arial" w:hAnsi="Arial"/>
          <w:color w:val="000000"/>
          <w:sz w:val="20"/>
        </w:rPr>
        <w:t xml:space="preserve">This Company is authorized to issue two classes of stock, to be designated, respectively, Common Stock and Preferred Stock. The total number of shares of stock that the Company shall have authority to issue is 160,000,000 shares, of which 60,000,000 shares are Common Stock, $0.0001 par value per share, and 100,000,000 shares are Preferred Stock, $0.0001 par value per share.” </w:t>
      </w:r>
    </w:p>
    <w:p>
      <w:pPr>
        <w:pStyle w:val="TextBody"/>
        <w:bidi w:val="0"/>
        <w:spacing w:before="160" w:after="283"/>
        <w:ind w:left="400" w:right="0" w:firstLine="400"/>
        <w:jc w:val="left"/>
        <w:rPr>
          <w:rFonts w:ascii="Arial" w:hAnsi="Arial"/>
          <w:color w:val="000000"/>
          <w:sz w:val="20"/>
        </w:rPr>
      </w:pPr>
      <w:r>
        <w:rPr>
          <w:rFonts w:ascii="Arial" w:hAnsi="Arial"/>
          <w:color w:val="000000"/>
          <w:sz w:val="20"/>
        </w:rPr>
        <w:t>4. This Certificate of Amendment shall become effective on [•], 2025 at [•]. Eastern Time.</w:t>
      </w:r>
    </w:p>
    <w:p>
      <w:pPr>
        <w:pStyle w:val="TextBody"/>
        <w:bidi w:val="0"/>
        <w:spacing w:before="120" w:after="283"/>
        <w:ind w:left="0" w:right="0" w:firstLine="400"/>
        <w:jc w:val="left"/>
        <w:rPr>
          <w:rFonts w:ascii="Arial" w:hAnsi="Arial"/>
          <w:color w:val="000000"/>
          <w:sz w:val="20"/>
        </w:rPr>
      </w:pPr>
      <w:r>
        <w:rPr>
          <w:rFonts w:ascii="Arial" w:hAnsi="Arial"/>
          <w:color w:val="000000"/>
          <w:sz w:val="20"/>
        </w:rPr>
        <w:t>IN WITNESS WHEREOF, the Company has caused this Certificate of Amendment to the Amended and Restated Certificate of Incorporation of the Company, as amended, to be signed by a duly authorized officer of the Company, on [•], 2025.</w:t>
      </w:r>
    </w:p>
    <w:tbl>
      <w:tblPr>
        <w:tblW w:w="3905" w:type="dxa"/>
        <w:jc w:val="left"/>
        <w:tblInd w:w="0" w:type="dxa"/>
        <w:tblLayout w:type="fixed"/>
        <w:tblCellMar>
          <w:top w:w="0" w:type="dxa"/>
          <w:left w:w="0" w:type="dxa"/>
          <w:bottom w:w="0" w:type="dxa"/>
          <w:right w:w="0" w:type="dxa"/>
        </w:tblCellMar>
      </w:tblPr>
      <w:tblGrid>
        <w:gridCol w:w="185"/>
        <w:gridCol w:w="170"/>
        <w:gridCol w:w="170"/>
        <w:gridCol w:w="338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b/>
                <w:color w:val="000000"/>
                <w:sz w:val="20"/>
              </w:rPr>
            </w:pPr>
            <w:r>
              <w:rPr>
                <w:rFonts w:ascii="Arial" w:hAnsi="Arial"/>
                <w:b/>
                <w:color w:val="000000"/>
                <w:sz w:val="20"/>
              </w:rPr>
              <w:t xml:space="preserve">ATHIRA PHARMA,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color w:val="000000"/>
                <w:sz w:val="20"/>
              </w:rPr>
            </w:pPr>
            <w:r>
              <w:rPr>
                <w:rFonts w:ascii="Arial" w:hAnsi="Arial"/>
                <w:color w:val="000000"/>
                <w:sz w:val="20"/>
              </w:rPr>
              <w:t xml:space="preserve">Mark Litton </w:t>
            </w:r>
          </w:p>
          <w:p>
            <w:pPr>
              <w:pStyle w:val="TableContents"/>
              <w:bidi w:val="0"/>
              <w:spacing w:before="0" w:after="283"/>
              <w:ind w:left="0" w:right="0" w:hanging="0"/>
              <w:jc w:val="left"/>
              <w:rPr>
                <w:rFonts w:ascii="Arial" w:hAnsi="Arial"/>
                <w:color w:val="000000"/>
                <w:sz w:val="20"/>
              </w:rPr>
            </w:pPr>
            <w:r>
              <w:rPr>
                <w:rFonts w:ascii="Arial" w:hAnsi="Arial"/>
                <w:color w:val="000000"/>
                <w:sz w:val="20"/>
              </w:rPr>
              <w:t>President and 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bl>
    <w:tbl>
      <w:tblPr>
        <w:tblW w:w="4175" w:type="dxa"/>
        <w:jc w:val="left"/>
        <w:tblInd w:w="0" w:type="dxa"/>
        <w:tblLayout w:type="fixed"/>
        <w:tblCellMar>
          <w:top w:w="0" w:type="dxa"/>
          <w:left w:w="0" w:type="dxa"/>
          <w:bottom w:w="0" w:type="dxa"/>
          <w:right w:w="0" w:type="dxa"/>
        </w:tblCellMar>
      </w:tblPr>
      <w:tblGrid>
        <w:gridCol w:w="1460"/>
        <w:gridCol w:w="170"/>
        <w:gridCol w:w="170"/>
        <w:gridCol w:w="32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C-1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45" w:name="ny20044300x2_def14a_116-appd_pg1"/>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430" w:after="283"/>
        <w:ind w:left="0" w:right="0" w:hanging="0"/>
        <w:jc w:val="left"/>
        <w:rPr>
          <w:rFonts w:ascii="Times;Georgia" w:hAnsi="Times;Georgia"/>
          <w:color w:val="255993"/>
          <w:sz w:val="64"/>
        </w:rPr>
      </w:pPr>
      <w:bookmarkStart w:id="146" w:name="tANNXD"/>
      <w:bookmarkEnd w:id="146"/>
      <w:r>
        <w:rPr>
          <w:rFonts w:ascii="Times;Georgia" w:hAnsi="Times;Georgia"/>
          <w:color w:val="255993"/>
          <w:sz w:val="64"/>
        </w:rPr>
        <w:t xml:space="preserve">Annex D </w:t>
      </w:r>
    </w:p>
    <w:p>
      <w:pPr>
        <w:pStyle w:val="TextBody"/>
        <w:bidi w:val="0"/>
        <w:spacing w:before="260" w:after="283"/>
        <w:jc w:val="center"/>
        <w:rPr>
          <w:rFonts w:ascii="Arial" w:hAnsi="Arial"/>
          <w:b/>
          <w:color w:val="000000"/>
          <w:sz w:val="18"/>
        </w:rPr>
      </w:pPr>
      <w:r>
        <w:rPr>
          <w:rFonts w:ascii="Arial" w:hAnsi="Arial"/>
          <w:b/>
          <w:color w:val="000000"/>
          <w:sz w:val="18"/>
        </w:rPr>
        <w:t>CERTIFICATE OF AMENDMENT</w:t>
      </w:r>
    </w:p>
    <w:p>
      <w:pPr>
        <w:pStyle w:val="TextBody"/>
        <w:bidi w:val="0"/>
        <w:spacing w:before="0" w:after="283"/>
        <w:jc w:val="center"/>
        <w:rPr>
          <w:rFonts w:ascii="Arial" w:hAnsi="Arial"/>
          <w:b/>
          <w:color w:val="000000"/>
          <w:sz w:val="18"/>
        </w:rPr>
      </w:pPr>
      <w:r>
        <w:rPr>
          <w:rFonts w:ascii="Arial" w:hAnsi="Arial"/>
          <w:b/>
          <w:color w:val="000000"/>
          <w:sz w:val="18"/>
        </w:rPr>
        <w:t>TO THE</w:t>
      </w:r>
    </w:p>
    <w:p>
      <w:pPr>
        <w:pStyle w:val="TextBody"/>
        <w:bidi w:val="0"/>
        <w:spacing w:before="0" w:after="283"/>
        <w:jc w:val="center"/>
        <w:rPr>
          <w:rFonts w:ascii="Arial" w:hAnsi="Arial"/>
          <w:b/>
          <w:color w:val="000000"/>
          <w:sz w:val="18"/>
        </w:rPr>
      </w:pPr>
      <w:r>
        <w:rPr>
          <w:rFonts w:ascii="Arial" w:hAnsi="Arial"/>
          <w:b/>
          <w:color w:val="000000"/>
          <w:sz w:val="18"/>
        </w:rPr>
        <w:t>AMENDED AND RESTATED CERTIFICATE OF INCORPORATION</w:t>
      </w:r>
    </w:p>
    <w:p>
      <w:pPr>
        <w:pStyle w:val="TextBody"/>
        <w:bidi w:val="0"/>
        <w:spacing w:before="0" w:after="283"/>
        <w:jc w:val="center"/>
        <w:rPr>
          <w:rFonts w:ascii="Arial" w:hAnsi="Arial"/>
          <w:b/>
          <w:color w:val="000000"/>
          <w:sz w:val="18"/>
        </w:rPr>
      </w:pPr>
      <w:r>
        <w:rPr>
          <w:rFonts w:ascii="Arial" w:hAnsi="Arial"/>
          <w:b/>
          <w:color w:val="000000"/>
          <w:sz w:val="18"/>
        </w:rPr>
        <w:t>OF</w:t>
      </w:r>
    </w:p>
    <w:p>
      <w:pPr>
        <w:pStyle w:val="TextBody"/>
        <w:bidi w:val="0"/>
        <w:spacing w:before="0" w:after="283"/>
        <w:jc w:val="center"/>
        <w:rPr>
          <w:rFonts w:ascii="Arial" w:hAnsi="Arial"/>
          <w:b/>
          <w:color w:val="000000"/>
          <w:sz w:val="18"/>
        </w:rPr>
      </w:pPr>
      <w:r>
        <w:rPr>
          <w:rFonts w:ascii="Arial" w:hAnsi="Arial"/>
          <w:b/>
          <w:color w:val="000000"/>
          <w:sz w:val="18"/>
        </w:rPr>
        <w:t xml:space="preserve">ATHIRA PHARMA, INC. </w:t>
      </w:r>
    </w:p>
    <w:p>
      <w:pPr>
        <w:pStyle w:val="TextBody"/>
        <w:bidi w:val="0"/>
        <w:spacing w:before="120" w:after="283"/>
        <w:ind w:left="0" w:right="0" w:firstLine="400"/>
        <w:jc w:val="left"/>
        <w:rPr>
          <w:rFonts w:ascii="Arial" w:hAnsi="Arial"/>
          <w:color w:val="000000"/>
          <w:sz w:val="20"/>
        </w:rPr>
      </w:pPr>
      <w:r>
        <w:rPr>
          <w:rFonts w:ascii="Arial" w:hAnsi="Arial"/>
          <w:color w:val="000000"/>
          <w:sz w:val="20"/>
        </w:rPr>
        <w:t>Athira Pharma, Inc., a corporation organized and existing under the laws of the State of Delaware (the “</w:t>
      </w:r>
      <w:r>
        <w:rPr>
          <w:rFonts w:ascii="Arial" w:hAnsi="Arial"/>
          <w:b/>
          <w:color w:val="000000"/>
          <w:sz w:val="20"/>
        </w:rPr>
        <w:t>Company</w:t>
      </w:r>
      <w:r>
        <w:rPr>
          <w:rFonts w:ascii="Arial" w:hAnsi="Arial"/>
          <w:color w:val="000000"/>
          <w:sz w:val="20"/>
        </w:rPr>
        <w:t xml:space="preserve">”), does hereby certify as follows: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1. The Company was originally incorporated under the name of M3 Biotechnology, Inc., and the original Certificate of Incorporation of the Company was filed with the Secretary of State of the State of Delaware on October 27, 2015.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2. This Certificate of Amendment to the Amended and Restated Certificate of Incorporation of the Company, as amended, was duly adopted in accordance with Section 242 of the General Corporation Law of the State of Delaware by the Board of Directors of the Company (the “</w:t>
      </w:r>
      <w:r>
        <w:rPr>
          <w:rFonts w:ascii="Arial" w:hAnsi="Arial"/>
          <w:b/>
          <w:color w:val="000000"/>
          <w:sz w:val="20"/>
        </w:rPr>
        <w:t>Board of Directors</w:t>
      </w:r>
      <w:r>
        <w:rPr>
          <w:rFonts w:ascii="Arial" w:hAnsi="Arial"/>
          <w:color w:val="000000"/>
          <w:sz w:val="20"/>
        </w:rPr>
        <w:t xml:space="preserve">”) and the stockholders of the Company. </w:t>
      </w:r>
    </w:p>
    <w:p>
      <w:pPr>
        <w:pStyle w:val="TextBody"/>
        <w:bidi w:val="0"/>
        <w:spacing w:before="120" w:after="283"/>
        <w:ind w:left="400" w:right="0" w:firstLine="400"/>
        <w:jc w:val="left"/>
        <w:rPr>
          <w:rFonts w:ascii="Arial" w:hAnsi="Arial"/>
          <w:color w:val="000000"/>
          <w:sz w:val="20"/>
        </w:rPr>
      </w:pPr>
      <w:r>
        <w:rPr>
          <w:rFonts w:ascii="Arial" w:hAnsi="Arial"/>
          <w:color w:val="000000"/>
          <w:sz w:val="20"/>
        </w:rPr>
        <w:t xml:space="preserve">3. Section 1 of Article IV of the Amended and Restated Certificate of Incorporation of the Company, as amended, is hereby amended and restated in its entirety to read as follows: </w:t>
      </w:r>
    </w:p>
    <w:p>
      <w:pPr>
        <w:pStyle w:val="TextBody"/>
        <w:bidi w:val="0"/>
        <w:spacing w:before="120" w:after="283"/>
        <w:ind w:left="800" w:right="0" w:firstLine="400"/>
        <w:jc w:val="left"/>
        <w:rPr>
          <w:color w:val="000000"/>
        </w:rPr>
      </w:pPr>
      <w:r>
        <w:rPr>
          <w:color w:val="000000"/>
        </w:rPr>
        <w:t>“</w:t>
      </w:r>
      <w:r>
        <w:rPr>
          <w:rFonts w:ascii="Arial" w:hAnsi="Arial"/>
          <w:color w:val="000000"/>
          <w:sz w:val="20"/>
        </w:rPr>
        <w:t>Section 1. Effective immediately upon the filing and effectiveness of this Certificate of Amendment (the “</w:t>
      </w:r>
      <w:r>
        <w:rPr>
          <w:rFonts w:ascii="Arial" w:hAnsi="Arial"/>
          <w:b/>
          <w:color w:val="000000"/>
          <w:sz w:val="20"/>
        </w:rPr>
        <w:t>Effective Time</w:t>
      </w:r>
      <w:r>
        <w:rPr>
          <w:rFonts w:ascii="Arial" w:hAnsi="Arial"/>
          <w:color w:val="000000"/>
          <w:sz w:val="20"/>
        </w:rPr>
        <w:t>”), each twenty (20) shares of Common Stock of the Company, par value $0.0001 per share, that are issued and outstanding or held in treasury on the Effective Time shall be combined into one (1) validly issued, fully paid and non-assessable share of Common Stock of the Company, par value $0.0001 per share, subject to the treatment of fractional share interests as described below (the “</w:t>
      </w:r>
      <w:r>
        <w:rPr>
          <w:rFonts w:ascii="Arial" w:hAnsi="Arial"/>
          <w:b/>
          <w:color w:val="000000"/>
          <w:sz w:val="20"/>
        </w:rPr>
        <w:t>Reverse Stock Split</w:t>
      </w:r>
      <w:r>
        <w:rPr>
          <w:rFonts w:ascii="Arial" w:hAnsi="Arial"/>
          <w:color w:val="000000"/>
          <w:sz w:val="20"/>
        </w:rPr>
        <w:t xml:space="preserve">”). No fractional shares shall be issued upon the Reverse Stock Split. </w:t>
      </w:r>
    </w:p>
    <w:p>
      <w:pPr>
        <w:pStyle w:val="TextBody"/>
        <w:bidi w:val="0"/>
        <w:spacing w:before="120" w:after="283"/>
        <w:ind w:left="800" w:right="0" w:firstLine="400"/>
        <w:jc w:val="left"/>
        <w:rPr>
          <w:rFonts w:ascii="Arial" w:hAnsi="Arial"/>
          <w:color w:val="000000"/>
          <w:sz w:val="20"/>
        </w:rPr>
      </w:pPr>
      <w:r>
        <w:rPr>
          <w:rFonts w:ascii="Arial" w:hAnsi="Arial"/>
          <w:color w:val="000000"/>
          <w:sz w:val="20"/>
        </w:rPr>
        <w:t xml:space="preserve">This Company is authorized to issue two classes of stock, to be designated, respectively, Common Stock and Preferred Stock. The total number of shares of stock that the Company shall have authority to issue is 145,000,000 shares, of which 45,000,000 shares are Common Stock, $0.0001 par value per share, and 100,000,000 shares are Preferred Stock, $0.0001 par value per share.” </w:t>
      </w:r>
    </w:p>
    <w:p>
      <w:pPr>
        <w:pStyle w:val="TextBody"/>
        <w:bidi w:val="0"/>
        <w:spacing w:before="160" w:after="283"/>
        <w:ind w:left="400" w:right="0" w:firstLine="400"/>
        <w:jc w:val="left"/>
        <w:rPr>
          <w:rFonts w:ascii="Arial" w:hAnsi="Arial"/>
          <w:color w:val="000000"/>
          <w:sz w:val="20"/>
        </w:rPr>
      </w:pPr>
      <w:r>
        <w:rPr>
          <w:rFonts w:ascii="Arial" w:hAnsi="Arial"/>
          <w:color w:val="000000"/>
          <w:sz w:val="20"/>
        </w:rPr>
        <w:t>4. This Certificate of Amendment shall become effective on [•], 2025 at [•]. Eastern Time.</w:t>
      </w:r>
    </w:p>
    <w:p>
      <w:pPr>
        <w:pStyle w:val="TextBody"/>
        <w:bidi w:val="0"/>
        <w:spacing w:before="120" w:after="283"/>
        <w:ind w:left="0" w:right="0" w:firstLine="400"/>
        <w:jc w:val="left"/>
        <w:rPr>
          <w:rFonts w:ascii="Arial" w:hAnsi="Arial"/>
          <w:color w:val="000000"/>
          <w:sz w:val="20"/>
        </w:rPr>
      </w:pPr>
      <w:r>
        <w:rPr>
          <w:rFonts w:ascii="Arial" w:hAnsi="Arial"/>
          <w:color w:val="000000"/>
          <w:sz w:val="20"/>
        </w:rPr>
        <w:t>IN WITNESS WHEREOF, the Company has caused this Certificate of Amendment to the Amended and Restated Certificate of Incorporation of the Company, as amended, to be signed by a duly authorized officer of the Company, on [•], 2025.</w:t>
      </w:r>
    </w:p>
    <w:tbl>
      <w:tblPr>
        <w:tblW w:w="3905" w:type="dxa"/>
        <w:jc w:val="left"/>
        <w:tblInd w:w="0" w:type="dxa"/>
        <w:tblLayout w:type="fixed"/>
        <w:tblCellMar>
          <w:top w:w="0" w:type="dxa"/>
          <w:left w:w="0" w:type="dxa"/>
          <w:bottom w:w="0" w:type="dxa"/>
          <w:right w:w="0" w:type="dxa"/>
        </w:tblCellMar>
      </w:tblPr>
      <w:tblGrid>
        <w:gridCol w:w="185"/>
        <w:gridCol w:w="170"/>
        <w:gridCol w:w="170"/>
        <w:gridCol w:w="338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b/>
                <w:color w:val="000000"/>
                <w:sz w:val="20"/>
              </w:rPr>
            </w:pPr>
            <w:r>
              <w:rPr>
                <w:rFonts w:ascii="Arial" w:hAnsi="Arial"/>
                <w:b/>
                <w:color w:val="000000"/>
                <w:sz w:val="20"/>
              </w:rPr>
              <w:t xml:space="preserve">ATHIRA PHARMA, INC.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 w:hAnsi="Arial"/>
                <w:color w:val="000000"/>
                <w:sz w:val="20"/>
              </w:rPr>
            </w:pPr>
            <w:r>
              <w:rPr>
                <w:rFonts w:ascii="Arial" w:hAnsi="Arial"/>
                <w:color w:val="000000"/>
                <w:sz w:val="20"/>
              </w:rPr>
              <w:t xml:space="preserve">Mark Litton </w:t>
            </w:r>
          </w:p>
          <w:p>
            <w:pPr>
              <w:pStyle w:val="TableContents"/>
              <w:bidi w:val="0"/>
              <w:spacing w:before="0" w:after="283"/>
              <w:ind w:left="0" w:right="0" w:hanging="0"/>
              <w:jc w:val="left"/>
              <w:rPr>
                <w:rFonts w:ascii="Arial" w:hAnsi="Arial"/>
                <w:color w:val="000000"/>
                <w:sz w:val="20"/>
              </w:rPr>
            </w:pPr>
            <w:r>
              <w:rPr>
                <w:rFonts w:ascii="Arial" w:hAnsi="Arial"/>
                <w:color w:val="000000"/>
                <w:sz w:val="20"/>
              </w:rPr>
              <w:t>President and 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r>
    </w:tbl>
    <w:tbl>
      <w:tblPr>
        <w:tblW w:w="4175" w:type="dxa"/>
        <w:jc w:val="left"/>
        <w:tblInd w:w="0" w:type="dxa"/>
        <w:tblLayout w:type="fixed"/>
        <w:tblCellMar>
          <w:top w:w="0" w:type="dxa"/>
          <w:left w:w="0" w:type="dxa"/>
          <w:bottom w:w="0" w:type="dxa"/>
          <w:right w:w="0" w:type="dxa"/>
        </w:tblCellMar>
      </w:tblPr>
      <w:tblGrid>
        <w:gridCol w:w="1460"/>
        <w:gridCol w:w="170"/>
        <w:gridCol w:w="170"/>
        <w:gridCol w:w="320"/>
        <w:gridCol w:w="170"/>
        <w:gridCol w:w="170"/>
        <w:gridCol w:w="1715"/>
      </w:tblGrid>
      <w:tr>
        <w:trPr/>
        <w:tc>
          <w:tcPr>
            <w:tcW w:w="1460" w:type="dxa"/>
            <w:tcBorders/>
            <w:vAlign w:val="center"/>
          </w:tcPr>
          <w:p>
            <w:pPr>
              <w:pStyle w:val="TableContents"/>
              <w:bidi w:val="0"/>
              <w:spacing w:before="0" w:after="283"/>
              <w:ind w:left="0" w:right="0" w:hanging="0"/>
              <w:jc w:val="left"/>
              <w:rPr>
                <w:rFonts w:ascii="Arial" w:hAnsi="Arial"/>
                <w:color w:val="255993"/>
                <w:sz w:val="16"/>
              </w:rPr>
            </w:pPr>
            <w:r>
              <w:rPr>
                <w:rFonts w:ascii="Arial" w:hAnsi="Arial"/>
                <w:color w:val="255993"/>
                <w:sz w:val="16"/>
              </w:rPr>
              <w:t>Athira Pharma,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jc w:val="center"/>
              <w:rPr>
                <w:rFonts w:ascii="Arial" w:hAnsi="Arial"/>
                <w:b/>
                <w:color w:val="255993"/>
                <w:sz w:val="16"/>
              </w:rPr>
            </w:pPr>
            <w:r>
              <w:rPr>
                <w:rFonts w:ascii="Arial" w:hAnsi="Arial"/>
                <w:b/>
                <w:color w:val="255993"/>
                <w:sz w:val="16"/>
              </w:rPr>
              <w:t>D-1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right"/>
              <w:rPr>
                <w:rFonts w:ascii="Arial" w:hAnsi="Arial"/>
                <w:color w:val="255993"/>
                <w:sz w:val="16"/>
              </w:rPr>
            </w:pPr>
            <w:r>
              <w:rPr>
                <w:rFonts w:ascii="Arial" w:hAnsi="Arial"/>
                <w:color w:val="255993"/>
                <w:sz w:val="16"/>
              </w:rPr>
              <w:t>2025 Proxy Statement</w:t>
            </w:r>
          </w:p>
        </w:tc>
      </w:tr>
    </w:tbl>
    <w:p>
      <w:pPr>
        <w:pStyle w:val="HorizontalLine"/>
        <w:bidi w:val="0"/>
        <w:spacing w:before="200" w:after="200"/>
        <w:jc w:val="left"/>
        <w:rPr/>
      </w:pPr>
      <w:r>
        <w:rPr/>
      </w:r>
    </w:p>
    <w:p>
      <w:pPr>
        <w:pStyle w:val="TextBody"/>
        <w:bidi w:val="0"/>
        <w:jc w:val="left"/>
        <w:rPr/>
      </w:pPr>
      <w:hyperlink w:anchor="TOC">
        <w:bookmarkStart w:id="147" w:name="ny20044300x2_def14a_200-proxycards_pg1"/>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6991350" cy="904875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4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48" w:name="ny20044300x2_def14a_200-proxycards_pg2"/>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6991350" cy="904875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4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4.jpeg"/><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2.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12.jpeg"/><Relationship Id="rId38" Type="http://schemas.openxmlformats.org/officeDocument/2006/relationships/image" Target="media/image12.jpeg"/><Relationship Id="rId39" Type="http://schemas.openxmlformats.org/officeDocument/2006/relationships/image" Target="media/image12.jpeg"/><Relationship Id="rId40" Type="http://schemas.openxmlformats.org/officeDocument/2006/relationships/image" Target="media/image21.jpeg"/><Relationship Id="rId41" Type="http://schemas.openxmlformats.org/officeDocument/2006/relationships/image" Target="media/image22.jpeg"/><Relationship Id="rId42" Type="http://schemas.openxmlformats.org/officeDocument/2006/relationships/image" Target="media/image23.jpeg"/><Relationship Id="rId43" Type="http://schemas.openxmlformats.org/officeDocument/2006/relationships/image" Target="media/image24.jpeg"/><Relationship Id="rId44" Type="http://schemas.openxmlformats.org/officeDocument/2006/relationships/image" Target="media/image25.jpeg"/><Relationship Id="rId45" Type="http://schemas.openxmlformats.org/officeDocument/2006/relationships/image" Target="media/image26.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34598</Words>
  <Characters>186861</Characters>
  <CharactersWithSpaces>222936</CharactersWithSpaces>
  <Paragraphs>4715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