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November 22, 2021</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20549-3720</w:t>
      </w:r>
    </w:p>
    <w:p>
      <w:pPr>
        <w:spacing w:after="0" w:line="319" w:lineRule="exact"/>
        <w:rPr>
          <w:sz w:val="24"/>
          <w:szCs w:val="24"/>
          <w:color w:val="auto"/>
        </w:rPr>
      </w:pPr>
    </w:p>
    <w:p>
      <w:pPr>
        <w:spacing w:after="0"/>
        <w:tabs>
          <w:tab w:leader="none" w:pos="8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Christine Westbrook</w:t>
      </w:r>
    </w:p>
    <w:p>
      <w:pPr>
        <w:spacing w:after="0" w:line="127"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tab/>
        <w:t>Athira Pharma, Inc.</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860"/>
        <w:spacing w:after="0"/>
        <w:rPr>
          <w:sz w:val="20"/>
          <w:szCs w:val="20"/>
          <w:color w:val="auto"/>
        </w:rPr>
      </w:pPr>
      <w:r>
        <w:rPr>
          <w:rFonts w:ascii="Arial" w:cs="Arial" w:eastAsia="Arial" w:hAnsi="Arial"/>
          <w:sz w:val="18"/>
          <w:szCs w:val="18"/>
          <w:b w:val="1"/>
          <w:bCs w:val="1"/>
          <w:color w:val="auto"/>
        </w:rPr>
        <w:t>Filed November 15, 2021</w:t>
      </w:r>
    </w:p>
    <w:p>
      <w:pPr>
        <w:spacing w:after="0" w:line="9" w:lineRule="exact"/>
        <w:rPr>
          <w:sz w:val="24"/>
          <w:szCs w:val="24"/>
          <w:color w:val="auto"/>
        </w:rPr>
      </w:pPr>
    </w:p>
    <w:p>
      <w:pPr>
        <w:ind w:left="860"/>
        <w:spacing w:after="0"/>
        <w:rPr>
          <w:sz w:val="20"/>
          <w:szCs w:val="20"/>
          <w:color w:val="auto"/>
        </w:rPr>
      </w:pPr>
      <w:r>
        <w:rPr>
          <w:rFonts w:ascii="Arial" w:cs="Arial" w:eastAsia="Arial" w:hAnsi="Arial"/>
          <w:sz w:val="18"/>
          <w:szCs w:val="18"/>
          <w:b w:val="1"/>
          <w:bCs w:val="1"/>
          <w:color w:val="auto"/>
        </w:rPr>
        <w:t>(File No. 333-261073)</w:t>
      </w:r>
    </w:p>
    <w:p>
      <w:pPr>
        <w:spacing w:after="0" w:line="207"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Acceleration Request</w:t>
      </w:r>
    </w:p>
    <w:p>
      <w:pPr>
        <w:spacing w:after="0" w:line="27" w:lineRule="exact"/>
        <w:rPr>
          <w:sz w:val="24"/>
          <w:szCs w:val="24"/>
          <w:color w:val="auto"/>
        </w:rPr>
      </w:pPr>
    </w:p>
    <w:p>
      <w:pPr>
        <w:ind w:left="1820"/>
        <w:spacing w:after="0"/>
        <w:tabs>
          <w:tab w:leader="none" w:pos="3240" w:val="left"/>
        </w:tabs>
        <w:rPr>
          <w:sz w:val="20"/>
          <w:szCs w:val="20"/>
          <w:color w:val="auto"/>
        </w:rPr>
      </w:pPr>
      <w:r>
        <w:rPr>
          <w:rFonts w:ascii="Arial" w:cs="Arial" w:eastAsia="Arial" w:hAnsi="Arial"/>
          <w:sz w:val="18"/>
          <w:szCs w:val="18"/>
          <w:b w:val="1"/>
          <w:bCs w:val="1"/>
          <w:color w:val="auto"/>
        </w:rPr>
        <w:t>Requested Date:</w:t>
      </w:r>
      <w:r>
        <w:rPr>
          <w:sz w:val="20"/>
          <w:szCs w:val="20"/>
          <w:color w:val="auto"/>
        </w:rPr>
        <w:tab/>
      </w:r>
      <w:r>
        <w:rPr>
          <w:rFonts w:ascii="Arial" w:cs="Arial" w:eastAsia="Arial" w:hAnsi="Arial"/>
          <w:sz w:val="16"/>
          <w:szCs w:val="16"/>
          <w:b w:val="1"/>
          <w:bCs w:val="1"/>
          <w:color w:val="auto"/>
        </w:rPr>
        <w:t>November 24, 2021</w:t>
      </w:r>
    </w:p>
    <w:p>
      <w:pPr>
        <w:spacing w:after="0" w:line="9" w:lineRule="exact"/>
        <w:rPr>
          <w:sz w:val="24"/>
          <w:szCs w:val="24"/>
          <w:color w:val="auto"/>
        </w:rPr>
      </w:pPr>
    </w:p>
    <w:p>
      <w:pPr>
        <w:ind w:left="1820"/>
        <w:spacing w:after="0"/>
        <w:tabs>
          <w:tab w:leader="none" w:pos="3280" w:val="left"/>
        </w:tabs>
        <w:rPr>
          <w:sz w:val="20"/>
          <w:szCs w:val="20"/>
          <w:color w:val="auto"/>
        </w:rPr>
      </w:pPr>
      <w:r>
        <w:rPr>
          <w:rFonts w:ascii="Arial" w:cs="Arial" w:eastAsia="Arial" w:hAnsi="Arial"/>
          <w:sz w:val="18"/>
          <w:szCs w:val="18"/>
          <w:b w:val="1"/>
          <w:bCs w:val="1"/>
          <w:color w:val="auto"/>
        </w:rPr>
        <w:t>Requested Time:</w:t>
      </w:r>
      <w:r>
        <w:rPr>
          <w:sz w:val="20"/>
          <w:szCs w:val="20"/>
          <w:color w:val="auto"/>
        </w:rPr>
        <w:tab/>
      </w:r>
      <w:r>
        <w:rPr>
          <w:rFonts w:ascii="Arial" w:cs="Arial" w:eastAsia="Arial" w:hAnsi="Arial"/>
          <w:sz w:val="16"/>
          <w:szCs w:val="16"/>
          <w:b w:val="1"/>
          <w:bCs w:val="1"/>
          <w:color w:val="auto"/>
        </w:rPr>
        <w:t>4:00 P.M. Eastern Standard Time,</w:t>
      </w:r>
    </w:p>
    <w:p>
      <w:pPr>
        <w:spacing w:after="0" w:line="9"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or as soon thereafter as practicable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firstLine="440"/>
        <w:spacing w:after="0" w:line="256" w:lineRule="auto"/>
        <w:rPr>
          <w:sz w:val="20"/>
          <w:szCs w:val="20"/>
          <w:color w:val="auto"/>
        </w:rPr>
      </w:pPr>
      <w:r>
        <w:rPr>
          <w:rFonts w:ascii="Arial" w:cs="Arial" w:eastAsia="Arial" w:hAnsi="Arial"/>
          <w:sz w:val="18"/>
          <w:szCs w:val="18"/>
          <w:color w:val="auto"/>
        </w:rPr>
        <w:t>Pursuant to Rule 461 under the Securities Act of 1933, as amended, Athira Pharma, Inc. (the “</w:t>
      </w:r>
      <w:r>
        <w:rPr>
          <w:rFonts w:ascii="Arial" w:cs="Arial" w:eastAsia="Arial" w:hAnsi="Arial"/>
          <w:sz w:val="18"/>
          <w:szCs w:val="18"/>
          <w:b w:val="1"/>
          <w:bCs w:val="1"/>
          <w:color w:val="auto"/>
        </w:rPr>
        <w:t>Company</w:t>
      </w:r>
      <w:r>
        <w:rPr>
          <w:rFonts w:ascii="Arial" w:cs="Arial" w:eastAsia="Arial" w:hAnsi="Arial"/>
          <w:sz w:val="18"/>
          <w:szCs w:val="18"/>
          <w:color w:val="auto"/>
        </w:rPr>
        <w:t>”) hereby requests that the above-referenced Registration Statement on Form S-3 (File No. 333-261073)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be declared effective at the “Requested Date” and “Requested Time” set forth above or at such later time as the Company or its counsel may orally request via telephone call to the staff of the Division of Corporation Finance of the Securities and Exchange Commission. Once the Registration Statement has been declared effective, please orally confirm that event with our counsel, Wilson Sonsini Goodrich &amp; Rosati, P.C., by calling Michael Nordtvedt at (206) 883-2524 or Bryan King at (206) 883-2535.</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000"/>
          </w:cols>
          <w:pgMar w:left="440" w:top="233"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ATHIRA PHARMA, INC.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Glenna Mileson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Glenna Mileson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Chief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11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6"/>
          <w:szCs w:val="16"/>
          <w:color w:val="auto"/>
        </w:rPr>
        <w:t>Mark Litton, Athira Pharma,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Worthington, Athira Pharma,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Nordtvedt, Wilson Sonsini Goodrich &amp; Rosati P.C.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Bryan D. King, Wilson Sonsini Goodrich &amp; Rosati P.C.</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2021-12-23T23:06:05Z</dcterms:created>
  <dcterms:modified xsi:type="dcterms:W3CDTF">2021-12-23T23:06:05Z</dcterms:modified>
</cp:coreProperties>
</file>