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San Martin Javier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equal to the closing price per share of Common Stock as reported on the Nasdaq Global Market on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3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24, 2025, the reporting person was granted an option to purchase 44,508 shares of common stock. The option was scheduled to vest only upon satisfaction of both a milestone requirement (the "Milestone Requirement") and a service-based requirement (the "Service-Based Requirement"). The Milestone Requirement was satisfied on December 23, 2025. The Service-Based Requirement will be satisfied as to 50% of the total number of shares granted under the option on December 23, 2026 and as to 1/36th of the remaining 50% on the 23rd day of each month thereafter, subject to the optionee continuing to be a Service Provider (as defined in the Issuer's 2020 Equity Incentive Plan) through the applicable vesting dates.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46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Javier San 12/29/2025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895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462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2025-12-29T15:31:54Z</dcterms:created>
  <dcterms:modified xsi:type="dcterms:W3CDTF">2025-12-29T15:31:54Z</dcterms:modified>
</cp:coreProperties>
</file>