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6380"/>
        <w:spacing w:after="0"/>
        <w:rPr>
          <w:sz w:val="20"/>
          <w:szCs w:val="20"/>
          <w:color w:val="auto"/>
        </w:rPr>
      </w:pPr>
      <w:r>
        <w:rPr>
          <w:rFonts w:ascii="Arial" w:cs="Arial" w:eastAsia="Arial" w:hAnsi="Arial"/>
          <w:sz w:val="18"/>
          <w:szCs w:val="18"/>
          <w:b w:val="1"/>
          <w:bCs w:val="1"/>
          <w:color w:val="auto"/>
        </w:rPr>
        <w:t xml:space="preserve">2 0 2 4 </w:t>
      </w:r>
      <w:r>
        <w:rPr>
          <w:rFonts w:ascii="Arial" w:cs="Arial" w:eastAsia="Arial" w:hAnsi="Arial"/>
          <w:sz w:val="18"/>
          <w:szCs w:val="18"/>
          <w:color w:val="auto"/>
        </w:rPr>
        <w:t>A N N U A L R E P O R T</w:t>
      </w:r>
    </w:p>
    <w:p>
      <w:pPr>
        <w:sectPr>
          <w:pgSz w:w="12240" w:h="15840" w:orient="portrait"/>
          <w:cols w:equalWidth="0" w:num="1">
            <w:col w:w="9800"/>
          </w:cols>
          <w:pgMar w:left="1440" w:top="1440" w:right="100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5800"/>
        <w:spacing w:after="0"/>
        <w:rPr>
          <w:sz w:val="20"/>
          <w:szCs w:val="20"/>
          <w:color w:val="auto"/>
        </w:rPr>
      </w:pPr>
      <w:r>
        <w:rPr>
          <w:rFonts w:ascii="Arial" w:cs="Arial" w:eastAsia="Arial" w:hAnsi="Arial"/>
          <w:sz w:val="32"/>
          <w:szCs w:val="32"/>
          <w:color w:val="FFFFFF"/>
        </w:rPr>
        <w:t>Restoring Neuronal Health</w:t>
      </w:r>
    </w:p>
    <w:p>
      <w:pPr>
        <w:sectPr>
          <w:pgSz w:w="12240" w:h="15840" w:orient="portrait"/>
          <w:cols w:equalWidth="0" w:num="1">
            <w:col w:w="9800"/>
          </w:cols>
          <w:pgMar w:left="1440" w:top="1440" w:right="1000"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37450" cy="9830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37450" cy="98304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ind w:left="1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4159250</wp:posOffset>
            </wp:positionH>
            <wp:positionV relativeFrom="page">
              <wp:posOffset>111125</wp:posOffset>
            </wp:positionV>
            <wp:extent cx="25400" cy="1409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00" cy="1409700"/>
                    </a:xfrm>
                    <a:prstGeom prst="rect">
                      <a:avLst/>
                    </a:prstGeom>
                    <a:noFill/>
                  </pic:spPr>
                </pic:pic>
              </a:graphicData>
            </a:graphic>
          </wp:anchor>
        </w:drawing>
        <w:t>ATHIRA PHARMA 2024 ANNUAL REPORT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80"/>
        <w:spacing w:after="0" w:line="207" w:lineRule="exact"/>
        <w:rPr>
          <w:sz w:val="20"/>
          <w:szCs w:val="20"/>
          <w:color w:val="auto"/>
        </w:rPr>
      </w:pPr>
      <w:r>
        <w:rPr>
          <w:rFonts w:ascii="Arial" w:cs="Arial" w:eastAsia="Arial" w:hAnsi="Arial"/>
          <w:sz w:val="17"/>
          <w:szCs w:val="17"/>
          <w:b w:val="1"/>
          <w:bCs w:val="1"/>
          <w:i w:val="1"/>
          <w:iCs w:val="1"/>
          <w:color w:val="313D6F"/>
        </w:rPr>
        <w:t>9KVJ</w:t>
      </w:r>
      <w:r>
        <w:rPr>
          <w:rFonts w:ascii="PMingLiU" w:cs="PMingLiU" w:eastAsia="PMingLiU" w:hAnsi="PMingLiU"/>
          <w:sz w:val="17"/>
          <w:szCs w:val="17"/>
          <w:b w:val="1"/>
          <w:bCs w:val="1"/>
          <w:i w:val="1"/>
          <w:iCs w:val="1"/>
          <w:color w:val="313D6F"/>
        </w:rPr>
        <w:t/>
      </w:r>
      <w:r>
        <w:rPr>
          <w:rFonts w:ascii="Arial" w:cs="Arial" w:eastAsia="Arial" w:hAnsi="Arial"/>
          <w:sz w:val="17"/>
          <w:szCs w:val="17"/>
          <w:b w:val="1"/>
          <w:bCs w:val="1"/>
          <w:i w:val="1"/>
          <w:iCs w:val="1"/>
          <w:color w:val="313D6F"/>
        </w:rPr>
        <w:t>VJG</w:t>
      </w:r>
      <w:r>
        <w:rPr>
          <w:rFonts w:ascii="PMingLiU" w:cs="PMingLiU" w:eastAsia="PMingLiU" w:hAnsi="PMingLiU"/>
          <w:sz w:val="17"/>
          <w:szCs w:val="17"/>
          <w:b w:val="1"/>
          <w:bCs w:val="1"/>
          <w:i w:val="1"/>
          <w:iCs w:val="1"/>
          <w:color w:val="313D6F"/>
        </w:rPr>
        <w:t/>
      </w:r>
      <w:r>
        <w:rPr>
          <w:rFonts w:ascii="Arial" w:cs="Arial" w:eastAsia="Arial" w:hAnsi="Arial"/>
          <w:sz w:val="17"/>
          <w:szCs w:val="17"/>
          <w:b w:val="1"/>
          <w:bCs w:val="1"/>
          <w:i w:val="1"/>
          <w:iCs w:val="1"/>
          <w:color w:val="313D6F"/>
        </w:rPr>
        <w:t>ƂTUV</w:t>
      </w:r>
      <w:r>
        <w:rPr>
          <w:rFonts w:ascii="PMingLiU" w:cs="PMingLiU" w:eastAsia="PMingLiU" w:hAnsi="PMingLiU"/>
          <w:sz w:val="17"/>
          <w:szCs w:val="17"/>
          <w:b w:val="1"/>
          <w:bCs w:val="1"/>
          <w:i w:val="1"/>
          <w:iCs w:val="1"/>
          <w:color w:val="313D6F"/>
        </w:rPr>
        <w:t/>
      </w:r>
      <w:r>
        <w:rPr>
          <w:rFonts w:ascii="Arial" w:cs="Arial" w:eastAsia="Arial" w:hAnsi="Arial"/>
          <w:sz w:val="17"/>
          <w:szCs w:val="17"/>
          <w:b w:val="1"/>
          <w:bCs w:val="1"/>
          <w:i w:val="1"/>
          <w:iCs w:val="1"/>
          <w:color w:val="313D6F"/>
        </w:rPr>
        <w:t>KP</w:t>
      </w:r>
      <w:r>
        <w:rPr>
          <w:rFonts w:ascii="PMingLiU" w:cs="PMingLiU" w:eastAsia="PMingLiU" w:hAnsi="PMingLiU"/>
          <w:sz w:val="17"/>
          <w:szCs w:val="17"/>
          <w:b w:val="1"/>
          <w:bCs w:val="1"/>
          <w:i w:val="1"/>
          <w:iCs w:val="1"/>
          <w:color w:val="313D6F"/>
        </w:rPr>
        <w:t/>
      </w:r>
      <w:r>
        <w:rPr>
          <w:rFonts w:ascii="Arial" w:cs="Arial" w:eastAsia="Arial" w:hAnsi="Arial"/>
          <w:sz w:val="17"/>
          <w:szCs w:val="17"/>
          <w:b w:val="1"/>
          <w:bCs w:val="1"/>
          <w:i w:val="1"/>
          <w:iCs w:val="1"/>
          <w:color w:val="313D6F"/>
        </w:rPr>
        <w:t>JWOCP</w:t>
      </w:r>
      <w:r>
        <w:rPr>
          <w:rFonts w:ascii="PMingLiU" w:cs="PMingLiU" w:eastAsia="PMingLiU" w:hAnsi="PMingLiU"/>
          <w:sz w:val="17"/>
          <w:szCs w:val="17"/>
          <w:b w:val="1"/>
          <w:bCs w:val="1"/>
          <w:i w:val="1"/>
          <w:iCs w:val="1"/>
          <w:color w:val="313D6F"/>
        </w:rPr>
        <w:t/>
      </w:r>
      <w:r>
        <w:rPr>
          <w:rFonts w:ascii="Arial" w:cs="Arial" w:eastAsia="Arial" w:hAnsi="Arial"/>
          <w:sz w:val="17"/>
          <w:szCs w:val="17"/>
          <w:b w:val="1"/>
          <w:bCs w:val="1"/>
          <w:i w:val="1"/>
          <w:iCs w:val="1"/>
          <w:color w:val="313D6F"/>
        </w:rPr>
        <w:t>2JCUG</w:t>
      </w:r>
      <w:r>
        <w:rPr>
          <w:rFonts w:ascii="PMingLiU" w:cs="PMingLiU" w:eastAsia="PMingLiU" w:hAnsi="PMingLiU"/>
          <w:sz w:val="17"/>
          <w:szCs w:val="17"/>
          <w:b w:val="1"/>
          <w:bCs w:val="1"/>
          <w:i w:val="1"/>
          <w:iCs w:val="1"/>
          <w:color w:val="313D6F"/>
        </w:rPr>
        <w:t/>
      </w:r>
      <w:r>
        <w:rPr>
          <w:rFonts w:ascii="Arial" w:cs="Arial" w:eastAsia="Arial" w:hAnsi="Arial"/>
          <w:sz w:val="17"/>
          <w:szCs w:val="17"/>
          <w:b w:val="1"/>
          <w:bCs w:val="1"/>
          <w:i w:val="1"/>
          <w:iCs w:val="1"/>
          <w:color w:val="313D6F"/>
        </w:rPr>
        <w:t>ENKPKECN</w:t>
      </w:r>
      <w:r>
        <w:rPr>
          <w:rFonts w:ascii="PMingLiU" w:cs="PMingLiU" w:eastAsia="PMingLiU" w:hAnsi="PMingLiU"/>
          <w:sz w:val="17"/>
          <w:szCs w:val="17"/>
          <w:b w:val="1"/>
          <w:bCs w:val="1"/>
          <w:i w:val="1"/>
          <w:iCs w:val="1"/>
          <w:color w:val="313D6F"/>
        </w:rPr>
        <w:t/>
      </w:r>
    </w:p>
    <w:p>
      <w:pPr>
        <w:spacing w:after="0" w:line="97" w:lineRule="exact"/>
        <w:rPr>
          <w:sz w:val="20"/>
          <w:szCs w:val="20"/>
          <w:color w:val="auto"/>
        </w:rPr>
      </w:pPr>
    </w:p>
    <w:p>
      <w:pPr>
        <w:ind w:left="5480"/>
        <w:spacing w:after="0" w:line="231" w:lineRule="exact"/>
        <w:rPr>
          <w:sz w:val="20"/>
          <w:szCs w:val="20"/>
          <w:color w:val="auto"/>
        </w:rPr>
      </w:pPr>
      <w:r>
        <w:rPr>
          <w:rFonts w:ascii="Arial" w:cs="Arial" w:eastAsia="Arial" w:hAnsi="Arial"/>
          <w:sz w:val="19"/>
          <w:szCs w:val="19"/>
          <w:b w:val="1"/>
          <w:bCs w:val="1"/>
          <w:i w:val="1"/>
          <w:iCs w:val="1"/>
          <w:color w:val="313D6F"/>
        </w:rPr>
        <w:t>UVWF[</w:t>
      </w:r>
      <w:r>
        <w:rPr>
          <w:rFonts w:ascii="PMingLiU" w:cs="PMingLiU" w:eastAsia="PMingLiU" w:hAnsi="PMingLiU"/>
          <w:sz w:val="19"/>
          <w:szCs w:val="19"/>
          <w:b w:val="1"/>
          <w:bCs w:val="1"/>
          <w:i w:val="1"/>
          <w:iCs w:val="1"/>
          <w:color w:val="313D6F"/>
        </w:rPr>
        <w:t/>
      </w:r>
      <w:r>
        <w:rPr>
          <w:rFonts w:ascii="Arial" w:cs="Arial" w:eastAsia="Arial" w:hAnsi="Arial"/>
          <w:sz w:val="19"/>
          <w:szCs w:val="19"/>
          <w:b w:val="1"/>
          <w:bCs w:val="1"/>
          <w:i w:val="1"/>
          <w:iCs w:val="1"/>
          <w:color w:val="313D6F"/>
        </w:rPr>
        <w:t>QH</w:t>
      </w:r>
      <w:r>
        <w:rPr>
          <w:rFonts w:ascii="PMingLiU" w:cs="PMingLiU" w:eastAsia="PMingLiU" w:hAnsi="PMingLiU"/>
          <w:sz w:val="19"/>
          <w:szCs w:val="19"/>
          <w:b w:val="1"/>
          <w:bCs w:val="1"/>
          <w:i w:val="1"/>
          <w:iCs w:val="1"/>
          <w:color w:val="313D6F"/>
        </w:rPr>
        <w:t/>
      </w:r>
      <w:r>
        <w:rPr>
          <w:rFonts w:ascii="Arial" w:cs="Arial" w:eastAsia="Arial" w:hAnsi="Arial"/>
          <w:sz w:val="19"/>
          <w:szCs w:val="19"/>
          <w:b w:val="1"/>
          <w:bCs w:val="1"/>
          <w:i w:val="1"/>
          <w:iCs w:val="1"/>
          <w:color w:val="313D6F"/>
        </w:rPr>
        <w:t>#6*</w:t>
      </w:r>
      <w:r>
        <w:rPr>
          <w:rFonts w:ascii="PMingLiU" w:cs="PMingLiU" w:eastAsia="PMingLiU" w:hAnsi="PMingLiU"/>
          <w:sz w:val="19"/>
          <w:szCs w:val="19"/>
          <w:b w:val="1"/>
          <w:bCs w:val="1"/>
          <w:i w:val="1"/>
          <w:iCs w:val="1"/>
          <w:color w:val="313D6F"/>
        </w:rPr>
        <w:t/>
      </w:r>
      <w:r>
        <w:rPr>
          <w:rFonts w:ascii="Arial" w:cs="Arial" w:eastAsia="Arial" w:hAnsi="Arial"/>
          <w:sz w:val="19"/>
          <w:szCs w:val="19"/>
          <w:b w:val="1"/>
          <w:bCs w:val="1"/>
          <w:i w:val="1"/>
          <w:iCs w:val="1"/>
          <w:color w:val="313D6F"/>
        </w:rPr>
        <w:t>KP</w:t>
      </w:r>
      <w:r>
        <w:rPr>
          <w:rFonts w:ascii="PMingLiU" w:cs="PMingLiU" w:eastAsia="PMingLiU" w:hAnsi="PMingLiU"/>
          <w:sz w:val="19"/>
          <w:szCs w:val="19"/>
          <w:b w:val="1"/>
          <w:bCs w:val="1"/>
          <w:i w:val="1"/>
          <w:iCs w:val="1"/>
          <w:color w:val="313D6F"/>
        </w:rPr>
        <w:t/>
      </w:r>
      <w:r>
        <w:rPr>
          <w:rFonts w:ascii="Arial" w:cs="Arial" w:eastAsia="Arial" w:hAnsi="Arial"/>
          <w:sz w:val="19"/>
          <w:szCs w:val="19"/>
          <w:b w:val="1"/>
          <w:bCs w:val="1"/>
          <w:i w:val="1"/>
          <w:iCs w:val="1"/>
          <w:color w:val="313D6F"/>
        </w:rPr>
        <w:t>JGCNVJ[</w:t>
      </w:r>
      <w:r>
        <w:rPr>
          <w:rFonts w:ascii="PMingLiU" w:cs="PMingLiU" w:eastAsia="PMingLiU" w:hAnsi="PMingLiU"/>
          <w:sz w:val="19"/>
          <w:szCs w:val="19"/>
          <w:b w:val="1"/>
          <w:bCs w:val="1"/>
          <w:i w:val="1"/>
          <w:iCs w:val="1"/>
          <w:color w:val="313D6F"/>
        </w:rPr>
        <w:t/>
      </w:r>
      <w:r>
        <w:rPr>
          <w:rFonts w:ascii="Arial" w:cs="Arial" w:eastAsia="Arial" w:hAnsi="Arial"/>
          <w:sz w:val="19"/>
          <w:szCs w:val="19"/>
          <w:b w:val="1"/>
          <w:bCs w:val="1"/>
          <w:i w:val="1"/>
          <w:iCs w:val="1"/>
          <w:color w:val="313D6F"/>
        </w:rPr>
        <w:t>XQNWPVGGTU</w:t>
      </w:r>
      <w:r>
        <w:rPr>
          <w:rFonts w:ascii="PMingLiU" w:cs="PMingLiU" w:eastAsia="PMingLiU" w:hAnsi="PMingLiU"/>
          <w:sz w:val="19"/>
          <w:szCs w:val="19"/>
          <w:b w:val="1"/>
          <w:bCs w:val="1"/>
          <w:i w:val="1"/>
          <w:iCs w:val="1"/>
          <w:color w:val="313D6F"/>
        </w:rPr>
        <w:t/>
      </w:r>
    </w:p>
    <w:p>
      <w:pPr>
        <w:spacing w:after="0" w:line="73" w:lineRule="exact"/>
        <w:rPr>
          <w:sz w:val="20"/>
          <w:szCs w:val="20"/>
          <w:color w:val="auto"/>
        </w:rPr>
      </w:pPr>
    </w:p>
    <w:p>
      <w:pPr>
        <w:ind w:left="5480"/>
        <w:spacing w:after="0" w:line="219" w:lineRule="exact"/>
        <w:rPr>
          <w:sz w:val="20"/>
          <w:szCs w:val="20"/>
          <w:color w:val="auto"/>
        </w:rPr>
      </w:pPr>
      <w:r>
        <w:rPr>
          <w:rFonts w:ascii="Arial" w:cs="Arial" w:eastAsia="Arial" w:hAnsi="Arial"/>
          <w:sz w:val="18"/>
          <w:szCs w:val="18"/>
          <w:b w:val="1"/>
          <w:bCs w:val="1"/>
          <w:i w:val="1"/>
          <w:iCs w:val="1"/>
          <w:color w:val="313D6F"/>
        </w:rPr>
        <w:t>EQORNGVG</w:t>
      </w:r>
      <w:r>
        <w:rPr>
          <w:rFonts w:ascii="PMingLiU" w:cs="PMingLiU" w:eastAsia="PMingLiU" w:hAnsi="PMingLiU"/>
          <w:sz w:val="18"/>
          <w:szCs w:val="18"/>
          <w:b w:val="1"/>
          <w:bCs w:val="1"/>
          <w:i w:val="1"/>
          <w:iCs w:val="1"/>
          <w:color w:val="313D6F"/>
        </w:rPr>
        <w:t/>
      </w:r>
      <w:r>
        <w:rPr>
          <w:rFonts w:ascii="Arial" w:cs="Arial" w:eastAsia="Arial" w:hAnsi="Arial"/>
          <w:sz w:val="18"/>
          <w:szCs w:val="18"/>
          <w:b w:val="1"/>
          <w:bCs w:val="1"/>
          <w:i w:val="1"/>
          <w:iCs w:val="1"/>
          <w:color w:val="313D6F"/>
        </w:rPr>
        <w:t>YG</w:t>
      </w:r>
      <w:r>
        <w:rPr>
          <w:rFonts w:ascii="PMingLiU" w:cs="PMingLiU" w:eastAsia="PMingLiU" w:hAnsi="PMingLiU"/>
          <w:sz w:val="18"/>
          <w:szCs w:val="18"/>
          <w:b w:val="1"/>
          <w:bCs w:val="1"/>
          <w:i w:val="1"/>
          <w:iCs w:val="1"/>
          <w:color w:val="313D6F"/>
        </w:rPr>
        <w:t/>
      </w:r>
      <w:r>
        <w:rPr>
          <w:rFonts w:ascii="Arial" w:cs="Arial" w:eastAsia="Arial" w:hAnsi="Arial"/>
          <w:sz w:val="18"/>
          <w:szCs w:val="18"/>
          <w:b w:val="1"/>
          <w:bCs w:val="1"/>
          <w:i w:val="1"/>
          <w:iCs w:val="1"/>
          <w:color w:val="313D6F"/>
        </w:rPr>
        <w:t>TGOCKP</w:t>
      </w:r>
      <w:r>
        <w:rPr>
          <w:rFonts w:ascii="PMingLiU" w:cs="PMingLiU" w:eastAsia="PMingLiU" w:hAnsi="PMingLiU"/>
          <w:sz w:val="18"/>
          <w:szCs w:val="18"/>
          <w:b w:val="1"/>
          <w:bCs w:val="1"/>
          <w:i w:val="1"/>
          <w:iCs w:val="1"/>
          <w:color w:val="313D6F"/>
        </w:rPr>
        <w:t/>
      </w:r>
      <w:r>
        <w:rPr>
          <w:rFonts w:ascii="Arial" w:cs="Arial" w:eastAsia="Arial" w:hAnsi="Arial"/>
          <w:sz w:val="18"/>
          <w:szCs w:val="18"/>
          <w:b w:val="1"/>
          <w:bCs w:val="1"/>
          <w:i w:val="1"/>
          <w:iCs w:val="1"/>
          <w:color w:val="313D6F"/>
        </w:rPr>
        <w:t>QP</w:t>
      </w:r>
      <w:r>
        <w:rPr>
          <w:rFonts w:ascii="PMingLiU" w:cs="PMingLiU" w:eastAsia="PMingLiU" w:hAnsi="PMingLiU"/>
          <w:sz w:val="18"/>
          <w:szCs w:val="18"/>
          <w:b w:val="1"/>
          <w:bCs w:val="1"/>
          <w:i w:val="1"/>
          <w:iCs w:val="1"/>
          <w:color w:val="313D6F"/>
        </w:rPr>
        <w:t/>
      </w:r>
      <w:r>
        <w:rPr>
          <w:rFonts w:ascii="Arial" w:cs="Arial" w:eastAsia="Arial" w:hAnsi="Arial"/>
          <w:sz w:val="18"/>
          <w:szCs w:val="18"/>
          <w:b w:val="1"/>
          <w:bCs w:val="1"/>
          <w:i w:val="1"/>
          <w:iCs w:val="1"/>
          <w:color w:val="313D6F"/>
        </w:rPr>
        <w:t>VTCEM</w:t>
      </w:r>
      <w:r>
        <w:rPr>
          <w:rFonts w:ascii="PMingLiU" w:cs="PMingLiU" w:eastAsia="PMingLiU" w:hAnsi="PMingLiU"/>
          <w:sz w:val="18"/>
          <w:szCs w:val="18"/>
          <w:b w:val="1"/>
          <w:bCs w:val="1"/>
          <w:i w:val="1"/>
          <w:iCs w:val="1"/>
          <w:color w:val="313D6F"/>
        </w:rPr>
        <w:t/>
      </w:r>
      <w:r>
        <w:rPr>
          <w:rFonts w:ascii="Arial" w:cs="Arial" w:eastAsia="Arial" w:hAnsi="Arial"/>
          <w:sz w:val="18"/>
          <w:szCs w:val="18"/>
          <w:b w:val="1"/>
          <w:bCs w:val="1"/>
          <w:i w:val="1"/>
          <w:iCs w:val="1"/>
          <w:color w:val="313D6F"/>
        </w:rPr>
        <w:t>VQ</w:t>
      </w:r>
      <w:r>
        <w:rPr>
          <w:rFonts w:ascii="PMingLiU" w:cs="PMingLiU" w:eastAsia="PMingLiU" w:hAnsi="PMingLiU"/>
          <w:sz w:val="18"/>
          <w:szCs w:val="18"/>
          <w:b w:val="1"/>
          <w:bCs w:val="1"/>
          <w:i w:val="1"/>
          <w:iCs w:val="1"/>
          <w:color w:val="313D6F"/>
        </w:rPr>
        <w:t/>
      </w:r>
      <w:r>
        <w:rPr>
          <w:rFonts w:ascii="Arial" w:cs="Arial" w:eastAsia="Arial" w:hAnsi="Arial"/>
          <w:sz w:val="18"/>
          <w:szCs w:val="18"/>
          <w:b w:val="1"/>
          <w:bCs w:val="1"/>
          <w:i w:val="1"/>
          <w:iCs w:val="1"/>
          <w:color w:val="313D6F"/>
        </w:rPr>
        <w:t>FQUG</w:t>
      </w:r>
      <w:r>
        <w:rPr>
          <w:rFonts w:ascii="PMingLiU" w:cs="PMingLiU" w:eastAsia="PMingLiU" w:hAnsi="PMingLiU"/>
          <w:sz w:val="18"/>
          <w:szCs w:val="18"/>
          <w:b w:val="1"/>
          <w:bCs w:val="1"/>
          <w:i w:val="1"/>
          <w:iCs w:val="1"/>
          <w:color w:val="313D6F"/>
        </w:rPr>
        <w:t/>
      </w:r>
    </w:p>
    <w:p>
      <w:pPr>
        <w:spacing w:after="0" w:line="85" w:lineRule="exact"/>
        <w:rPr>
          <w:sz w:val="20"/>
          <w:szCs w:val="20"/>
          <w:color w:val="auto"/>
        </w:rPr>
      </w:pPr>
    </w:p>
    <w:p>
      <w:pPr>
        <w:ind w:left="5480"/>
        <w:spacing w:after="0" w:line="243" w:lineRule="exact"/>
        <w:rPr>
          <w:sz w:val="20"/>
          <w:szCs w:val="20"/>
          <w:color w:val="auto"/>
        </w:rPr>
      </w:pPr>
      <w:r>
        <w:rPr>
          <w:rFonts w:ascii="Arial" w:cs="Arial" w:eastAsia="Arial" w:hAnsi="Arial"/>
          <w:sz w:val="20"/>
          <w:szCs w:val="20"/>
          <w:b w:val="1"/>
          <w:bCs w:val="1"/>
          <w:i w:val="1"/>
          <w:iCs w:val="1"/>
          <w:color w:val="313D6F"/>
        </w:rPr>
        <w:t>#.5</w:t>
      </w:r>
      <w:r>
        <w:rPr>
          <w:rFonts w:ascii="PMingLiU" w:cs="PMingLiU" w:eastAsia="PMingLiU" w:hAnsi="PMingLiU"/>
          <w:sz w:val="20"/>
          <w:szCs w:val="20"/>
          <w:b w:val="1"/>
          <w:bCs w:val="1"/>
          <w:i w:val="1"/>
          <w:iCs w:val="1"/>
          <w:color w:val="313D6F"/>
        </w:rPr>
        <w:t/>
      </w:r>
      <w:r>
        <w:rPr>
          <w:rFonts w:ascii="Arial" w:cs="Arial" w:eastAsia="Arial" w:hAnsi="Arial"/>
          <w:sz w:val="20"/>
          <w:szCs w:val="20"/>
          <w:b w:val="1"/>
          <w:bCs w:val="1"/>
          <w:i w:val="1"/>
          <w:iCs w:val="1"/>
          <w:color w:val="313D6F"/>
        </w:rPr>
        <w:t>RCVKGPVU</w:t>
      </w:r>
      <w:r>
        <w:rPr>
          <w:rFonts w:ascii="PMingLiU" w:cs="PMingLiU" w:eastAsia="PMingLiU" w:hAnsi="PMingLiU"/>
          <w:sz w:val="20"/>
          <w:szCs w:val="20"/>
          <w:b w:val="1"/>
          <w:bCs w:val="1"/>
          <w:i w:val="1"/>
          <w:iCs w:val="1"/>
          <w:color w:val="313D6F"/>
        </w:rPr>
        <w:t/>
      </w:r>
      <w:r>
        <w:rPr>
          <w:rFonts w:ascii="Arial" w:cs="Arial" w:eastAsia="Arial" w:hAnsi="Arial"/>
          <w:sz w:val="20"/>
          <w:szCs w:val="20"/>
          <w:b w:val="1"/>
          <w:bCs w:val="1"/>
          <w:i w:val="1"/>
          <w:iCs w:val="1"/>
          <w:color w:val="313D6F"/>
        </w:rPr>
        <w:t>KP</w:t>
      </w:r>
      <w:r>
        <w:rPr>
          <w:rFonts w:ascii="PMingLiU" w:cs="PMingLiU" w:eastAsia="PMingLiU" w:hAnsi="PMingLiU"/>
          <w:sz w:val="20"/>
          <w:szCs w:val="20"/>
          <w:b w:val="1"/>
          <w:bCs w:val="1"/>
          <w:i w:val="1"/>
          <w:iCs w:val="1"/>
          <w:color w:val="313D6F"/>
        </w:rPr>
        <w:t/>
      </w: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To Our Shareholders,</w:t>
      </w:r>
    </w:p>
    <w:p>
      <w:pPr>
        <w:sectPr>
          <w:pgSz w:w="12240" w:h="15840" w:orient="portrait"/>
          <w:cols w:equalWidth="0" w:num="1">
            <w:col w:w="9540"/>
          </w:cols>
          <w:pgMar w:left="1440" w:top="533" w:right="1260" w:bottom="8" w:gutter="0" w:footer="0" w:header="0"/>
        </w:sect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At Athira, we remain steadfast in our mission</w:t>
      </w:r>
    </w:p>
    <w:p>
      <w:pPr>
        <w:spacing w:after="0" w:line="50" w:lineRule="exact"/>
        <w:rPr>
          <w:sz w:val="20"/>
          <w:szCs w:val="20"/>
          <w:color w:val="auto"/>
        </w:rPr>
      </w:pPr>
    </w:p>
    <w:p>
      <w:pPr>
        <w:ind w:left="180" w:right="180"/>
        <w:spacing w:after="0" w:line="299" w:lineRule="auto"/>
        <w:rPr>
          <w:sz w:val="20"/>
          <w:szCs w:val="20"/>
          <w:color w:val="auto"/>
        </w:rPr>
      </w:pPr>
      <w:r>
        <w:rPr>
          <w:rFonts w:ascii="Arial" w:cs="Arial" w:eastAsia="Arial" w:hAnsi="Arial"/>
          <w:sz w:val="20"/>
          <w:szCs w:val="20"/>
          <w:color w:val="auto"/>
        </w:rPr>
        <w:t>to develop novel innovative therapies for neuro-degenerative disease patients in need of new treatment options.</w:t>
      </w:r>
    </w:p>
    <w:p>
      <w:pPr>
        <w:spacing w:after="0" w:line="140" w:lineRule="exact"/>
        <w:rPr>
          <w:sz w:val="20"/>
          <w:szCs w:val="20"/>
          <w:color w:val="auto"/>
        </w:rPr>
      </w:pPr>
    </w:p>
    <w:p>
      <w:pPr>
        <w:ind w:left="180" w:right="20"/>
        <w:spacing w:after="0" w:line="293" w:lineRule="auto"/>
        <w:rPr>
          <w:sz w:val="20"/>
          <w:szCs w:val="20"/>
          <w:color w:val="auto"/>
        </w:rPr>
      </w:pPr>
      <w:r>
        <w:rPr>
          <w:rFonts w:ascii="Arial" w:cs="Arial" w:eastAsia="Arial" w:hAnsi="Arial"/>
          <w:sz w:val="20"/>
          <w:szCs w:val="20"/>
          <w:color w:val="auto"/>
        </w:rPr>
        <w:t>We enter 2025 with renewed energy and determi-nation. Despite the challenges we encountered in 2024 and the ongoing uncertainties in the global economy and biotechnology sector, our optimism for the future is unwavering. Our experi-ence with cyclical downturns has taught us that innovative science and positive clinical outcomes are not only celebrated by patient communities but are also ultimately recognized and rewarded by the markets. Accordingly, we have sharp-ened our focus on the clinical development of ATH-1105, our next-generation, orally adminis-tered small molecule drug candidate designed to positively modulate the neurotrophic HGF system for the potential treatment of neurodegenerative diseases such as ALS, as we seek to maximize shareholder value.</w:t>
      </w:r>
    </w:p>
    <w:p>
      <w:pPr>
        <w:spacing w:after="0" w:line="147" w:lineRule="exact"/>
        <w:rPr>
          <w:sz w:val="20"/>
          <w:szCs w:val="20"/>
          <w:color w:val="auto"/>
        </w:rPr>
      </w:pPr>
    </w:p>
    <w:p>
      <w:pPr>
        <w:ind w:left="180" w:right="200"/>
        <w:spacing w:after="0" w:line="296" w:lineRule="auto"/>
        <w:rPr>
          <w:sz w:val="20"/>
          <w:szCs w:val="20"/>
          <w:color w:val="auto"/>
        </w:rPr>
      </w:pPr>
      <w:r>
        <w:rPr>
          <w:rFonts w:ascii="Arial" w:cs="Arial" w:eastAsia="Arial" w:hAnsi="Arial"/>
          <w:sz w:val="20"/>
          <w:szCs w:val="20"/>
          <w:color w:val="auto"/>
        </w:rPr>
        <w:t>We have made meaningful progress advancing ATH-1105 for the potential treatment of ALS, and remain highly encouraged by the neuropro-tective effects demonstrated to date.</w:t>
      </w:r>
    </w:p>
    <w:p>
      <w:pPr>
        <w:spacing w:after="0" w:line="145" w:lineRule="exact"/>
        <w:rPr>
          <w:sz w:val="20"/>
          <w:szCs w:val="20"/>
          <w:color w:val="auto"/>
        </w:rPr>
      </w:pPr>
    </w:p>
    <w:p>
      <w:pPr>
        <w:ind w:left="180"/>
        <w:spacing w:after="0" w:line="294" w:lineRule="auto"/>
        <w:rPr>
          <w:sz w:val="20"/>
          <w:szCs w:val="20"/>
          <w:color w:val="auto"/>
        </w:rPr>
      </w:pPr>
      <w:r>
        <w:rPr>
          <w:rFonts w:ascii="Arial" w:cs="Arial" w:eastAsia="Arial" w:hAnsi="Arial"/>
          <w:sz w:val="20"/>
          <w:szCs w:val="20"/>
          <w:color w:val="auto"/>
        </w:rPr>
        <w:t>In various preclinical models of ALS, ATH-1105 has demonstrated an ability to improve motor and nerve function, enhance neuronal survival, and improve biomarkers of inflammation and neuro-degeneration, including neurofilament light chain (NfL), a key marker of ALS disease progression.</w:t>
      </w:r>
    </w:p>
    <w:p>
      <w:pPr>
        <w:spacing w:after="0" w:line="150" w:lineRule="exact"/>
        <w:rPr>
          <w:sz w:val="20"/>
          <w:szCs w:val="20"/>
          <w:color w:val="auto"/>
        </w:rPr>
      </w:pPr>
    </w:p>
    <w:p>
      <w:pPr>
        <w:ind w:left="180" w:right="400"/>
        <w:spacing w:after="0" w:line="305" w:lineRule="auto"/>
        <w:rPr>
          <w:sz w:val="20"/>
          <w:szCs w:val="20"/>
          <w:color w:val="auto"/>
        </w:rPr>
      </w:pPr>
      <w:r>
        <w:rPr>
          <w:rFonts w:ascii="Arial" w:cs="Arial" w:eastAsia="Arial" w:hAnsi="Arial"/>
          <w:sz w:val="20"/>
          <w:szCs w:val="20"/>
          <w:color w:val="auto"/>
        </w:rPr>
        <w:t>In November 2024, we completed the first-in-human Phase 1 clinical trial of ATH-1105 that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114300</wp:posOffset>
                </wp:positionH>
                <wp:positionV relativeFrom="paragraph">
                  <wp:posOffset>658495</wp:posOffset>
                </wp:positionV>
                <wp:extent cx="5943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51.85pt" to="477pt,51.85pt" o:allowincell="f" strokecolor="#000000" strokeweight="0.2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right="20"/>
        <w:spacing w:after="0" w:line="294" w:lineRule="auto"/>
        <w:rPr>
          <w:sz w:val="20"/>
          <w:szCs w:val="20"/>
          <w:color w:val="auto"/>
        </w:rPr>
      </w:pPr>
      <w:r>
        <w:rPr>
          <w:rFonts w:ascii="Arial" w:cs="Arial" w:eastAsia="Arial" w:hAnsi="Arial"/>
          <w:sz w:val="20"/>
          <w:szCs w:val="20"/>
          <w:color w:val="auto"/>
        </w:rPr>
        <w:t>enrolled 80 healthy volunteers to evaluate single and multiple oral ascending doses of ATH-1105. The results of the Phase 1 study showed that ATH-1105 demonstrated a favorable safety profile and was well-tolerated in healthy volunteers, supporting continued clinical development.</w:t>
      </w:r>
    </w:p>
    <w:p>
      <w:pPr>
        <w:spacing w:after="0" w:line="150" w:lineRule="exact"/>
        <w:rPr>
          <w:sz w:val="20"/>
          <w:szCs w:val="20"/>
          <w:color w:val="auto"/>
        </w:rPr>
      </w:pPr>
    </w:p>
    <w:p>
      <w:pPr>
        <w:ind w:right="20"/>
        <w:spacing w:after="0" w:line="296" w:lineRule="auto"/>
        <w:rPr>
          <w:sz w:val="20"/>
          <w:szCs w:val="20"/>
          <w:color w:val="auto"/>
        </w:rPr>
      </w:pPr>
      <w:r>
        <w:rPr>
          <w:rFonts w:ascii="Arial" w:cs="Arial" w:eastAsia="Arial" w:hAnsi="Arial"/>
          <w:sz w:val="20"/>
          <w:szCs w:val="20"/>
          <w:color w:val="auto"/>
        </w:rPr>
        <w:t>Based on these positive outcomes, we are excited to move into ALS patients with a planned clinical trial of ATH-1105 later this year and expect to have initial proof-of-concept data in 2026.</w:t>
      </w:r>
    </w:p>
    <w:p>
      <w:pPr>
        <w:spacing w:after="0" w:line="145" w:lineRule="exact"/>
        <w:rPr>
          <w:sz w:val="20"/>
          <w:szCs w:val="20"/>
          <w:color w:val="auto"/>
        </w:rPr>
      </w:pPr>
    </w:p>
    <w:p>
      <w:pPr>
        <w:ind w:right="160"/>
        <w:spacing w:after="0" w:line="294" w:lineRule="auto"/>
        <w:rPr>
          <w:sz w:val="20"/>
          <w:szCs w:val="20"/>
          <w:color w:val="auto"/>
        </w:rPr>
      </w:pPr>
      <w:r>
        <w:rPr>
          <w:rFonts w:ascii="Arial" w:cs="Arial" w:eastAsia="Arial" w:hAnsi="Arial"/>
          <w:sz w:val="20"/>
          <w:szCs w:val="20"/>
          <w:color w:val="auto"/>
        </w:rPr>
        <w:t>We thank you for your continued support as we advance our business and clinical develop-ment strategies, which we believe will bring us closer to delivering transformative medicines and new standards of care to millions of patients who suffer from debilitating neurodegenerative diseases.</w:t>
      </w:r>
    </w:p>
    <w:p>
      <w:pPr>
        <w:spacing w:after="0" w:line="148" w:lineRule="exact"/>
        <w:rPr>
          <w:sz w:val="20"/>
          <w:szCs w:val="20"/>
          <w:color w:val="auto"/>
        </w:rPr>
      </w:pPr>
    </w:p>
    <w:p>
      <w:pPr>
        <w:ind w:right="200"/>
        <w:spacing w:after="0" w:line="296" w:lineRule="auto"/>
        <w:rPr>
          <w:sz w:val="20"/>
          <w:szCs w:val="20"/>
          <w:color w:val="auto"/>
        </w:rPr>
      </w:pPr>
      <w:r>
        <w:rPr>
          <w:rFonts w:ascii="Arial" w:cs="Arial" w:eastAsia="Arial" w:hAnsi="Arial"/>
          <w:sz w:val="20"/>
          <w:szCs w:val="20"/>
          <w:color w:val="auto"/>
        </w:rPr>
        <w:t>As ever, we are grateful for the clinical collabo-rators and their patients who participate in our clinical trials. Without their support, none of this important work would be made possible.</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165735</wp:posOffset>
            </wp:positionV>
            <wp:extent cx="2987675" cy="1651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2987675" cy="165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Mark J. Litton, Ph.D.</w:t>
      </w:r>
    </w:p>
    <w:p>
      <w:pPr>
        <w:spacing w:after="0" w:line="71" w:lineRule="exact"/>
        <w:rPr>
          <w:sz w:val="20"/>
          <w:szCs w:val="20"/>
          <w:color w:val="auto"/>
        </w:rPr>
      </w:pPr>
    </w:p>
    <w:p>
      <w:pPr>
        <w:ind w:right="2900"/>
        <w:spacing w:after="0" w:line="357" w:lineRule="auto"/>
        <w:rPr>
          <w:sz w:val="20"/>
          <w:szCs w:val="20"/>
          <w:color w:val="auto"/>
        </w:rPr>
      </w:pPr>
      <w:r>
        <w:rPr>
          <w:rFonts w:ascii="Arial" w:cs="Arial" w:eastAsia="Arial" w:hAnsi="Arial"/>
          <w:sz w:val="17"/>
          <w:szCs w:val="17"/>
          <w:color w:val="auto"/>
        </w:rPr>
        <w:t>President and Chief Executive Officer, Athira Pharma, Inc.</w:t>
      </w:r>
    </w:p>
    <w:p>
      <w:pPr>
        <w:spacing w:after="0" w:line="200" w:lineRule="exact"/>
        <w:rPr>
          <w:sz w:val="20"/>
          <w:szCs w:val="20"/>
          <w:color w:val="auto"/>
        </w:rPr>
      </w:pPr>
    </w:p>
    <w:p>
      <w:pPr>
        <w:sectPr>
          <w:pgSz w:w="12240" w:h="15840" w:orient="portrait"/>
          <w:cols w:equalWidth="0" w:num="2">
            <w:col w:w="4660" w:space="400"/>
            <w:col w:w="4480"/>
          </w:cols>
          <w:pgMar w:left="1440" w:top="533" w:right="1260" w:bottom="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80"/>
        <w:spacing w:after="0" w:line="315" w:lineRule="auto"/>
        <w:rPr>
          <w:sz w:val="20"/>
          <w:szCs w:val="20"/>
          <w:color w:val="auto"/>
        </w:rPr>
      </w:pPr>
      <w:r>
        <w:rPr>
          <w:rFonts w:ascii="Arial" w:cs="Arial" w:eastAsia="Arial" w:hAnsi="Arial"/>
          <w:sz w:val="12"/>
          <w:szCs w:val="12"/>
          <w:color w:val="auto"/>
        </w:rPr>
        <w:t>Certain statements contained in this letter may constitute forward-looking statements within the meaning of Section 27A of the Securities Act of 1933, as amended, and Section 21E of the Securities Exchange Act of 1934, as amended. A detailed discussion of such forward-looking statements and the related risks and uncertainties is included in our Annual Report on Form 10-K included herewith.</w:t>
      </w:r>
    </w:p>
    <w:p>
      <w:pPr>
        <w:sectPr>
          <w:pgSz w:w="12240" w:h="15840" w:orient="portrait"/>
          <w:cols w:equalWidth="0" w:num="1">
            <w:col w:w="9540"/>
          </w:cols>
          <w:pgMar w:left="1440" w:top="533" w:right="1260" w:bottom="8" w:gutter="0" w:footer="0" w:header="0"/>
          <w:type w:val="continuous"/>
        </w:sectPr>
      </w:pPr>
    </w:p>
    <w:bookmarkStart w:id="3" w:name="page4"/>
    <w:bookmarkEnd w:id="3"/>
    <w:p>
      <w:pPr>
        <w:jc w:val="both"/>
        <w:spacing w:after="0" w:line="315" w:lineRule="auto"/>
        <w:rPr>
          <w:sz w:val="20"/>
          <w:szCs w:val="20"/>
          <w:color w:val="auto"/>
        </w:rPr>
      </w:pPr>
    </w:p>
    <w:p>
      <w:pPr>
        <w:sectPr>
          <w:pgSz w:w="12240" w:h="15840"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28"/>
          <w:szCs w:val="28"/>
          <w:b w:val="1"/>
          <w:bCs w:val="1"/>
          <w:color w:val="auto"/>
        </w:rPr>
        <mc:AlternateContent>
          <mc:Choice Requires="wps">
            <w:drawing>
              <wp:anchor simplePos="0" relativeHeight="251657728" behindDoc="1" locked="0" layoutInCell="0" allowOverlap="1">
                <wp:simplePos x="0" y="0"/>
                <wp:positionH relativeFrom="page">
                  <wp:posOffset>667385</wp:posOffset>
                </wp:positionH>
                <wp:positionV relativeFrom="page">
                  <wp:posOffset>551815</wp:posOffset>
                </wp:positionV>
                <wp:extent cx="64376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5pt,43.45pt" to="559.45pt,43.45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667385</wp:posOffset>
                </wp:positionH>
                <wp:positionV relativeFrom="page">
                  <wp:posOffset>564515</wp:posOffset>
                </wp:positionV>
                <wp:extent cx="64376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5pt,44.45pt" to="559.45pt,44.45pt" o:allowincell="f" strokecolor="#000000" strokeweight="0.5pt">
                <w10:wrap anchorx="page" anchory="page"/>
              </v:line>
            </w:pict>
          </mc:Fallback>
        </mc:AlternateContent>
        <w:t>UNITED STATES</w:t>
      </w:r>
    </w:p>
    <w:p>
      <w:pPr>
        <w:jc w:val="center"/>
        <w:spacing w:after="0" w:line="235" w:lineRule="auto"/>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-222885</wp:posOffset>
                </wp:positionV>
                <wp:extent cx="9512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17.5499pt" to="289.45pt,-17.5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2724785</wp:posOffset>
                </wp:positionH>
                <wp:positionV relativeFrom="paragraph">
                  <wp:posOffset>62865</wp:posOffset>
                </wp:positionV>
                <wp:extent cx="9512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95pt" to="289.45pt,4.95pt" o:allowincell="f" strokecolor="#000000" strokeweight="0.5pt"/>
            </w:pict>
          </mc:Fallback>
        </mc:AlternateConten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 w:lineRule="exact"/>
        <w:rPr>
          <w:sz w:val="20"/>
          <w:szCs w:val="20"/>
          <w:color w:val="auto"/>
        </w:rPr>
      </w:pPr>
    </w:p>
    <w:p>
      <w:pPr>
        <w:ind w:left="420" w:hanging="406"/>
        <w:spacing w:after="0"/>
        <w:tabs>
          <w:tab w:leader="none" w:pos="420" w:val="left"/>
        </w:tabs>
        <w:numPr>
          <w:ilvl w:val="0"/>
          <w:numId w:val="1"/>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6" w:lineRule="exact"/>
        <w:rPr>
          <w:sz w:val="20"/>
          <w:szCs w:val="20"/>
          <w:color w:val="auto"/>
        </w:rPr>
      </w:pPr>
    </w:p>
    <w:p>
      <w:pPr>
        <w:ind w:left="420" w:hanging="406"/>
        <w:spacing w:after="0"/>
        <w:tabs>
          <w:tab w:leader="none" w:pos="420" w:val="left"/>
        </w:tabs>
        <w:numPr>
          <w:ilvl w:val="0"/>
          <w:numId w:val="2"/>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 FOR</w:t>
      </w:r>
    </w:p>
    <w:p>
      <w:pPr>
        <w:spacing w:after="0" w:line="3" w:lineRule="exact"/>
        <w:rPr>
          <w:sz w:val="20"/>
          <w:szCs w:val="20"/>
          <w:color w:val="auto"/>
        </w:rPr>
      </w:pPr>
    </w:p>
    <w:p>
      <w:pPr>
        <w:ind w:left="420"/>
        <w:spacing w:after="0"/>
        <w:tabs>
          <w:tab w:leader="none" w:pos="4320" w:val="left"/>
        </w:tabs>
        <w:rPr>
          <w:sz w:val="20"/>
          <w:szCs w:val="20"/>
          <w:color w:val="auto"/>
        </w:rPr>
      </w:pPr>
      <w:r>
        <w:rPr>
          <w:rFonts w:ascii="Arial" w:cs="Arial" w:eastAsia="Arial" w:hAnsi="Arial"/>
          <w:sz w:val="18"/>
          <w:szCs w:val="18"/>
          <w:b w:val="1"/>
          <w:bCs w:val="1"/>
          <w:color w:val="auto"/>
        </w:rPr>
        <w:t>THE TRANSITION PERIOD FROM</w:t>
      </w:r>
      <w:r>
        <w:rPr>
          <w:sz w:val="20"/>
          <w:szCs w:val="20"/>
          <w:color w:val="auto"/>
        </w:rPr>
        <w:tab/>
      </w:r>
      <w:r>
        <w:rPr>
          <w:rFonts w:ascii="Arial" w:cs="Arial" w:eastAsia="Arial" w:hAnsi="Arial"/>
          <w:sz w:val="18"/>
          <w:szCs w:val="18"/>
          <w:b w:val="1"/>
          <w:bCs w:val="1"/>
          <w:color w:val="auto"/>
        </w:rPr>
        <w:t>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001-39503</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Athira Pharma,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-247650</wp:posOffset>
                </wp:positionV>
                <wp:extent cx="9512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19.4999pt" to="289.45pt,-19.4999pt" o:allowincell="f" strokecolor="#000000" strokeweight="0.5pt"/>
            </w:pict>
          </mc:Fallback>
        </mc:AlternateConten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36830</wp:posOffset>
                </wp:positionV>
                <wp:extent cx="95123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2.9pt" to="289.45pt,2.9pt" o:allowincell="f" strokecolor="#000000" strokeweight="0.5pt"/>
            </w:pict>
          </mc:Fallback>
        </mc:AlternateContent>
      </w:r>
    </w:p>
    <w:p>
      <w:pPr>
        <w:sectPr>
          <w:pgSz w:w="12240" w:h="15840" w:orient="portrait"/>
          <w:cols w:equalWidth="0" w:num="1">
            <w:col w:w="10080"/>
          </w:cols>
          <w:pgMar w:left="1080" w:top="902" w:right="1080" w:bottom="730" w:gutter="0" w:footer="0" w:header="0"/>
        </w:sectPr>
      </w:pPr>
    </w:p>
    <w:p>
      <w:pPr>
        <w:spacing w:after="0" w:line="7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Delaware</w:t>
      </w:r>
    </w:p>
    <w:p>
      <w:pPr>
        <w:ind w:left="1560"/>
        <w:spacing w:after="0" w:line="236" w:lineRule="auto"/>
        <w:rPr>
          <w:sz w:val="20"/>
          <w:szCs w:val="20"/>
          <w:color w:val="auto"/>
        </w:rPr>
      </w:pPr>
      <w:r>
        <w:rPr>
          <w:rFonts w:ascii="Arial" w:cs="Arial" w:eastAsia="Arial" w:hAnsi="Arial"/>
          <w:sz w:val="14"/>
          <w:szCs w:val="14"/>
          <w:b w:val="1"/>
          <w:bCs w:val="1"/>
          <w:color w:val="auto"/>
        </w:rPr>
        <w:t>(State or other jurisdiction of</w:t>
      </w:r>
    </w:p>
    <w:p>
      <w:pPr>
        <w:ind w:left="15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45-3368487</w:t>
      </w:r>
    </w:p>
    <w:p>
      <w:pPr>
        <w:spacing w:after="0" w:line="13"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No.)</w:t>
      </w:r>
    </w:p>
    <w:p>
      <w:pPr>
        <w:spacing w:after="0" w:line="29" w:lineRule="exact"/>
        <w:rPr>
          <w:sz w:val="20"/>
          <w:szCs w:val="20"/>
          <w:color w:val="auto"/>
        </w:rPr>
      </w:pPr>
    </w:p>
    <w:p>
      <w:pPr>
        <w:sectPr>
          <w:pgSz w:w="12240" w:h="15840" w:orient="portrait"/>
          <w:cols w:equalWidth="0" w:num="2">
            <w:col w:w="6240" w:space="720"/>
            <w:col w:w="3120"/>
          </w:cols>
          <w:pgMar w:left="1080" w:top="902" w:right="1080" w:bottom="73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18706 North Creek Parkway, Suite 104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Bothell, Washington 98011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(425) 620-8501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40640</wp:posOffset>
                </wp:positionV>
                <wp:extent cx="95123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3.2pt" to="289.45pt,3.2pt" o:allowincell="f" strokecolor="#000000" strokeweight="0.5pt"/>
            </w:pict>
          </mc:Fallback>
        </mc:AlternateConten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40" w:type="dxa"/>
            <w:vAlign w:val="bottom"/>
            <w:gridSpan w:val="3"/>
            <w:vMerge w:val="restart"/>
          </w:tcPr>
          <w:p>
            <w:pPr>
              <w:jc w:val="center"/>
              <w:ind w:right="500"/>
              <w:spacing w:after="0"/>
              <w:rPr>
                <w:sz w:val="20"/>
                <w:szCs w:val="20"/>
                <w:color w:val="auto"/>
              </w:rPr>
            </w:pPr>
            <w:r>
              <w:rPr>
                <w:rFonts w:ascii="Arial" w:cs="Arial" w:eastAsia="Arial" w:hAnsi="Arial"/>
                <w:sz w:val="15"/>
                <w:szCs w:val="15"/>
                <w:b w:val="1"/>
                <w:bCs w:val="1"/>
                <w:color w:val="auto"/>
              </w:rPr>
              <w:t>Title of each class</w:t>
            </w:r>
          </w:p>
        </w:tc>
        <w:tc>
          <w:tcPr>
            <w:tcW w:w="1600" w:type="dxa"/>
            <w:vAlign w:val="bottom"/>
          </w:tcPr>
          <w:p>
            <w:pPr>
              <w:jc w:val="center"/>
              <w:ind w:right="327"/>
              <w:spacing w:after="0"/>
              <w:rPr>
                <w:sz w:val="20"/>
                <w:szCs w:val="20"/>
                <w:color w:val="auto"/>
              </w:rPr>
            </w:pPr>
            <w:r>
              <w:rPr>
                <w:rFonts w:ascii="Arial" w:cs="Arial" w:eastAsia="Arial" w:hAnsi="Arial"/>
                <w:sz w:val="15"/>
                <w:szCs w:val="15"/>
                <w:b w:val="1"/>
                <w:bCs w:val="1"/>
                <w:color w:val="auto"/>
              </w:rPr>
              <w:t>Trading</w:t>
            </w:r>
          </w:p>
        </w:tc>
        <w:tc>
          <w:tcPr>
            <w:tcW w:w="100" w:type="dxa"/>
            <w:vAlign w:val="bottom"/>
          </w:tcPr>
          <w:p>
            <w:pPr>
              <w:spacing w:after="0"/>
              <w:rPr>
                <w:sz w:val="15"/>
                <w:szCs w:val="15"/>
                <w:color w:val="auto"/>
              </w:rPr>
            </w:pPr>
          </w:p>
        </w:tc>
        <w:tc>
          <w:tcPr>
            <w:tcW w:w="39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Name of each exchange on which registered</w:t>
            </w:r>
          </w:p>
        </w:tc>
        <w:tc>
          <w:tcPr>
            <w:tcW w:w="0" w:type="dxa"/>
            <w:vAlign w:val="bottom"/>
          </w:tcPr>
          <w:p>
            <w:pPr>
              <w:spacing w:after="0"/>
              <w:rPr>
                <w:sz w:val="1"/>
                <w:szCs w:val="1"/>
                <w:color w:val="auto"/>
              </w:rPr>
            </w:pPr>
          </w:p>
        </w:tc>
      </w:tr>
      <w:tr>
        <w:trPr>
          <w:trHeight w:val="187"/>
        </w:trPr>
        <w:tc>
          <w:tcPr>
            <w:tcW w:w="4440" w:type="dxa"/>
            <w:vAlign w:val="bottom"/>
            <w:gridSpan w:val="3"/>
            <w:vMerge w:val="continue"/>
          </w:tcPr>
          <w:p>
            <w:pPr>
              <w:spacing w:after="0"/>
              <w:rPr>
                <w:sz w:val="16"/>
                <w:szCs w:val="16"/>
                <w:color w:val="auto"/>
              </w:rPr>
            </w:pPr>
          </w:p>
        </w:tc>
        <w:tc>
          <w:tcPr>
            <w:tcW w:w="1600" w:type="dxa"/>
            <w:vAlign w:val="bottom"/>
          </w:tcPr>
          <w:p>
            <w:pPr>
              <w:jc w:val="center"/>
              <w:ind w:right="327"/>
              <w:spacing w:after="0"/>
              <w:rPr>
                <w:sz w:val="20"/>
                <w:szCs w:val="20"/>
                <w:color w:val="auto"/>
              </w:rPr>
            </w:pPr>
            <w:r>
              <w:rPr>
                <w:rFonts w:ascii="Arial" w:cs="Arial" w:eastAsia="Arial" w:hAnsi="Arial"/>
                <w:sz w:val="15"/>
                <w:szCs w:val="15"/>
                <w:b w:val="1"/>
                <w:bCs w:val="1"/>
                <w:color w:val="auto"/>
                <w:w w:val="99"/>
              </w:rPr>
              <w:t>Symbol(s)</w:t>
            </w:r>
          </w:p>
        </w:tc>
        <w:tc>
          <w:tcPr>
            <w:tcW w:w="10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Common Stock, $0.0001 par value per share</w:t>
            </w: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ind w:right="327"/>
              <w:spacing w:after="0" w:line="123" w:lineRule="exact"/>
              <w:rPr>
                <w:sz w:val="20"/>
                <w:szCs w:val="20"/>
                <w:color w:val="auto"/>
              </w:rPr>
            </w:pPr>
            <w:r>
              <w:rPr>
                <w:rFonts w:ascii="Arial" w:cs="Arial" w:eastAsia="Arial" w:hAnsi="Arial"/>
                <w:sz w:val="14"/>
                <w:szCs w:val="14"/>
                <w:color w:val="auto"/>
              </w:rPr>
              <w:t>ATHA</w:t>
            </w:r>
          </w:p>
        </w:tc>
        <w:tc>
          <w:tcPr>
            <w:tcW w:w="100" w:type="dxa"/>
            <w:vAlign w:val="bottom"/>
          </w:tcPr>
          <w:p>
            <w:pPr>
              <w:spacing w:after="0"/>
              <w:rPr>
                <w:sz w:val="10"/>
                <w:szCs w:val="10"/>
                <w:color w:val="auto"/>
              </w:rPr>
            </w:pPr>
          </w:p>
        </w:tc>
        <w:tc>
          <w:tcPr>
            <w:tcW w:w="3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4"/>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Arial" w:cs="Arial" w:eastAsia="Arial" w:hAnsi="Arial"/>
                <w:sz w:val="15"/>
                <w:szCs w:val="15"/>
                <w:color w:val="auto"/>
              </w:rPr>
              <w:t>(The Nasdaq Global Select Market)</w:t>
            </w:r>
          </w:p>
        </w:tc>
        <w:tc>
          <w:tcPr>
            <w:tcW w:w="0" w:type="dxa"/>
            <w:vAlign w:val="bottom"/>
          </w:tcPr>
          <w:p>
            <w:pPr>
              <w:spacing w:after="0"/>
              <w:rPr>
                <w:sz w:val="1"/>
                <w:szCs w:val="1"/>
                <w:color w:val="auto"/>
              </w:rPr>
            </w:pPr>
          </w:p>
        </w:tc>
      </w:tr>
      <w:tr>
        <w:trPr>
          <w:trHeight w:val="239"/>
        </w:trPr>
        <w:tc>
          <w:tcPr>
            <w:tcW w:w="444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right="1320"/>
        <w:spacing w:after="0" w:line="254"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requirements for the past 90 days.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78"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73" w:lineRule="exact"/>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7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00" w:type="dxa"/>
            <w:vAlign w:val="bottom"/>
            <w:gridSpan w:val="2"/>
          </w:tcPr>
          <w:p>
            <w:pPr>
              <w:spacing w:after="0"/>
              <w:rPr>
                <w:sz w:val="20"/>
                <w:szCs w:val="20"/>
                <w:color w:val="auto"/>
              </w:rPr>
            </w:pPr>
            <w:r>
              <w:rPr>
                <w:rFonts w:ascii="Arial" w:cs="Arial" w:eastAsia="Arial" w:hAnsi="Arial"/>
                <w:sz w:val="15"/>
                <w:szCs w:val="15"/>
                <w:color w:val="auto"/>
              </w:rPr>
              <w:t>Large accelerated filer</w:t>
            </w:r>
          </w:p>
        </w:tc>
        <w:tc>
          <w:tcPr>
            <w:tcW w:w="2860" w:type="dxa"/>
            <w:vAlign w:val="bottom"/>
          </w:tcPr>
          <w:p>
            <w:pPr>
              <w:ind w:left="60"/>
              <w:spacing w:after="0" w:line="151" w:lineRule="exact"/>
              <w:rPr>
                <w:sz w:val="20"/>
                <w:szCs w:val="20"/>
                <w:color w:val="auto"/>
              </w:rPr>
            </w:pPr>
            <w:r>
              <w:rPr>
                <w:rFonts w:ascii="MS PGothic" w:cs="MS PGothic" w:eastAsia="MS PGothic" w:hAnsi="MS PGothic"/>
                <w:sz w:val="15"/>
                <w:szCs w:val="15"/>
                <w:b w:val="1"/>
                <w:bCs w:val="1"/>
                <w:color w:val="auto"/>
              </w:rPr>
              <w:t>☐</w:t>
            </w:r>
          </w:p>
        </w:tc>
        <w:tc>
          <w:tcPr>
            <w:tcW w:w="4860" w:type="dxa"/>
            <w:vAlign w:val="bottom"/>
          </w:tcPr>
          <w:p>
            <w:pPr>
              <w:ind w:left="2680"/>
              <w:spacing w:after="0"/>
              <w:rPr>
                <w:sz w:val="20"/>
                <w:szCs w:val="20"/>
                <w:color w:val="auto"/>
              </w:rPr>
            </w:pPr>
            <w:r>
              <w:rPr>
                <w:rFonts w:ascii="Arial" w:cs="Arial" w:eastAsia="Arial" w:hAnsi="Arial"/>
                <w:sz w:val="15"/>
                <w:szCs w:val="15"/>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54"/>
        </w:trPr>
        <w:tc>
          <w:tcPr>
            <w:tcW w:w="1800" w:type="dxa"/>
            <w:vAlign w:val="bottom"/>
            <w:gridSpan w:val="2"/>
          </w:tcPr>
          <w:p>
            <w:pPr>
              <w:spacing w:after="0"/>
              <w:rPr>
                <w:sz w:val="20"/>
                <w:szCs w:val="20"/>
                <w:color w:val="auto"/>
              </w:rPr>
            </w:pPr>
            <w:r>
              <w:rPr>
                <w:rFonts w:ascii="Arial" w:cs="Arial" w:eastAsia="Arial" w:hAnsi="Arial"/>
                <w:sz w:val="15"/>
                <w:szCs w:val="15"/>
                <w:color w:val="auto"/>
              </w:rPr>
              <w:t>Non-accelerated filer</w:t>
            </w:r>
          </w:p>
        </w:tc>
        <w:tc>
          <w:tcPr>
            <w:tcW w:w="2860" w:type="dxa"/>
            <w:vAlign w:val="bottom"/>
          </w:tcPr>
          <w:p>
            <w:pPr>
              <w:ind w:left="60"/>
              <w:spacing w:after="0" w:line="151" w:lineRule="exact"/>
              <w:rPr>
                <w:sz w:val="20"/>
                <w:szCs w:val="20"/>
                <w:color w:val="auto"/>
              </w:rPr>
            </w:pPr>
            <w:r>
              <w:rPr>
                <w:rFonts w:ascii="MS PGothic" w:cs="MS PGothic" w:eastAsia="MS PGothic" w:hAnsi="MS PGothic"/>
                <w:sz w:val="15"/>
                <w:szCs w:val="15"/>
                <w:b w:val="1"/>
                <w:bCs w:val="1"/>
                <w:color w:val="auto"/>
              </w:rPr>
              <w:t>☒</w:t>
            </w:r>
          </w:p>
        </w:tc>
        <w:tc>
          <w:tcPr>
            <w:tcW w:w="4860" w:type="dxa"/>
            <w:vAlign w:val="bottom"/>
          </w:tcPr>
          <w:p>
            <w:pPr>
              <w:ind w:left="2680"/>
              <w:spacing w:after="0"/>
              <w:rPr>
                <w:sz w:val="20"/>
                <w:szCs w:val="20"/>
                <w:color w:val="auto"/>
              </w:rPr>
            </w:pPr>
            <w:r>
              <w:rPr>
                <w:rFonts w:ascii="Arial" w:cs="Arial" w:eastAsia="Arial" w:hAnsi="Arial"/>
                <w:sz w:val="15"/>
                <w:szCs w:val="15"/>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178"/>
        </w:trPr>
        <w:tc>
          <w:tcPr>
            <w:tcW w:w="960" w:type="dxa"/>
            <w:vAlign w:val="bottom"/>
          </w:tcPr>
          <w:p>
            <w:pPr>
              <w:spacing w:after="0"/>
              <w:rPr>
                <w:sz w:val="20"/>
                <w:szCs w:val="20"/>
                <w:color w:val="auto"/>
              </w:rPr>
            </w:pPr>
            <w:r>
              <w:rPr>
                <w:rFonts w:ascii="Arial" w:cs="Arial" w:eastAsia="Arial" w:hAnsi="Arial"/>
                <w:sz w:val="15"/>
                <w:szCs w:val="15"/>
                <w:color w:val="auto"/>
              </w:rPr>
              <w:t>Emerging</w:t>
            </w:r>
          </w:p>
        </w:tc>
        <w:tc>
          <w:tcPr>
            <w:tcW w:w="840" w:type="dxa"/>
            <w:vAlign w:val="bottom"/>
          </w:tcPr>
          <w:p>
            <w:pPr>
              <w:ind w:left="340"/>
              <w:spacing w:after="0"/>
              <w:rPr>
                <w:sz w:val="20"/>
                <w:szCs w:val="20"/>
                <w:color w:val="auto"/>
              </w:rPr>
            </w:pPr>
            <w:r>
              <w:rPr>
                <w:rFonts w:ascii="Arial" w:cs="Arial" w:eastAsia="Arial" w:hAnsi="Arial"/>
                <w:sz w:val="15"/>
                <w:szCs w:val="15"/>
                <w:color w:val="auto"/>
              </w:rPr>
              <w:t>growth</w:t>
            </w:r>
          </w:p>
        </w:tc>
        <w:tc>
          <w:tcPr>
            <w:tcW w:w="2860" w:type="dxa"/>
            <w:vAlign w:val="bottom"/>
          </w:tcPr>
          <w:p>
            <w:pPr>
              <w:ind w:left="60"/>
              <w:spacing w:after="0" w:line="151" w:lineRule="exact"/>
              <w:rPr>
                <w:sz w:val="20"/>
                <w:szCs w:val="20"/>
                <w:color w:val="auto"/>
              </w:rPr>
            </w:pPr>
            <w:r>
              <w:rPr>
                <w:rFonts w:ascii="MS PGothic" w:cs="MS PGothic" w:eastAsia="MS PGothic" w:hAnsi="MS PGothic"/>
                <w:sz w:val="15"/>
                <w:szCs w:val="15"/>
                <w:b w:val="1"/>
                <w:bCs w:val="1"/>
                <w:color w:val="auto"/>
              </w:rPr>
              <w:t>☒</w:t>
            </w:r>
          </w:p>
        </w:tc>
        <w:tc>
          <w:tcPr>
            <w:tcW w:w="48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4"/>
        </w:trPr>
        <w:tc>
          <w:tcPr>
            <w:tcW w:w="960" w:type="dxa"/>
            <w:vAlign w:val="bottom"/>
          </w:tcPr>
          <w:p>
            <w:pPr>
              <w:spacing w:after="0"/>
              <w:rPr>
                <w:sz w:val="20"/>
                <w:szCs w:val="20"/>
                <w:color w:val="auto"/>
              </w:rPr>
            </w:pPr>
            <w:r>
              <w:rPr>
                <w:rFonts w:ascii="Arial" w:cs="Arial" w:eastAsia="Arial" w:hAnsi="Arial"/>
                <w:sz w:val="15"/>
                <w:szCs w:val="15"/>
                <w:color w:val="auto"/>
              </w:rPr>
              <w:t>company</w:t>
            </w:r>
          </w:p>
        </w:tc>
        <w:tc>
          <w:tcPr>
            <w:tcW w:w="8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61" w:lineRule="exact"/>
        <w:rPr>
          <w:sz w:val="20"/>
          <w:szCs w:val="20"/>
          <w:color w:val="auto"/>
        </w:rPr>
      </w:pPr>
    </w:p>
    <w:p>
      <w:pPr>
        <w:jc w:val="both"/>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pacing w:after="0" w:line="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or issued its audit report. </w:t>
      </w:r>
      <w:r>
        <w:rPr>
          <w:rFonts w:ascii="MS PGothic" w:cs="MS PGothic" w:eastAsia="MS PGothic" w:hAnsi="MS PGothic"/>
          <w:sz w:val="15"/>
          <w:szCs w:val="15"/>
          <w:b w:val="1"/>
          <w:bCs w:val="1"/>
          <w:color w:val="auto"/>
        </w:rPr>
        <w:t>☐</w:t>
      </w:r>
    </w:p>
    <w:p>
      <w:pPr>
        <w:spacing w:after="0" w:line="78" w:lineRule="exact"/>
        <w:rPr>
          <w:sz w:val="20"/>
          <w:szCs w:val="20"/>
          <w:color w:val="auto"/>
        </w:rPr>
      </w:pPr>
    </w:p>
    <w:p>
      <w:pPr>
        <w:jc w:val="both"/>
        <w:spacing w:after="0" w:line="200"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auto"/>
        </w:rPr>
        <w:t>☐</w:t>
      </w:r>
    </w:p>
    <w:p>
      <w:pPr>
        <w:spacing w:after="0" w:line="23" w:lineRule="exact"/>
        <w:rPr>
          <w:sz w:val="20"/>
          <w:szCs w:val="20"/>
          <w:color w:val="auto"/>
        </w:rPr>
      </w:pPr>
    </w:p>
    <w:p>
      <w:pPr>
        <w:jc w:val="both"/>
        <w:spacing w:after="0" w:line="200"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MS PGothic" w:cs="MS PGothic" w:eastAsia="MS PGothic" w:hAnsi="MS PGothic"/>
          <w:sz w:val="15"/>
          <w:szCs w:val="15"/>
          <w:b w:val="1"/>
          <w:bCs w:val="1"/>
          <w:color w:val="auto"/>
        </w:rPr>
        <w:t>☐</w:t>
      </w:r>
    </w:p>
    <w:p>
      <w:pPr>
        <w:spacing w:after="0" w:line="20"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94"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The aggregate market value of the common stock held by non-affiliates of the registrant, based on the closing price of the shares of common stock on June 28, 2024 (the last business day of the registrant’s most recently completed second fiscal quarter) as reported by The Nasdaq Stock Market LLC on such date was approximately $86.0 million.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24, 2025 was 39,042,445.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Portions of the definitive proxy statement to be delivered to stockholders in connection with the 2025 annual meeting of stockholders are incorporated by reference into Part III of this Annual Report on Form 10-K. Such proxy statement will be filed with the Securities and Exchange Commission not later than 120 days following the end of the Registrant’s fiscal 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104775</wp:posOffset>
                </wp:positionV>
                <wp:extent cx="643763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8.25pt" to="505.45pt,8.2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92075</wp:posOffset>
                </wp:positionV>
                <wp:extent cx="643763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25pt" to="505.45pt,7.25pt" o:allowincell="f" strokecolor="#000000" strokeweight="0.5pt"/>
            </w:pict>
          </mc:Fallback>
        </mc:AlternateContent>
      </w:r>
    </w:p>
    <w:p>
      <w:pPr>
        <w:sectPr>
          <w:pgSz w:w="12240" w:h="15840" w:orient="portrait"/>
          <w:cols w:equalWidth="0" w:num="1">
            <w:col w:w="10080"/>
          </w:cols>
          <w:pgMar w:left="1080" w:top="902" w:right="1080" w:bottom="73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5"/>
        </w:trPr>
        <w:tc>
          <w:tcPr>
            <w:tcW w:w="920" w:type="dxa"/>
            <w:vAlign w:val="bottom"/>
          </w:tcPr>
          <w:p>
            <w:pPr>
              <w:spacing w:after="0"/>
              <w:rPr>
                <w:sz w:val="24"/>
                <w:szCs w:val="24"/>
                <w:color w:val="auto"/>
              </w:rPr>
            </w:pPr>
          </w:p>
        </w:tc>
        <w:tc>
          <w:tcPr>
            <w:tcW w:w="7780" w:type="dxa"/>
            <w:vAlign w:val="bottom"/>
          </w:tcPr>
          <w:p>
            <w:pPr>
              <w:ind w:left="2920"/>
              <w:spacing w:after="0"/>
              <w:rPr>
                <w:sz w:val="20"/>
                <w:szCs w:val="20"/>
                <w:color w:val="auto"/>
              </w:rPr>
            </w:pPr>
            <w:r>
              <w:rPr>
                <w:rFonts w:ascii="Arial" w:cs="Arial" w:eastAsia="Arial" w:hAnsi="Arial"/>
                <w:sz w:val="20"/>
                <w:szCs w:val="20"/>
                <w:b w:val="1"/>
                <w:bCs w:val="1"/>
                <w:color w:val="auto"/>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20" w:type="dxa"/>
            <w:vAlign w:val="bottom"/>
            <w:vMerge w:val="restart"/>
          </w:tcPr>
          <w:p>
            <w:pPr>
              <w:spacing w:after="0"/>
              <w:rPr>
                <w:sz w:val="20"/>
                <w:szCs w:val="20"/>
                <w:color w:val="auto"/>
              </w:rPr>
            </w:pPr>
            <w:r>
              <w:rPr>
                <w:rFonts w:ascii="Arial" w:cs="Arial" w:eastAsia="Arial" w:hAnsi="Arial"/>
                <w:sz w:val="20"/>
                <w:szCs w:val="20"/>
                <w:b w:val="1"/>
                <w:bCs w:val="1"/>
                <w:color w:val="auto"/>
              </w:rPr>
              <w:t>PART I</w:t>
            </w:r>
          </w:p>
        </w:tc>
        <w:tc>
          <w:tcPr>
            <w:tcW w:w="7780" w:type="dxa"/>
            <w:vAlign w:val="bottom"/>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7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w:t>
            </w:r>
          </w:p>
        </w:tc>
        <w:tc>
          <w:tcPr>
            <w:tcW w:w="7780" w:type="dxa"/>
            <w:vAlign w:val="bottom"/>
          </w:tcPr>
          <w:p>
            <w:pPr>
              <w:ind w:left="20"/>
              <w:spacing w:after="0"/>
              <w:rPr>
                <w:sz w:val="20"/>
                <w:szCs w:val="20"/>
                <w:color w:val="auto"/>
              </w:rPr>
            </w:pPr>
            <w:r>
              <w:rPr>
                <w:rFonts w:ascii="Arial" w:cs="Arial" w:eastAsia="Arial" w:hAnsi="Arial"/>
                <w:sz w:val="20"/>
                <w:szCs w:val="20"/>
                <w:color w:val="auto"/>
              </w:rPr>
              <w:t>Business</w:t>
            </w:r>
          </w:p>
        </w:tc>
        <w:tc>
          <w:tcPr>
            <w:tcW w:w="6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1A.</w:t>
            </w:r>
          </w:p>
        </w:tc>
        <w:tc>
          <w:tcPr>
            <w:tcW w:w="7780" w:type="dxa"/>
            <w:vAlign w:val="bottom"/>
          </w:tcPr>
          <w:p>
            <w:pPr>
              <w:ind w:left="20"/>
              <w:spacing w:after="0"/>
              <w:rPr>
                <w:sz w:val="20"/>
                <w:szCs w:val="20"/>
                <w:color w:val="auto"/>
              </w:rPr>
            </w:pPr>
            <w:r>
              <w:rPr>
                <w:rFonts w:ascii="Arial" w:cs="Arial" w:eastAsia="Arial" w:hAnsi="Arial"/>
                <w:sz w:val="20"/>
                <w:szCs w:val="20"/>
                <w:color w:val="auto"/>
              </w:rPr>
              <w:t>Risk Factors</w:t>
            </w:r>
          </w:p>
        </w:tc>
        <w:tc>
          <w:tcPr>
            <w:tcW w:w="66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1B.</w:t>
            </w:r>
          </w:p>
        </w:tc>
        <w:tc>
          <w:tcPr>
            <w:tcW w:w="7780" w:type="dxa"/>
            <w:vAlign w:val="bottom"/>
          </w:tcPr>
          <w:p>
            <w:pPr>
              <w:ind w:left="20"/>
              <w:spacing w:after="0"/>
              <w:rPr>
                <w:sz w:val="20"/>
                <w:szCs w:val="20"/>
                <w:color w:val="auto"/>
              </w:rPr>
            </w:pPr>
            <w:r>
              <w:rPr>
                <w:rFonts w:ascii="Arial" w:cs="Arial" w:eastAsia="Arial" w:hAnsi="Arial"/>
                <w:sz w:val="20"/>
                <w:szCs w:val="20"/>
                <w:color w:val="auto"/>
              </w:rPr>
              <w:t>Unresolved Staff Comments</w:t>
            </w:r>
          </w:p>
        </w:tc>
        <w:tc>
          <w:tcPr>
            <w:tcW w:w="660" w:type="dxa"/>
            <w:vAlign w:val="bottom"/>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1C.</w:t>
            </w:r>
          </w:p>
        </w:tc>
        <w:tc>
          <w:tcPr>
            <w:tcW w:w="7780" w:type="dxa"/>
            <w:vAlign w:val="bottom"/>
          </w:tcPr>
          <w:p>
            <w:pPr>
              <w:ind w:left="20"/>
              <w:spacing w:after="0"/>
              <w:rPr>
                <w:sz w:val="20"/>
                <w:szCs w:val="20"/>
                <w:color w:val="auto"/>
              </w:rPr>
            </w:pPr>
            <w:r>
              <w:rPr>
                <w:rFonts w:ascii="Arial" w:cs="Arial" w:eastAsia="Arial" w:hAnsi="Arial"/>
                <w:sz w:val="20"/>
                <w:szCs w:val="20"/>
                <w:color w:val="auto"/>
              </w:rPr>
              <w:t>Cybersecurity</w:t>
            </w:r>
          </w:p>
        </w:tc>
        <w:tc>
          <w:tcPr>
            <w:tcW w:w="660" w:type="dxa"/>
            <w:vAlign w:val="bottom"/>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2.</w:t>
            </w:r>
          </w:p>
        </w:tc>
        <w:tc>
          <w:tcPr>
            <w:tcW w:w="7780" w:type="dxa"/>
            <w:vAlign w:val="bottom"/>
          </w:tcPr>
          <w:p>
            <w:pPr>
              <w:ind w:left="20"/>
              <w:spacing w:after="0"/>
              <w:rPr>
                <w:sz w:val="20"/>
                <w:szCs w:val="20"/>
                <w:color w:val="auto"/>
              </w:rPr>
            </w:pPr>
            <w:r>
              <w:rPr>
                <w:rFonts w:ascii="Arial" w:cs="Arial" w:eastAsia="Arial" w:hAnsi="Arial"/>
                <w:sz w:val="20"/>
                <w:szCs w:val="20"/>
                <w:color w:val="auto"/>
              </w:rPr>
              <w:t>Properties</w:t>
            </w:r>
          </w:p>
        </w:tc>
        <w:tc>
          <w:tcPr>
            <w:tcW w:w="66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3.</w:t>
            </w:r>
          </w:p>
        </w:tc>
        <w:tc>
          <w:tcPr>
            <w:tcW w:w="7780" w:type="dxa"/>
            <w:vAlign w:val="bottom"/>
          </w:tcPr>
          <w:p>
            <w:pPr>
              <w:ind w:left="20"/>
              <w:spacing w:after="0"/>
              <w:rPr>
                <w:sz w:val="20"/>
                <w:szCs w:val="20"/>
                <w:color w:val="auto"/>
              </w:rPr>
            </w:pPr>
            <w:r>
              <w:rPr>
                <w:rFonts w:ascii="Arial" w:cs="Arial" w:eastAsia="Arial" w:hAnsi="Arial"/>
                <w:sz w:val="20"/>
                <w:szCs w:val="20"/>
                <w:color w:val="auto"/>
              </w:rPr>
              <w:t>Legal Proceedings</w:t>
            </w:r>
          </w:p>
        </w:tc>
        <w:tc>
          <w:tcPr>
            <w:tcW w:w="66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71"/>
        </w:trPr>
        <w:tc>
          <w:tcPr>
            <w:tcW w:w="920" w:type="dxa"/>
            <w:vAlign w:val="bottom"/>
          </w:tcPr>
          <w:p>
            <w:pPr>
              <w:ind w:left="140"/>
              <w:spacing w:after="0"/>
              <w:rPr>
                <w:sz w:val="20"/>
                <w:szCs w:val="20"/>
                <w:color w:val="auto"/>
              </w:rPr>
            </w:pPr>
            <w:r>
              <w:rPr>
                <w:rFonts w:ascii="Arial" w:cs="Arial" w:eastAsia="Arial" w:hAnsi="Arial"/>
                <w:sz w:val="20"/>
                <w:szCs w:val="20"/>
                <w:color w:val="auto"/>
              </w:rPr>
              <w:t>Item 4.</w:t>
            </w:r>
          </w:p>
        </w:tc>
        <w:tc>
          <w:tcPr>
            <w:tcW w:w="7780" w:type="dxa"/>
            <w:vAlign w:val="bottom"/>
          </w:tcPr>
          <w:p>
            <w:pPr>
              <w:ind w:left="20"/>
              <w:spacing w:after="0"/>
              <w:rPr>
                <w:sz w:val="20"/>
                <w:szCs w:val="20"/>
                <w:color w:val="auto"/>
              </w:rPr>
            </w:pPr>
            <w:r>
              <w:rPr>
                <w:rFonts w:ascii="Arial" w:cs="Arial" w:eastAsia="Arial" w:hAnsi="Arial"/>
                <w:sz w:val="20"/>
                <w:szCs w:val="20"/>
                <w:color w:val="auto"/>
              </w:rPr>
              <w:t>Mine Safety Disclosures</w:t>
            </w:r>
          </w:p>
        </w:tc>
        <w:tc>
          <w:tcPr>
            <w:tcW w:w="660" w:type="dxa"/>
            <w:vAlign w:val="bottom"/>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7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5.</w:t>
            </w:r>
          </w:p>
        </w:tc>
        <w:tc>
          <w:tcPr>
            <w:tcW w:w="7780" w:type="dxa"/>
            <w:vAlign w:val="bottom"/>
          </w:tcPr>
          <w:p>
            <w:pPr>
              <w:ind w:left="20"/>
              <w:spacing w:after="0"/>
              <w:rPr>
                <w:sz w:val="20"/>
                <w:szCs w:val="20"/>
                <w:color w:val="auto"/>
              </w:rPr>
            </w:pPr>
            <w:r>
              <w:rPr>
                <w:rFonts w:ascii="Arial" w:cs="Arial" w:eastAsia="Arial" w:hAnsi="Arial"/>
                <w:sz w:val="20"/>
                <w:szCs w:val="20"/>
                <w:color w:val="auto"/>
              </w:rPr>
              <w:t>Market for Registrant’s Common Equity, Related Stockholder Matters and Issuer</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auto"/>
              </w:rPr>
              <w:t>Purchases of Equity Securities</w:t>
            </w:r>
          </w:p>
        </w:tc>
        <w:tc>
          <w:tcPr>
            <w:tcW w:w="660" w:type="dxa"/>
            <w:vAlign w:val="bottom"/>
          </w:tcPr>
          <w:p>
            <w:pPr>
              <w:jc w:val="right"/>
              <w:spacing w:after="0"/>
              <w:rPr>
                <w:sz w:val="20"/>
                <w:szCs w:val="20"/>
                <w:color w:val="auto"/>
              </w:rPr>
            </w:pPr>
            <w:r>
              <w:rPr>
                <w:rFonts w:ascii="Arial" w:cs="Arial" w:eastAsia="Arial" w:hAnsi="Arial"/>
                <w:sz w:val="20"/>
                <w:szCs w:val="20"/>
                <w:color w:val="auto"/>
              </w:rPr>
              <w:t>104</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6.</w:t>
            </w:r>
          </w:p>
        </w:tc>
        <w:tc>
          <w:tcPr>
            <w:tcW w:w="7780" w:type="dxa"/>
            <w:vAlign w:val="bottom"/>
          </w:tcPr>
          <w:p>
            <w:pPr>
              <w:ind w:left="20"/>
              <w:spacing w:after="0"/>
              <w:rPr>
                <w:sz w:val="20"/>
                <w:szCs w:val="20"/>
                <w:color w:val="auto"/>
              </w:rPr>
            </w:pPr>
            <w:r>
              <w:rPr>
                <w:rFonts w:ascii="Arial" w:cs="Arial" w:eastAsia="Arial" w:hAnsi="Arial"/>
                <w:sz w:val="20"/>
                <w:szCs w:val="20"/>
                <w:color w:val="auto"/>
              </w:rPr>
              <w:t>[Reserved]</w:t>
            </w:r>
          </w:p>
        </w:tc>
        <w:tc>
          <w:tcPr>
            <w:tcW w:w="660" w:type="dxa"/>
            <w:vAlign w:val="bottom"/>
          </w:tcPr>
          <w:p>
            <w:pPr>
              <w:jc w:val="right"/>
              <w:spacing w:after="0"/>
              <w:rPr>
                <w:sz w:val="20"/>
                <w:szCs w:val="20"/>
                <w:color w:val="auto"/>
              </w:rPr>
            </w:pPr>
            <w:r>
              <w:rPr>
                <w:rFonts w:ascii="Arial" w:cs="Arial" w:eastAsia="Arial" w:hAnsi="Arial"/>
                <w:sz w:val="20"/>
                <w:szCs w:val="20"/>
                <w:color w:val="auto"/>
              </w:rPr>
              <w:t>104</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7.</w:t>
            </w:r>
          </w:p>
        </w:tc>
        <w:tc>
          <w:tcPr>
            <w:tcW w:w="7780" w:type="dxa"/>
            <w:vAlign w:val="bottom"/>
          </w:tcPr>
          <w:p>
            <w:pPr>
              <w:ind w:left="20"/>
              <w:spacing w:after="0"/>
              <w:rPr>
                <w:sz w:val="20"/>
                <w:szCs w:val="20"/>
                <w:color w:val="auto"/>
              </w:rPr>
            </w:pPr>
            <w:r>
              <w:rPr>
                <w:rFonts w:ascii="Arial" w:cs="Arial" w:eastAsia="Arial" w:hAnsi="Arial"/>
                <w:sz w:val="20"/>
                <w:szCs w:val="20"/>
                <w:color w:val="auto"/>
              </w:rPr>
              <w:t>Management’s Discussion and Analysis of Financial Condition and Results of</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auto"/>
              </w:rPr>
              <w:t>Operations</w:t>
            </w:r>
          </w:p>
        </w:tc>
        <w:tc>
          <w:tcPr>
            <w:tcW w:w="660" w:type="dxa"/>
            <w:vAlign w:val="bottom"/>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7A.</w:t>
            </w:r>
          </w:p>
        </w:tc>
        <w:tc>
          <w:tcPr>
            <w:tcW w:w="7780" w:type="dxa"/>
            <w:vAlign w:val="bottom"/>
          </w:tcPr>
          <w:p>
            <w:pPr>
              <w:ind w:left="20"/>
              <w:spacing w:after="0"/>
              <w:rPr>
                <w:sz w:val="20"/>
                <w:szCs w:val="20"/>
                <w:color w:val="auto"/>
              </w:rPr>
            </w:pPr>
            <w:r>
              <w:rPr>
                <w:rFonts w:ascii="Arial" w:cs="Arial" w:eastAsia="Arial" w:hAnsi="Arial"/>
                <w:sz w:val="20"/>
                <w:szCs w:val="20"/>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8.</w:t>
            </w:r>
          </w:p>
        </w:tc>
        <w:tc>
          <w:tcPr>
            <w:tcW w:w="7780" w:type="dxa"/>
            <w:vAlign w:val="bottom"/>
          </w:tcPr>
          <w:p>
            <w:pPr>
              <w:ind w:left="20"/>
              <w:spacing w:after="0"/>
              <w:rPr>
                <w:sz w:val="20"/>
                <w:szCs w:val="20"/>
                <w:color w:val="auto"/>
              </w:rPr>
            </w:pPr>
            <w:r>
              <w:rPr>
                <w:rFonts w:ascii="Arial" w:cs="Arial" w:eastAsia="Arial" w:hAnsi="Arial"/>
                <w:sz w:val="20"/>
                <w:szCs w:val="20"/>
                <w:color w:val="auto"/>
              </w:rPr>
              <w:t>Financial Statements and Supplementary Data</w:t>
            </w:r>
          </w:p>
        </w:tc>
        <w:tc>
          <w:tcPr>
            <w:tcW w:w="66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9.</w:t>
            </w:r>
          </w:p>
        </w:tc>
        <w:tc>
          <w:tcPr>
            <w:tcW w:w="7780" w:type="dxa"/>
            <w:vAlign w:val="bottom"/>
          </w:tcPr>
          <w:p>
            <w:pPr>
              <w:ind w:left="20"/>
              <w:spacing w:after="0"/>
              <w:rPr>
                <w:sz w:val="20"/>
                <w:szCs w:val="20"/>
                <w:color w:val="auto"/>
              </w:rPr>
            </w:pPr>
            <w:r>
              <w:rPr>
                <w:rFonts w:ascii="Arial" w:cs="Arial" w:eastAsia="Arial" w:hAnsi="Arial"/>
                <w:sz w:val="20"/>
                <w:szCs w:val="20"/>
                <w:color w:val="auto"/>
              </w:rPr>
              <w:t>Changes in and Disagreements with Accountants on Accounting and Financial</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auto"/>
              </w:rPr>
              <w:t>Disclosure</w:t>
            </w:r>
          </w:p>
        </w:tc>
        <w:tc>
          <w:tcPr>
            <w:tcW w:w="660" w:type="dxa"/>
            <w:vAlign w:val="bottom"/>
          </w:tcPr>
          <w:p>
            <w:pPr>
              <w:jc w:val="right"/>
              <w:spacing w:after="0"/>
              <w:rPr>
                <w:sz w:val="20"/>
                <w:szCs w:val="20"/>
                <w:color w:val="auto"/>
              </w:rPr>
            </w:pPr>
            <w:r>
              <w:rPr>
                <w:rFonts w:ascii="Arial" w:cs="Arial" w:eastAsia="Arial" w:hAnsi="Arial"/>
                <w:sz w:val="20"/>
                <w:szCs w:val="20"/>
                <w:color w:val="auto"/>
              </w:rPr>
              <w:t>142</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9A.</w:t>
            </w:r>
          </w:p>
        </w:tc>
        <w:tc>
          <w:tcPr>
            <w:tcW w:w="7780" w:type="dxa"/>
            <w:vAlign w:val="bottom"/>
          </w:tcPr>
          <w:p>
            <w:pPr>
              <w:ind w:left="20"/>
              <w:spacing w:after="0"/>
              <w:rPr>
                <w:sz w:val="20"/>
                <w:szCs w:val="20"/>
                <w:color w:val="auto"/>
              </w:rPr>
            </w:pPr>
            <w:r>
              <w:rPr>
                <w:rFonts w:ascii="Arial" w:cs="Arial" w:eastAsia="Arial" w:hAnsi="Arial"/>
                <w:sz w:val="20"/>
                <w:szCs w:val="20"/>
                <w:color w:val="auto"/>
              </w:rPr>
              <w:t>Controls and Procedures</w:t>
            </w:r>
          </w:p>
        </w:tc>
        <w:tc>
          <w:tcPr>
            <w:tcW w:w="660" w:type="dxa"/>
            <w:vAlign w:val="bottom"/>
          </w:tcPr>
          <w:p>
            <w:pPr>
              <w:jc w:val="right"/>
              <w:spacing w:after="0"/>
              <w:rPr>
                <w:sz w:val="20"/>
                <w:szCs w:val="20"/>
                <w:color w:val="auto"/>
              </w:rPr>
            </w:pPr>
            <w:r>
              <w:rPr>
                <w:rFonts w:ascii="Arial" w:cs="Arial" w:eastAsia="Arial" w:hAnsi="Arial"/>
                <w:sz w:val="20"/>
                <w:szCs w:val="20"/>
                <w:color w:val="auto"/>
              </w:rPr>
              <w:t>142</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9B.</w:t>
            </w:r>
          </w:p>
        </w:tc>
        <w:tc>
          <w:tcPr>
            <w:tcW w:w="7780" w:type="dxa"/>
            <w:vAlign w:val="bottom"/>
          </w:tcPr>
          <w:p>
            <w:pPr>
              <w:ind w:left="20"/>
              <w:spacing w:after="0"/>
              <w:rPr>
                <w:sz w:val="20"/>
                <w:szCs w:val="20"/>
                <w:color w:val="auto"/>
              </w:rPr>
            </w:pPr>
            <w:r>
              <w:rPr>
                <w:rFonts w:ascii="Arial" w:cs="Arial" w:eastAsia="Arial" w:hAnsi="Arial"/>
                <w:sz w:val="20"/>
                <w:szCs w:val="20"/>
                <w:color w:val="auto"/>
              </w:rPr>
              <w:t>Other Information</w:t>
            </w:r>
          </w:p>
        </w:tc>
        <w:tc>
          <w:tcPr>
            <w:tcW w:w="660" w:type="dxa"/>
            <w:vAlign w:val="bottom"/>
          </w:tcPr>
          <w:p>
            <w:pPr>
              <w:jc w:val="right"/>
              <w:spacing w:after="0"/>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r>
        <w:trPr>
          <w:trHeight w:val="271"/>
        </w:trPr>
        <w:tc>
          <w:tcPr>
            <w:tcW w:w="920" w:type="dxa"/>
            <w:vAlign w:val="bottom"/>
          </w:tcPr>
          <w:p>
            <w:pPr>
              <w:ind w:left="140"/>
              <w:spacing w:after="0"/>
              <w:rPr>
                <w:sz w:val="20"/>
                <w:szCs w:val="20"/>
                <w:color w:val="auto"/>
              </w:rPr>
            </w:pPr>
            <w:r>
              <w:rPr>
                <w:rFonts w:ascii="Arial" w:cs="Arial" w:eastAsia="Arial" w:hAnsi="Arial"/>
                <w:sz w:val="20"/>
                <w:szCs w:val="20"/>
                <w:color w:val="auto"/>
              </w:rPr>
              <w:t>Item 9C.</w:t>
            </w:r>
          </w:p>
        </w:tc>
        <w:tc>
          <w:tcPr>
            <w:tcW w:w="7780" w:type="dxa"/>
            <w:vAlign w:val="bottom"/>
          </w:tcPr>
          <w:p>
            <w:pPr>
              <w:ind w:left="2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7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10.</w:t>
            </w:r>
          </w:p>
        </w:tc>
        <w:tc>
          <w:tcPr>
            <w:tcW w:w="7780" w:type="dxa"/>
            <w:vAlign w:val="bottom"/>
          </w:tcPr>
          <w:p>
            <w:pPr>
              <w:ind w:left="20"/>
              <w:spacing w:after="0"/>
              <w:rPr>
                <w:sz w:val="20"/>
                <w:szCs w:val="20"/>
                <w:color w:val="auto"/>
              </w:rPr>
            </w:pPr>
            <w:r>
              <w:rPr>
                <w:rFonts w:ascii="Arial" w:cs="Arial" w:eastAsia="Arial" w:hAnsi="Arial"/>
                <w:sz w:val="20"/>
                <w:szCs w:val="20"/>
                <w:color w:val="auto"/>
              </w:rPr>
              <w:t>Directors, Executive Officers and Corporate Governance</w:t>
            </w:r>
          </w:p>
        </w:tc>
        <w:tc>
          <w:tcPr>
            <w:tcW w:w="66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11.</w:t>
            </w:r>
          </w:p>
        </w:tc>
        <w:tc>
          <w:tcPr>
            <w:tcW w:w="7780" w:type="dxa"/>
            <w:vAlign w:val="bottom"/>
          </w:tcPr>
          <w:p>
            <w:pPr>
              <w:ind w:left="20"/>
              <w:spacing w:after="0"/>
              <w:rPr>
                <w:sz w:val="20"/>
                <w:szCs w:val="20"/>
                <w:color w:val="auto"/>
              </w:rPr>
            </w:pPr>
            <w:r>
              <w:rPr>
                <w:rFonts w:ascii="Arial" w:cs="Arial" w:eastAsia="Arial" w:hAnsi="Arial"/>
                <w:sz w:val="20"/>
                <w:szCs w:val="20"/>
                <w:color w:val="auto"/>
              </w:rPr>
              <w:t>Executive Compensation</w:t>
            </w:r>
          </w:p>
        </w:tc>
        <w:tc>
          <w:tcPr>
            <w:tcW w:w="66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12.</w:t>
            </w:r>
          </w:p>
        </w:tc>
        <w:tc>
          <w:tcPr>
            <w:tcW w:w="7780" w:type="dxa"/>
            <w:vAlign w:val="bottom"/>
          </w:tcPr>
          <w:p>
            <w:pPr>
              <w:ind w:left="20"/>
              <w:spacing w:after="0"/>
              <w:rPr>
                <w:sz w:val="20"/>
                <w:szCs w:val="20"/>
                <w:color w:val="auto"/>
              </w:rPr>
            </w:pPr>
            <w:r>
              <w:rPr>
                <w:rFonts w:ascii="Arial" w:cs="Arial" w:eastAsia="Arial" w:hAnsi="Arial"/>
                <w:sz w:val="20"/>
                <w:szCs w:val="20"/>
                <w:color w:val="auto"/>
              </w:rPr>
              <w:t>Security Ownership of Certain Beneficial Owners and Management and Related</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auto"/>
              </w:rPr>
              <w:t>Stockholder Matters</w:t>
            </w:r>
          </w:p>
        </w:tc>
        <w:tc>
          <w:tcPr>
            <w:tcW w:w="66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13.</w:t>
            </w:r>
          </w:p>
        </w:tc>
        <w:tc>
          <w:tcPr>
            <w:tcW w:w="7780" w:type="dxa"/>
            <w:vAlign w:val="bottom"/>
          </w:tcPr>
          <w:p>
            <w:pPr>
              <w:ind w:left="2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71"/>
        </w:trPr>
        <w:tc>
          <w:tcPr>
            <w:tcW w:w="920" w:type="dxa"/>
            <w:vAlign w:val="bottom"/>
          </w:tcPr>
          <w:p>
            <w:pPr>
              <w:ind w:left="140"/>
              <w:spacing w:after="0"/>
              <w:rPr>
                <w:sz w:val="20"/>
                <w:szCs w:val="20"/>
                <w:color w:val="auto"/>
              </w:rPr>
            </w:pPr>
            <w:r>
              <w:rPr>
                <w:rFonts w:ascii="Arial" w:cs="Arial" w:eastAsia="Arial" w:hAnsi="Arial"/>
                <w:sz w:val="20"/>
                <w:szCs w:val="20"/>
                <w:color w:val="auto"/>
              </w:rPr>
              <w:t>Item 14.</w:t>
            </w:r>
          </w:p>
        </w:tc>
        <w:tc>
          <w:tcPr>
            <w:tcW w:w="7780" w:type="dxa"/>
            <w:vAlign w:val="bottom"/>
          </w:tcPr>
          <w:p>
            <w:pPr>
              <w:ind w:left="20"/>
              <w:spacing w:after="0"/>
              <w:rPr>
                <w:sz w:val="20"/>
                <w:szCs w:val="20"/>
                <w:color w:val="auto"/>
              </w:rPr>
            </w:pPr>
            <w:r>
              <w:rPr>
                <w:rFonts w:ascii="Arial" w:cs="Arial" w:eastAsia="Arial" w:hAnsi="Arial"/>
                <w:sz w:val="20"/>
                <w:szCs w:val="20"/>
                <w:color w:val="auto"/>
              </w:rPr>
              <w:t>Principal Accounting Fees and Services</w:t>
            </w:r>
          </w:p>
        </w:tc>
        <w:tc>
          <w:tcPr>
            <w:tcW w:w="66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7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15.</w:t>
            </w:r>
          </w:p>
        </w:tc>
        <w:tc>
          <w:tcPr>
            <w:tcW w:w="7780" w:type="dxa"/>
            <w:vAlign w:val="bottom"/>
          </w:tcPr>
          <w:p>
            <w:pPr>
              <w:ind w:left="20"/>
              <w:spacing w:after="0"/>
              <w:rPr>
                <w:sz w:val="20"/>
                <w:szCs w:val="20"/>
                <w:color w:val="auto"/>
              </w:rPr>
            </w:pPr>
            <w:r>
              <w:rPr>
                <w:rFonts w:ascii="Arial" w:cs="Arial" w:eastAsia="Arial" w:hAnsi="Arial"/>
                <w:sz w:val="20"/>
                <w:szCs w:val="20"/>
                <w:color w:val="auto"/>
              </w:rPr>
              <w:t>Exhibits, Financial Statement Schedules</w:t>
            </w:r>
          </w:p>
        </w:tc>
        <w:tc>
          <w:tcPr>
            <w:tcW w:w="660" w:type="dxa"/>
            <w:vAlign w:val="bottom"/>
          </w:tcPr>
          <w:p>
            <w:pPr>
              <w:jc w:val="right"/>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20"/>
                <w:szCs w:val="20"/>
                <w:color w:val="auto"/>
              </w:rPr>
              <w:t>Item 16</w:t>
            </w:r>
          </w:p>
        </w:tc>
        <w:tc>
          <w:tcPr>
            <w:tcW w:w="7780" w:type="dxa"/>
            <w:vAlign w:val="bottom"/>
          </w:tcPr>
          <w:p>
            <w:pPr>
              <w:ind w:left="20"/>
              <w:spacing w:after="0"/>
              <w:rPr>
                <w:sz w:val="20"/>
                <w:szCs w:val="20"/>
                <w:color w:val="auto"/>
              </w:rPr>
            </w:pPr>
            <w:r>
              <w:rPr>
                <w:rFonts w:ascii="Arial" w:cs="Arial" w:eastAsia="Arial" w:hAnsi="Arial"/>
                <w:sz w:val="20"/>
                <w:szCs w:val="20"/>
                <w:color w:val="auto"/>
              </w:rPr>
              <w:t>Form 10-K Summary</w:t>
            </w:r>
          </w:p>
        </w:tc>
        <w:tc>
          <w:tcPr>
            <w:tcW w:w="660" w:type="dxa"/>
            <w:vAlign w:val="bottom"/>
          </w:tcPr>
          <w:p>
            <w:pPr>
              <w:jc w:val="right"/>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71"/>
        </w:trPr>
        <w:tc>
          <w:tcPr>
            <w:tcW w:w="920" w:type="dxa"/>
            <w:vAlign w:val="bottom"/>
          </w:tcPr>
          <w:p>
            <w:pPr>
              <w:spacing w:after="0"/>
              <w:rPr>
                <w:sz w:val="20"/>
                <w:szCs w:val="20"/>
                <w:color w:val="auto"/>
              </w:rPr>
            </w:pPr>
            <w:r>
              <w:rPr>
                <w:rFonts w:ascii="Arial" w:cs="Arial" w:eastAsia="Arial" w:hAnsi="Arial"/>
                <w:sz w:val="20"/>
                <w:szCs w:val="20"/>
                <w:color w:val="auto"/>
              </w:rPr>
              <w:t> </w:t>
            </w:r>
          </w:p>
        </w:tc>
        <w:tc>
          <w:tcPr>
            <w:tcW w:w="7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2240" w:h="15840" w:orient="portrait"/>
          <w:cols w:equalWidth="0" w:num="1">
            <w:col w:w="9360"/>
          </w:cols>
          <w:pgMar w:left="1440" w:top="1416" w:right="1440" w:bottom="198"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Summary Risk Factors</w:t>
      </w:r>
    </w:p>
    <w:p>
      <w:pPr>
        <w:spacing w:after="0" w:line="124"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Our business is subject to numerous risks and uncertainties, including those highlighted in the section of this report captioned “Risk Factors.” The following is a summary of the principal risks we face:</w:t>
      </w:r>
    </w:p>
    <w:p>
      <w:pPr>
        <w:spacing w:after="0" w:line="53" w:lineRule="exact"/>
        <w:rPr>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are a clinical-stage biopharmaceutical company with a limited operating history.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development of ATH-1105 may never lead to a marketable product.</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generate revenue and achieve profitability depends significantly on our ability to achieve a number of objectives.</w:t>
      </w:r>
    </w:p>
    <w:p>
      <w:pPr>
        <w:spacing w:after="0" w:line="52" w:lineRule="exact"/>
        <w:rPr>
          <w:rFonts w:ascii="Arial" w:cs="Arial" w:eastAsia="Arial" w:hAnsi="Arial"/>
          <w:sz w:val="20"/>
          <w:szCs w:val="20"/>
          <w:color w:val="auto"/>
        </w:rPr>
      </w:pPr>
    </w:p>
    <w:p>
      <w:pPr>
        <w:jc w:val="both"/>
        <w:ind w:left="980" w:hanging="491"/>
        <w:spacing w:after="0" w:line="250"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spacing w:after="0" w:line="85"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may not be successful in identifying and implementing any strategic transaction and any strategic transactions that we may consummate in the future may not be successful.</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have concentrated our research and development efforts on the treatment of central and peripheral nervous system degenerative disorders, a field that has seen very limited success in product development.</w:t>
      </w:r>
    </w:p>
    <w:p>
      <w:pPr>
        <w:spacing w:after="0" w:line="73" w:lineRule="exact"/>
        <w:rPr>
          <w:rFonts w:ascii="Arial" w:cs="Arial" w:eastAsia="Arial" w:hAnsi="Arial"/>
          <w:sz w:val="20"/>
          <w:szCs w:val="20"/>
          <w:color w:val="auto"/>
        </w:rPr>
      </w:pPr>
    </w:p>
    <w:p>
      <w:pPr>
        <w:jc w:val="both"/>
        <w:ind w:left="980" w:hanging="491"/>
        <w:spacing w:after="0" w:line="248"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87"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73" w:lineRule="exact"/>
        <w:rPr>
          <w:rFonts w:ascii="Arial" w:cs="Arial" w:eastAsia="Arial" w:hAnsi="Arial"/>
          <w:sz w:val="20"/>
          <w:szCs w:val="20"/>
          <w:color w:val="auto"/>
        </w:rPr>
      </w:pPr>
    </w:p>
    <w:p>
      <w:pPr>
        <w:jc w:val="both"/>
        <w:ind w:left="980" w:hanging="491"/>
        <w:spacing w:after="0" w:line="248"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spacing w:after="0" w:line="87"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reporting of topline or final data for our clinical trials may be delayed and our regulatory submissions or receipt of necessary marketing approvals could be delayed or prevented.</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If we engage in future acquisitions or strategic partnerships, this may increase our capital requirements, dilute our stockholders, cause us to incur debt or assume contingent liabilities, and subject us to other risks.</w:t>
      </w:r>
    </w:p>
    <w:p>
      <w:pPr>
        <w:spacing w:after="0" w:line="73" w:lineRule="exact"/>
        <w:rPr>
          <w:rFonts w:ascii="Arial" w:cs="Arial" w:eastAsia="Arial" w:hAnsi="Arial"/>
          <w:sz w:val="20"/>
          <w:szCs w:val="20"/>
          <w:color w:val="auto"/>
        </w:rPr>
      </w:pPr>
    </w:p>
    <w:p>
      <w:pPr>
        <w:jc w:val="both"/>
        <w:ind w:left="980" w:hanging="491"/>
        <w:spacing w:after="0" w:line="250"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p>
    <w:p>
      <w:pPr>
        <w:spacing w:after="0" w:line="85"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success depends on our ability to protect our intellectual property and our proprietary technologies.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2240" w:h="15840" w:orient="portrait"/>
          <w:cols w:equalWidth="0" w:num="1">
            <w:col w:w="9360"/>
          </w:cols>
          <w:pgMar w:left="1440" w:top="1416" w:right="1440" w:bottom="175" w:gutter="0" w:footer="0" w:header="0"/>
          <w:type w:val="continuous"/>
        </w:sectPr>
      </w:pPr>
    </w:p>
    <w:bookmarkStart w:id="7" w:name="page8"/>
    <w:bookmarkEnd w:id="7"/>
    <w:p>
      <w:pPr>
        <w:jc w:val="both"/>
        <w:ind w:left="980" w:hanging="491"/>
        <w:spacing w:after="0" w:line="261"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7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loss of any of our key personnel could significantly harm our business, results of operations and competitive position.</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have incurred significant losses since our inception and anticipate that we will continue to incur significant losses for the foreseeable future.</w:t>
      </w:r>
    </w:p>
    <w:p>
      <w:pPr>
        <w:spacing w:after="0" w:line="52" w:lineRule="exact"/>
        <w:rPr>
          <w:rFonts w:ascii="Arial" w:cs="Arial" w:eastAsia="Arial" w:hAnsi="Arial"/>
          <w:sz w:val="20"/>
          <w:szCs w:val="20"/>
          <w:color w:val="auto"/>
        </w:rPr>
      </w:pPr>
    </w:p>
    <w:p>
      <w:pPr>
        <w:jc w:val="both"/>
        <w:ind w:left="980" w:hanging="491"/>
        <w:spacing w:after="0" w:line="248"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87" w:lineRule="exact"/>
        <w:rPr>
          <w:rFonts w:ascii="Arial" w:cs="Arial" w:eastAsia="Arial" w:hAnsi="Arial"/>
          <w:sz w:val="20"/>
          <w:szCs w:val="20"/>
          <w:color w:val="auto"/>
        </w:rPr>
      </w:pPr>
    </w:p>
    <w:p>
      <w:pPr>
        <w:jc w:val="both"/>
        <w:ind w:left="980" w:hanging="491"/>
        <w:spacing w:after="0" w:line="281"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55" w:lineRule="exact"/>
        <w:rPr>
          <w:rFonts w:ascii="Arial" w:cs="Arial" w:eastAsia="Arial" w:hAnsi="Arial"/>
          <w:sz w:val="19"/>
          <w:szCs w:val="19"/>
          <w:color w:val="auto"/>
        </w:rPr>
      </w:pPr>
    </w:p>
    <w:p>
      <w:pPr>
        <w:jc w:val="both"/>
        <w:ind w:left="980" w:hanging="491"/>
        <w:spacing w:after="0" w:line="261"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Even if approved, our drug candidates may not achieve adequate market acceptance among physicians, patients, healthcare payors and others in the medical community necessary for commercial success.</w:t>
      </w:r>
    </w:p>
    <w:p>
      <w:pPr>
        <w:spacing w:after="0" w:line="7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have never commercialized a drug candidate before and may lack the necessary expertise, personnel and resources to successfully commercialize any drug products on our own or together with suitable collaborators.</w:t>
      </w:r>
    </w:p>
    <w:p>
      <w:pPr>
        <w:spacing w:after="0" w:line="73" w:lineRule="exact"/>
        <w:rPr>
          <w:rFonts w:ascii="Arial" w:cs="Arial" w:eastAsia="Arial" w:hAnsi="Arial"/>
          <w:sz w:val="20"/>
          <w:szCs w:val="20"/>
          <w:color w:val="auto"/>
        </w:rPr>
      </w:pPr>
    </w:p>
    <w:p>
      <w:pPr>
        <w:jc w:val="both"/>
        <w:ind w:left="980" w:hanging="491"/>
        <w:spacing w:after="0" w:line="250"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85"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we do not regain compliance with or continue to satisfy the Nasdaq continued listing requirements, our common stock could be delisted from the Nasdaq, which may make it more difficult for investors to sell shares of our common stock and consequently may negatively impact the price of our common stock.</w:t>
      </w:r>
    </w:p>
    <w:p>
      <w:pPr>
        <w:spacing w:after="0" w:line="79"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market price of our common stock has been and may continue to be volatile, which could result in substantial losses for investors.</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and certain of our directors and executive officers have been, and may in the future be, named as defendants in lawsuits that could result in substantial costs and divert management’s attention.</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Actions by activist stockholders have in the past been, and may in the future be, disruptive and could cause uncertainty about the strategic direction of our business.</w:t>
      </w:r>
    </w:p>
    <w:p>
      <w:pPr>
        <w:spacing w:after="0" w:line="20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Our Risk Factors are not guarantees that no such conditions exist as of the date of this report and should not be interpreted as an affirmative statement that such risks or conditions have not materialized, in whole or in part.</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9360"/>
          </w:cols>
          <w:pgMar w:left="1440" w:top="1434" w:right="1440" w:bottom="175" w:gutter="0" w:footer="0" w:header="0"/>
          <w:type w:val="continuous"/>
        </w:sectPr>
      </w:pPr>
    </w:p>
    <w:bookmarkStart w:id="8" w:name="page9"/>
    <w:bookmarkEnd w:id="8"/>
    <w:p>
      <w:pPr>
        <w:ind w:left="4360"/>
        <w:spacing w:after="0"/>
        <w:rPr>
          <w:sz w:val="20"/>
          <w:szCs w:val="20"/>
          <w:color w:val="auto"/>
        </w:rPr>
      </w:pPr>
      <w:r>
        <w:rPr>
          <w:rFonts w:ascii="Arial" w:cs="Arial" w:eastAsia="Arial" w:hAnsi="Arial"/>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2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spacing w:after="0" w:line="193"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90" w:lineRule="exact"/>
        <w:rPr>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financial performance;</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sufficiency of our existing cash, cash equivalents and investments to fund our future operating expenses and capital expenditure requirements;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expectations regarding the costs and expected cost savings and related benefits from our workforce reduction initiated in September 2024, or the Restructuring;</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obtain funding for our operations, including funding necessary to develop and commercialize our drug candidates;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ability of our nonclinical studies and clinical trials to demonstrate safety and efficacy of our drug candidates;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success, cost and timing of our development activities, nonclinical studies and clinical trials;</w:t>
      </w:r>
    </w:p>
    <w:p>
      <w:pPr>
        <w:spacing w:after="0" w:line="144" w:lineRule="exact"/>
        <w:rPr>
          <w:rFonts w:ascii="Arial" w:cs="Arial" w:eastAsia="Arial" w:hAnsi="Arial"/>
          <w:sz w:val="19"/>
          <w:szCs w:val="19"/>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rate and degree of market acceptance of our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timing or likelihood of regulatory filings and approvals;</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potential learnings from our ACT-AD and SHAPE trials, LIFT-AD independent unblinded interim efficacy and futility analysis, and LIFT-AD trial and their ability to inform and improve future clinical development plans;</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potential of our Phase 1 ATH-1105 clinical trial and any subsequent clinical trials to show the clinical benefits of ATH-1105;</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timing and focus of our future clinical trials, and the reporting of data from those trials;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anticipated milestone timelines, such as the timing of data releases, and our ability to meet such timelines;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plans relating to commercializing our drug candidates, if approved;</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plans and ability to establish sales, marketing and distribution infrastructure to commercialize any drug candidates for which we obtain approval;</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attract and retain key managerial, scientific and clinical personnel;</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contract with third-party suppliers and manufacturers and their ability to perform adequately;</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9360"/>
          </w:cols>
          <w:pgMar w:left="1440" w:top="1416" w:right="1440" w:bottom="175" w:gutter="0" w:footer="0" w:header="0"/>
          <w:type w:val="continuous"/>
        </w:sectPr>
      </w:pPr>
    </w:p>
    <w:bookmarkStart w:id="9" w:name="page10"/>
    <w:bookmarkEnd w:id="9"/>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accuracy of our estimates regarding expenses, future revenue, capital requirements and needs for additional financing;</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pricing and reimbursement of our drug candidates, if approved;</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reliance on third parties to conduct clinical trials of our drug candidates, and for the manufacture of our drug candidates for nonclinical studies and clinical trials;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success of competing therapies that are or may become available;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beneficial characteristics, safety and efficacy of our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regulatory developments in the United States and other jurisdictions;</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obtain and maintain regulatory approval of our drug candidates in the United States and other jurisdictions, and any related restrictions, limitations or warnings in the label of any approved drug candidate;</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future agreements with third parties in connection with the commercialization of our drug candidates;</w:t>
      </w:r>
    </w:p>
    <w:p>
      <w:pPr>
        <w:spacing w:after="0" w:line="52" w:lineRule="exact"/>
        <w:rPr>
          <w:rFonts w:ascii="Arial" w:cs="Arial" w:eastAsia="Arial" w:hAnsi="Arial"/>
          <w:sz w:val="20"/>
          <w:szCs w:val="20"/>
          <w:color w:val="auto"/>
        </w:rPr>
      </w:pPr>
    </w:p>
    <w:p>
      <w:pPr>
        <w:jc w:val="both"/>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plans, capacity and capability relating to the further development and manufacturing of our drug candidates, including additional indications for which we may pursue regulatory approval;</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plans and ability to obtain or protect intellectual property rights, including extensions of existing patent terms where available;</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scope of protection we are able to establish and maintain for intellectual property rights covering our drug candidates and technology;</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outcome of legal proceedings which have been or may in the future be instituted against us and certain of our directors and officers, including the legal proceedings discussed in Part I, Item 3 — "Legal Proceedings,” and elsewhere in this report;</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actions by activist stockholders, which have in the past been, and may in the future be, disruptive and could cause uncertainty about the strategic direction of our business;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plans and ability to regain compliance with the Nasdaq listing rules;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size and growth potential of the markets for our drug candidates, if approved for commercial use, and our ability to serve those markets;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potential benefits of any strategic collaborations, partnerships, or other transactions we may enter into;</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expectations regarding the time during which we will be an emerging growth company under the JOBS Act; and</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plans and expectations regarding our exploration of strategic alternatives focused on maximizing stockholder value, including whether or not such process will result in a strategic transaction on terms satisfactory to us, or other alternatives which increase stockholder value.</w:t>
      </w:r>
    </w:p>
    <w:p>
      <w:pPr>
        <w:spacing w:after="0" w:line="180"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194" w:lineRule="exact"/>
        <w:rPr>
          <w:sz w:val="20"/>
          <w:szCs w:val="20"/>
          <w:color w:val="auto"/>
        </w:rPr>
      </w:pPr>
    </w:p>
    <w:p>
      <w:pPr>
        <w:jc w:val="both"/>
        <w:ind w:firstLine="490"/>
        <w:spacing w:after="0" w:line="310" w:lineRule="auto"/>
        <w:rPr>
          <w:sz w:val="20"/>
          <w:szCs w:val="20"/>
          <w:color w:val="auto"/>
        </w:rPr>
      </w:pPr>
      <w:r>
        <w:rPr>
          <w:rFonts w:ascii="Arial" w:cs="Arial" w:eastAsia="Arial" w:hAnsi="Arial"/>
          <w:sz w:val="19"/>
          <w:szCs w:val="19"/>
          <w:color w:val="auto"/>
        </w:rPr>
        <w:t>In addition, statements that “we believe” and similar statements reflect our beliefs and opinions on the relevant subject. These statements are based upon information available to us as of the date of this report,</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2240" w:h="15840" w:orient="portrait"/>
          <w:cols w:equalWidth="0" w:num="1">
            <w:col w:w="9360"/>
          </w:cols>
          <w:pgMar w:left="1440" w:top="1434" w:right="1440" w:bottom="175" w:gutter="0" w:footer="0" w:header="0"/>
          <w:type w:val="continuous"/>
        </w:sectPr>
      </w:pPr>
    </w:p>
    <w:bookmarkStart w:id="10" w:name="page11"/>
    <w:bookmarkEnd w:id="10"/>
    <w:p>
      <w:pPr>
        <w:jc w:val="both"/>
        <w:spacing w:after="0" w:line="254" w:lineRule="auto"/>
        <w:rPr>
          <w:sz w:val="20"/>
          <w:szCs w:val="20"/>
          <w:color w:val="auto"/>
        </w:rPr>
      </w:pPr>
      <w:r>
        <w:rPr>
          <w:rFonts w:ascii="Arial" w:cs="Arial" w:eastAsia="Arial" w:hAnsi="Arial"/>
          <w:sz w:val="20"/>
          <w:szCs w:val="20"/>
          <w:color w:val="auto"/>
        </w:rPr>
        <w:t>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8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This report includes our trademarks and registered trademarks, including Athira, Athira Pharma, the Athira logo, and other trademarks, trade names, or service marks of Athira. Each other trademark, trade name or service mark appearing in this report belongs to its holder. Solely for convenience, trademarks, trade names, and service marks referred to in this report are listed without ® or TM symbols, but we will assert, to the fullest extent under applicable law, our or the rights of the applicable licensors to these trademarks, trade names, and service marks.</w:t>
      </w:r>
    </w:p>
    <w:p>
      <w:pPr>
        <w:spacing w:after="0" w:line="19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In this report, “we,” “our,” “us,” “Athira,” and “the Company” refer to Athira Pharma, Inc. and its wholly-owned subsidiary.</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19" w:lineRule="exact"/>
        <w:rPr>
          <w:sz w:val="20"/>
          <w:szCs w:val="20"/>
          <w:color w:val="auto"/>
        </w:rPr>
      </w:pPr>
    </w:p>
    <w:p>
      <w:pPr>
        <w:jc w:val="both"/>
        <w:ind w:firstLine="490"/>
        <w:spacing w:after="0" w:line="239" w:lineRule="auto"/>
        <w:rPr>
          <w:sz w:val="20"/>
          <w:szCs w:val="20"/>
          <w:color w:val="auto"/>
        </w:rPr>
      </w:pPr>
      <w:r>
        <w:rPr>
          <w:rFonts w:ascii="Arial" w:cs="Arial" w:eastAsia="Arial" w:hAnsi="Arial"/>
          <w:sz w:val="20"/>
          <w:szCs w:val="20"/>
          <w:color w:val="auto"/>
        </w:rPr>
        <w:t>Athira is a clinical-stage biopharmaceutical company focused on developing small molecules engineered to restore neuronal health and slow neurodegeneration. Athira’s approach is designed to modulate the neurotrophic hepatocyte growth factor, or HGF, system, that is critical to normal brain function and may play a key role in maintaining the health and functioning of neuronal networks. Athira believes that by acting on the neurotrophic HGF system and its multiple downstream signaling pathways, it may be able to enhance the body’s natural ability to protect and repair neuronal networks by reducing inflammation, promoting regeneration, and reducing disease-specific protein pathologies, thereby positively impacting the course of disease. Athira aims to achieve these goals by advancing its pipeline of novel small molecule compounds which are designed to and have exhibited properties in enhancing the neurotrophic HGF system in either the central nervous system, or CNS, by crossing the blood brain barrier, or BBB, or the peripheral nervous system, or PNS.</w:t>
      </w:r>
    </w:p>
    <w:p>
      <w:pPr>
        <w:spacing w:after="0" w:line="198" w:lineRule="exact"/>
        <w:rPr>
          <w:sz w:val="20"/>
          <w:szCs w:val="20"/>
          <w:color w:val="auto"/>
        </w:rPr>
      </w:pPr>
    </w:p>
    <w:p>
      <w:pPr>
        <w:jc w:val="both"/>
        <w:ind w:firstLine="490"/>
        <w:spacing w:after="0" w:line="239" w:lineRule="auto"/>
        <w:rPr>
          <w:sz w:val="20"/>
          <w:szCs w:val="20"/>
          <w:color w:val="auto"/>
        </w:rPr>
      </w:pPr>
      <w:r>
        <w:rPr>
          <w:rFonts w:ascii="Arial" w:cs="Arial" w:eastAsia="Arial" w:hAnsi="Arial"/>
          <w:sz w:val="20"/>
          <w:szCs w:val="20"/>
          <w:color w:val="auto"/>
        </w:rPr>
        <w:t>Athira is actively reviewing options for partnerships or arrangements that will allow it to realize the potential of its drug candidates. The company’s lead drug candidate is ATH-1105. ATH-1105 is a novel, orally available, brain-penetrant, next-generation small molecule drug candidate designed to positively modulate the neurotrophic HGF system for potential treatment of neurodegenerative diseases, including amyotrophic lateral sclerosis, or ALS, Alzheimer’s disease, or AD, and Parkinson’s disease, or PD. ATH-1105 is currently in development for the potential treatment of ALS. Athira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198"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Athira’s previous lead drug candidate, fosgonimeton, is a small molecule drug candidate designed to positively modulate the neurotrophic HGF system for potential treatment of neurodegenerative diseases. In September 2024, Athira announced the topline results for LIFT-AD, a randomized, double-blind, placebo-controlled, parallel-group 26-week Phase 2/3 clinical trial with fosgonimeton in mild-to-moderate AD. The primary and key secondary endpoints of the LIFT-AD trial did not reach statistical significance compared with placebo at 26 weeks. Based on these results, Athira decided to pause further development of fosgonimeton and to shift its focus to the clinical development of ATH-1105.</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9360"/>
          </w:cols>
          <w:pgMar w:left="1440" w:top="1420" w:right="1440" w:bottom="175"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Athira's Strategy</w:t>
      </w:r>
    </w:p>
    <w:p>
      <w:pPr>
        <w:spacing w:after="0" w:line="12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To further its goal of developing small molecules engineered to restore neuronal health and slow neurodegeneration, Athira’s strategy is to advance its pipeline of small molecule drug candidates, focusing on drug candidates that show both strong pharmacokinetics and pharmacodynamics, or PK/PD, translation and early predictive clinical data.</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Athira's Pipeline</w:t>
      </w:r>
    </w:p>
    <w:p>
      <w:pPr>
        <w:spacing w:after="0" w:line="24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Figure 1 below illustrates the current development stage of Athira’s proprietary drug candidates and early discovery and development programs, of which only ATH-1105 is currently in clinical development, for the potential treatment of ALS. Athira has also explored the use of its drug candidates in other indications in the CNS and PNS with the goal of improving neuronal health in multiple neurodegenerative diseases. In addition, Athira’s drug discovery efforts have focused on designing and testing new early compounds to enhance the neurotrophic HGF system for a variety of clinical applications.</w:t>
      </w:r>
    </w:p>
    <w:p>
      <w:pPr>
        <w:spacing w:after="0" w:line="32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83185</wp:posOffset>
            </wp:positionV>
            <wp:extent cx="5743575" cy="2448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5743575"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ATH-1105</w:t>
      </w:r>
    </w:p>
    <w:p>
      <w:pPr>
        <w:spacing w:after="0" w:line="11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ATH-1105 is a novel, orally available, brain-penetrant, next generation, small molecule drug candidate designed to positively modulate the neurotrophic HGF system. Athira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9360"/>
          </w:cols>
          <w:pgMar w:left="1440" w:top="1416" w:right="1440" w:bottom="175" w:gutter="0" w:footer="0" w:header="0"/>
          <w:type w:val="continuous"/>
        </w:sectPr>
      </w:pPr>
    </w:p>
    <w:bookmarkStart w:id="12" w:name="page13"/>
    <w:bookmarkEnd w:id="12"/>
    <w:p>
      <w:pPr>
        <w:jc w:val="both"/>
        <w:ind w:firstLine="490"/>
        <w:spacing w:after="0" w:line="257" w:lineRule="auto"/>
        <w:rPr>
          <w:sz w:val="20"/>
          <w:szCs w:val="20"/>
          <w:color w:val="auto"/>
        </w:rPr>
      </w:pPr>
      <w:r>
        <w:rPr>
          <w:rFonts w:ascii="Arial" w:cs="Arial" w:eastAsia="Arial" w:hAnsi="Arial"/>
          <w:sz w:val="19"/>
          <w:szCs w:val="19"/>
          <w:color w:val="auto"/>
        </w:rPr>
        <w:t xml:space="preserve">In preclinical models of ALS, treatment with ATH-1105 resulted in improvements in motor neuron survival and function. In vitro, ATH-1105 treatment protected primary spinal motor neurons from glutamate toxicity and prevented accumulation of toxic protein aggregates. Additionally, ATH-1105 induced target activation in cultures of ALS patient-derived motor neurons. In a preclinical mouse model of ALS, treatment with ATH-1105 significantly prevented loss of body weight, and improved motor function including balance, coordination and muscle strength. Athira additionally reported that treatment with ATH-1105 significantly improved electrophysiological measures of functional nerve signaling and protected against motor neuron axon degeneration and demyelination. ATH-1105 treatment also significantly reduced biomarkers of inflammation and neurodegeneration and prolonged survival. Study results were presented at the Motor Neurone Disease Association International Symposium in December 2022 and 2023 and published in </w:t>
      </w:r>
      <w:r>
        <w:rPr>
          <w:rFonts w:ascii="Arial" w:cs="Arial" w:eastAsia="Arial" w:hAnsi="Arial"/>
          <w:sz w:val="19"/>
          <w:szCs w:val="19"/>
          <w:i w:val="1"/>
          <w:iCs w:val="1"/>
          <w:color w:val="auto"/>
        </w:rPr>
        <w:t>Frontiers in Neuroscience</w:t>
      </w:r>
      <w:r>
        <w:rPr>
          <w:rFonts w:ascii="Arial" w:cs="Arial" w:eastAsia="Arial" w:hAnsi="Arial"/>
          <w:sz w:val="19"/>
          <w:szCs w:val="19"/>
          <w:color w:val="auto"/>
        </w:rPr>
        <w:t>, 2024. Weight loss, motor deficits, inflammation, loss of functional nerve</w:t>
      </w:r>
      <w:r>
        <w:rPr>
          <w:rFonts w:ascii="Arial" w:cs="Arial" w:eastAsia="Arial" w:hAnsi="Arial"/>
          <w:sz w:val="19"/>
          <w:szCs w:val="19"/>
          <w:i w:val="1"/>
          <w:iCs w:val="1"/>
          <w:color w:val="auto"/>
        </w:rPr>
        <w:t xml:space="preserve"> </w:t>
      </w:r>
      <w:r>
        <w:rPr>
          <w:rFonts w:ascii="Arial" w:cs="Arial" w:eastAsia="Arial" w:hAnsi="Arial"/>
          <w:sz w:val="19"/>
          <w:szCs w:val="19"/>
          <w:color w:val="auto"/>
        </w:rPr>
        <w:t>signaling, and motor neurondegeneration and demyelination are all hallmarks of ALS disease; treatment with ATH-1105 significantly improved all of these aspects in the preclinical models tested.</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ATH-1020</w:t>
      </w:r>
    </w:p>
    <w:p>
      <w:pPr>
        <w:spacing w:after="0" w:line="116"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ATH-1020 is a novel, orally available, next generation, small molecule drug candidate designed to positively modulate the neurotrophic HGF system. Athira filed an IND application with the FDA for ATH-1020 at the end of 2021 and received notice of acceptance in January 2022. This compound was originally assessed for neuropsychiatric indications in preclinical models as presented at the American Society for Experimental Therapeutics Annual Conference in February 2022.</w:t>
      </w:r>
    </w:p>
    <w:p>
      <w:pPr>
        <w:spacing w:after="0" w:line="72"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In preclinical models of diabetic neuropathic pain, Athira demonstrated significant improvements in two aspects of disease that are prominent symptoms in people suffering from neuropathic pain: increased sensitivity to mechanical and thermal stimulation. The significant improvements in neuropathic pain were partially sustained after seven days of not receiving ATH-1020, suggesting persistent and potentially disease-modifying effects. Data from these studies were presented at the Society for Neuroscience Annual Conference in November 2022 and the American Society for Experimental Neurotherapeutics in March 2023. Athira has completed the SAD escalation portion of the Phase 1 trial, in which ATH-1020 demonstrated a favorable safety profile and was well-tolerated in healthy volunteers.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Early Compounds</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In addition to the compounds described above, Athira has evaluated several other compounds in preclinical discovery and development for neurodegenerative diseases and other indications where it believes positive modulation of the neurotrophic HGF system may have therapeutic potential.</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Mechanism of Disease</w:t>
      </w:r>
    </w:p>
    <w:p>
      <w:pPr>
        <w:spacing w:after="0" w:line="124"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Causes of neurodegenerative diseases are not fully understood as these diseases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neurotrophic HGF system.</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9360"/>
          </w:cols>
          <w:pgMar w:left="1440" w:top="1420" w:right="1440" w:bottom="175" w:gutter="0" w:footer="0" w:header="0"/>
          <w:type w:val="continuous"/>
        </w:sectPr>
      </w:pPr>
    </w:p>
    <w:bookmarkStart w:id="13" w:name="page14"/>
    <w:bookmarkEnd w:id="13"/>
    <w:p>
      <w:pPr>
        <w:jc w:val="both"/>
        <w:ind w:firstLine="490"/>
        <w:spacing w:after="0" w:line="243" w:lineRule="auto"/>
        <w:rPr>
          <w:sz w:val="20"/>
          <w:szCs w:val="20"/>
          <w:color w:val="auto"/>
        </w:rPr>
      </w:pPr>
      <w:r>
        <w:rPr>
          <w:rFonts w:ascii="Arial" w:cs="Arial" w:eastAsia="Arial" w:hAnsi="Arial"/>
          <w:sz w:val="20"/>
          <w:szCs w:val="20"/>
          <w:color w:val="auto"/>
        </w:rPr>
        <w:t>Scientific evidence supporting the neurotrophic HGF system as a naturally occurring repair mechanism is backed by over 30 years of research. MET is one of the most stably expressed genes in the adult human brain and is essential to a healthy, functional nervous system. HGF/MET signaling plays a critical role in both the development and maintenance of nervous system tissue. In ALS, studies have highlighted the importance of HGF in key processes affected by the disease. HGF functions as a potent survival factor for motor neurons, and impaired HGF/MET signaling has detrimental effects on neuromuscular junction integrity. Preclinical studies in ALS animal models show that HGF delivery reduces motor neuron degeneration, improves motor function, and prolongs lifespan. Additionally, HGF signaling has been linked to muscle function, the loss of which is a key feature of ALS. And although evidence supports the neurotrophic HGF system as an attractive target for combating neurodegenerative diseases, such as ALS, with its multimodal mechanism of action, it has proven a difficult drug target. There are approved and in-development gene therapy approaches to increase HGF expression beyond normal physiological levels, but these are limited as potentially viable treatment options for neurological disorders due to limited distribution and more invasive delivery requirements, such as intrathecal or intravenous, or locally restricted to the periphery, such as via intramuscular routes of administration.</w:t>
      </w:r>
    </w:p>
    <w:p>
      <w:pPr>
        <w:spacing w:after="0" w:line="19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To date, drug developers have been deploying approaches that typically address only a single factor of the cascade of pathologies that lead to neurodegeneration, yet translating early successful results to meaningful clinical benefit has been mixed if not elusive. Athira believes that to address such complex and multifactorial diseases requires a novel multimodal approach, such as targeting the neurotrophic HGF system through non-invasive small molecules that enhance levels of HGF system activation to protect and repair neuronal networks.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Mechanism of Action</w:t>
      </w:r>
    </w:p>
    <w:p>
      <w:pPr>
        <w:spacing w:after="0" w:line="12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Athira has developed a pipeline of proprietary small molecule compounds, or ATH positive modulators, designed to enhance the neurotrophic HGF system and promote its neuroprotective, neurotrophic and anti-inflammatory effects, including protection of neurons from a variety of insults. These novel small molecules are designed to cross the blood-brain barrier for CNS disorders or remain in the periphery for PNS and other indications, and mechanistically produce a series of multimodal effects that support their therapeutic promise to: reduce inflammation, promote regeneration, provide neuroprotection, and, ultimately, slow disease progression.</w:t>
      </w:r>
    </w:p>
    <w:p>
      <w:pPr>
        <w:spacing w:after="0" w:line="193"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Figure 2 below illustrates the hypothesized mechanism of action of ATH positive modulators and the cellular disease state where diseased neurons generate a biomarker of neurodegeneration,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neurotrophic pathways, reduced neuron degeneration and NfL production occur while the treated glia show reduced activation and production of proinflammatory cytokines, illustrating the potential reduction in neurodegeneration and inhibition of neuroinflammation through the enhancement of the neurotrophic HGF system.</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9360"/>
          </w:cols>
          <w:pgMar w:left="1440" w:top="1420" w:right="1440" w:bottom="175" w:gutter="0" w:footer="0" w:header="0"/>
          <w:type w:val="continuous"/>
        </w:sectPr>
      </w:pPr>
    </w:p>
    <w:bookmarkStart w:id="14" w:name="page15"/>
    <w:bookmarkEnd w:id="14"/>
    <w:p>
      <w:pPr>
        <w:ind w:left="500"/>
        <w:spacing w:after="0"/>
        <w:rPr>
          <w:sz w:val="20"/>
          <w:szCs w:val="20"/>
          <w:color w:val="auto"/>
        </w:rPr>
      </w:pPr>
      <w:r>
        <w:rPr>
          <w:rFonts w:ascii="Arial" w:cs="Arial" w:eastAsia="Arial" w:hAnsi="Arial"/>
          <w:sz w:val="20"/>
          <w:szCs w:val="20"/>
          <w:i w:val="1"/>
          <w:iCs w:val="1"/>
          <w:color w:val="auto"/>
        </w:rPr>
        <w:t>Figure 2. Hypothesized Mechanism of Action of ATH Positive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943600" cy="3451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5943600" cy="3451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As ATH positive modulators interact with the HGF system, neurotrophic and neuroprotective pathways are activated downstream, including the activation of the extracellular-signal regulated kinase, or ERK and protein kinase B, or AKT pathways, which play critical roles in protecting neurons from damage and death, including from oxidative stress, excitotoxicity, and apoptosis. Figure 3 below shows cell culture data demonstrating that one of the key mechanisms of action of ATH positive modulators is through activation of AKT and ERK via MET activation.</w:t>
      </w:r>
    </w:p>
    <w:p>
      <w:pPr>
        <w:sectPr>
          <w:pgSz w:w="12240" w:h="15840" w:orient="portrait"/>
          <w:cols w:equalWidth="0" w:num="1">
            <w:col w:w="9360"/>
          </w:cols>
          <w:pgMar w:left="1440" w:top="142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9360"/>
          </w:cols>
          <w:pgMar w:left="1440" w:top="1428" w:right="1440" w:bottom="175" w:gutter="0" w:footer="0" w:header="0"/>
          <w:type w:val="continuous"/>
        </w:sectPr>
      </w:pPr>
    </w:p>
    <w:bookmarkStart w:id="15" w:name="page16"/>
    <w:bookmarkEnd w:id="15"/>
    <w:p>
      <w:pPr>
        <w:jc w:val="both"/>
        <w:ind w:firstLine="490"/>
        <w:spacing w:after="0" w:line="274" w:lineRule="auto"/>
        <w:rPr>
          <w:sz w:val="20"/>
          <w:szCs w:val="20"/>
          <w:color w:val="auto"/>
        </w:rPr>
      </w:pPr>
      <w:r>
        <w:rPr>
          <w:rFonts w:ascii="Arial" w:cs="Arial" w:eastAsia="Arial" w:hAnsi="Arial"/>
          <w:sz w:val="20"/>
          <w:szCs w:val="20"/>
          <w:i w:val="1"/>
          <w:iCs w:val="1"/>
          <w:color w:val="auto"/>
        </w:rPr>
        <w:t>Figure 3. ATH-1105 enhances HGF signaling and promotes neurotrophic and neuroprotective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943600" cy="2505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5943600"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Positively modulating the neurotrophic HGF system promotes its multimodal effects, which Athira believes can potentially address the complex pathology in neurodegenerative diseases. These positive multimodal effects taken together may lead to improvement in function.</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ATH-1105</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ATH-1105 Preclinical Evidence for ALS</w:t>
      </w:r>
    </w:p>
    <w:p>
      <w:pPr>
        <w:spacing w:after="0" w:line="11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ATH-1105 is a novel oral small molecule drug candidate being assessed as a potential treatment for ALS. In a spinal motor neuron model, ATH-1105 significantly protected against neuron death by glutamate-induced excitotoxicity, while reducing pathological aggregation of TAR DNA-binding protein 43, or TDP-43. Figure 4 summarizes the data with images of microtubule-associated protein-2, or MAP-2-labeled spinal motor neurons in green, and extranuclear TDP-43 in red. In the control image on the left with no excitotoxic insult (glutamate), there is minimal overlap of MAP-2 neurons with extranuclear TDP-43. When glutamate is applied to the motor neuron cultures, there’s an overall reduction in the number of neurons and increased extranuclear TDP-43 as shown by overlapping red-green staining in the middle image. When cell cultures were treated with ATH-1105, the effect of glutamate-induced excitotoxicity on the overall number of motor neurons and extranuclear TDP-43 protein aggregation was significantly reduced, as seen in the rightmost image and as quantified in the bar graphs.</w:t>
      </w:r>
    </w:p>
    <w:p>
      <w:pPr>
        <w:sectPr>
          <w:pgSz w:w="12240" w:h="15840" w:orient="portrait"/>
          <w:cols w:equalWidth="0" w:num="1">
            <w:col w:w="9360"/>
          </w:cols>
          <w:pgMar w:left="1440" w:top="142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2240" w:h="15840" w:orient="portrait"/>
          <w:cols w:equalWidth="0" w:num="1">
            <w:col w:w="9360"/>
          </w:cols>
          <w:pgMar w:left="1440" w:top="1428" w:right="1440" w:bottom="175" w:gutter="0" w:footer="0" w:header="0"/>
          <w:type w:val="continuous"/>
        </w:sectPr>
      </w:pPr>
    </w:p>
    <w:bookmarkStart w:id="16" w:name="page17"/>
    <w:bookmarkEnd w:id="16"/>
    <w:p>
      <w:pPr>
        <w:jc w:val="both"/>
        <w:ind w:firstLine="490"/>
        <w:spacing w:after="0" w:line="274" w:lineRule="auto"/>
        <w:rPr>
          <w:sz w:val="20"/>
          <w:szCs w:val="20"/>
          <w:color w:val="auto"/>
        </w:rPr>
      </w:pPr>
      <w:r>
        <w:rPr>
          <w:rFonts w:ascii="Arial" w:cs="Arial" w:eastAsia="Arial" w:hAnsi="Arial"/>
          <w:sz w:val="20"/>
          <w:szCs w:val="20"/>
          <w:i w:val="1"/>
          <w:iCs w:val="1"/>
          <w:color w:val="auto"/>
        </w:rPr>
        <w:t>Figure 4. ATH-1105 is Neuroprotective Against Excitotoxic Insult and Reduces Extranuclear TDP-43 Levels in Spinal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943600" cy="2390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5943600" cy="239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6A6A6"/>
        </w:rPr>
        <w:t>Data presented as mean + SEM. Statistics applied: 1-way ANOVA with Fisher least significant difference test. *p&lt;0.05;</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6A6A6"/>
        </w:rPr>
        <w:t>**p&lt;0.01; ***p&lt;0.001 versus Glutamate Control. Scale bar: 100 μm. n=5-6 per group.</w:t>
      </w:r>
    </w:p>
    <w:p>
      <w:pPr>
        <w:spacing w:after="0"/>
        <w:rPr>
          <w:sz w:val="20"/>
          <w:szCs w:val="20"/>
          <w:color w:val="auto"/>
        </w:rPr>
      </w:pPr>
      <w:r>
        <w:rPr>
          <w:rFonts w:ascii="Arial" w:cs="Arial" w:eastAsia="Arial" w:hAnsi="Arial"/>
          <w:sz w:val="16"/>
          <w:szCs w:val="16"/>
          <w:color w:val="A6A6A6"/>
        </w:rPr>
        <w:t>MAP-2, microtubule-associated protein-2; TDP-43, TAR DNA-binding protein 43.</w:t>
      </w:r>
    </w:p>
    <w:p>
      <w:pPr>
        <w:spacing w:after="0" w:line="325"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ATH-1105 has also demonstrated target engagement in ALS patient-derived induced pluripotent stem cells (iPSCs) that were differentiated into motor neurons. In this model, as summarized in Figure 5, ALS patient-derived motor neurons treated with ATH-1105 100 nM exhibited a significant increase in MET activation (pMET) demonstrating engagement of HGF signaling, when compared to motor neurons treated with vehicle. These results were presented at the Motor Neurone Disease Association International Symposium in December 2024.</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Figure 5. ATH-1105 increases MET activation in ALS patient-derived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83185</wp:posOffset>
            </wp:positionV>
            <wp:extent cx="5943600" cy="233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5943600"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6A6A6"/>
        </w:rPr>
        <w:t>Human iPSC-derived motor neurons sourced from Cedar Sinai via AnswerALS consortium. Motor neurons were cultured in growth factor deprived media and treated with vehicle or ATH-1105 every 48h for 6 days. MET activation was measured 24h post ATH-1105 treatment. Data presented as mean ± SEM. Statistical significance was determined via paired t-test comparing MET activation (pMET/Total MET) in motor neurons treated with vehicle or ATH-1105 100 nM; n = 2 technical replicates from each donor.</w:t>
      </w:r>
    </w:p>
    <w:p>
      <w:pPr>
        <w:spacing w:after="0" w:line="5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Plasma biomarkers of inflammation and neurodegeneration were significantly reduced following treatment with ATH-1105 in a transgenic TDP-43-driven mouse model of ALS (Figure 6). These results support the anti-inflammatory and neuroprotective effects of ATH-1105 through enhancement of neurotrophic HGF system signaling. In the TDP-43-driven ALS model, significant increases in the proinflammatory cytokines tumor necrosis factor alpha, or TNF-alpha, and interleukin 6, or IL-6, were</w:t>
      </w:r>
    </w:p>
    <w:p>
      <w:pPr>
        <w:sectPr>
          <w:pgSz w:w="12240" w:h="15840" w:orient="portrait"/>
          <w:cols w:equalWidth="0" w:num="1">
            <w:col w:w="9360"/>
          </w:cols>
          <w:pgMar w:left="1440" w:top="1428" w:right="1440" w:bottom="175"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9360"/>
          </w:cols>
          <w:pgMar w:left="1440" w:top="1428" w:right="1440" w:bottom="175" w:gutter="0" w:footer="0" w:header="0"/>
          <w:type w:val="continuous"/>
        </w:sectPr>
      </w:pPr>
    </w:p>
    <w:bookmarkStart w:id="17" w:name="page18"/>
    <w:bookmarkEnd w:id="17"/>
    <w:p>
      <w:pPr>
        <w:jc w:val="both"/>
        <w:spacing w:after="0" w:line="250" w:lineRule="auto"/>
        <w:rPr>
          <w:sz w:val="20"/>
          <w:szCs w:val="20"/>
          <w:color w:val="auto"/>
        </w:rPr>
      </w:pPr>
      <w:r>
        <w:rPr>
          <w:rFonts w:ascii="Arial" w:cs="Arial" w:eastAsia="Arial" w:hAnsi="Arial"/>
          <w:sz w:val="20"/>
          <w:szCs w:val="20"/>
          <w:color w:val="auto"/>
        </w:rPr>
        <w:t>observed compared to healthy wild-type, or WT, control animals. When ALS-model mice, or ALS mice, were treated with ATH-1105 significant reductions in both TNF-alpha and IL-6 were observed, demonstrating anti-inflammatory activity. Consistent with the neuroprotective effects demonstrated in cell-based models, a significant reduction in plasma levels of the neurodegeneration biomarker, NfL, was observed in ALS mice treated with ATH-1105, which is indicative of neuroprotection.</w:t>
      </w:r>
    </w:p>
    <w:p>
      <w:pPr>
        <w:spacing w:after="0" w:line="80"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20"/>
          <w:szCs w:val="20"/>
          <w:i w:val="1"/>
          <w:iCs w:val="1"/>
          <w:color w:val="auto"/>
        </w:rPr>
        <w:t>Figure 6. ATH-1105 Improves Biomarkers of Inflammation and Neurodegeneration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41910</wp:posOffset>
            </wp:positionV>
            <wp:extent cx="5008245" cy="1662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5008245" cy="166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6A6A6"/>
        </w:rPr>
        <w:t>Graphical representation of plasma IL-6, TNF-α in fold-difference over the WT + vehicle group, and NfL levels in ng/ml at two months of treatment. N=10 per group. Data presented as mean ± SEM. Statistical significance was determined by 1-way ANOVA with the Dunnett’s test versus ALS + vehicle. ****p&lt;0.0001.</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6A6A6"/>
        </w:rPr>
        <w:t>ALS, amyotrophic lateral sclerosis; IL-6, interleukin 6; NfL, neurofilament light chain; TNF-α, tumor necrosis factor alpha; WT, wild-type.</w:t>
      </w:r>
    </w:p>
    <w:p>
      <w:pPr>
        <w:spacing w:after="0" w:line="301"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Treatment with ATH-1105 in a mouse model of ALS protected against axon degeneration and demyelination as observed from histological examination of cross-sections of the sciatic nerve. Figure 7 below includes an image of the sciatic nerve from a WT healthy control animal, on the left, featuring a large number of large diameter axons surrounded by a consistent and highly regular coating of myelin sheath. In the middle, a sciatic nerve image from an ALS disease control animal is shown, where a marked reduction in the number of axons, a decrease in average axon diameter, and irregular myelination is observed. On the right, when ALS animals are treated with ATH-1105, sciatic nerve integrity is preserved with a greater population of large diameter axons and preservation of regular myelination. Graphs below the images are quantified data showing these effects of ATH-1105 in a mouse model of ALS.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2240" w:h="15840" w:orient="portrait"/>
          <w:cols w:equalWidth="0" w:num="1">
            <w:col w:w="9360"/>
          </w:cols>
          <w:pgMar w:left="1440" w:top="1420" w:right="1440" w:bottom="175" w:gutter="0" w:footer="0" w:header="0"/>
          <w:type w:val="continuous"/>
        </w:sectPr>
      </w:pPr>
    </w:p>
    <w:bookmarkStart w:id="18" w:name="page19"/>
    <w:bookmarkEnd w:id="18"/>
    <w:p>
      <w:pPr>
        <w:ind w:firstLine="490"/>
        <w:spacing w:after="0" w:line="274" w:lineRule="auto"/>
        <w:rPr>
          <w:sz w:val="20"/>
          <w:szCs w:val="20"/>
          <w:color w:val="auto"/>
        </w:rPr>
      </w:pPr>
      <w:r>
        <w:rPr>
          <w:rFonts w:ascii="Arial" w:cs="Arial" w:eastAsia="Arial" w:hAnsi="Arial"/>
          <w:sz w:val="20"/>
          <w:szCs w:val="20"/>
          <w:i w:val="1"/>
          <w:iCs w:val="1"/>
          <w:color w:val="auto"/>
        </w:rPr>
        <w:t>Figure 7. Treatment with ATH-1105 Protected Against Axon Degeneration and Demyelination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41910</wp:posOffset>
            </wp:positionV>
            <wp:extent cx="4961890" cy="3163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4961890" cy="316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6A6A6"/>
        </w:rPr>
        <w:t>Histology images of sciatic nerve cross-sections stained with toluidine blue to label myelin. Scale is 10 μm (all panels). Graphical representation of the number of axons (per 100 μm2), axonal diameter (in micrometers), and mean of myelin g-ratio, defined as the ratio of the inner axonal diameter to the total axonal diameter, following two months of treatment. Data presented as mean + SEM. Statistical significance was determined by 1-way ANOVA with the Dunnett’s test versus ALS + vehicle. ****p&lt;0.0001. ALS, amyotrophic lateral sclerosis; WT, wild-type.</w:t>
      </w:r>
    </w:p>
    <w:p>
      <w:pPr>
        <w:spacing w:after="0" w:line="307"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Further analyses of electrophysiological and behavioral assessments indicated the protection of the motor neurons with ATH-1105 translated to improved nerve and motor function (Figure 8). Compound muscle action potential, or CMAP, and nerve conduction velocity, or NCV, are two electrophysiological measures of functional nerve signaling. Treatment with ATH-1105 in a mouse model of ALS demonstrated consistent and significant improvements of nerve function compared to ALS disease control animals.</w:t>
      </w:r>
    </w:p>
    <w:p>
      <w:pPr>
        <w:spacing w:after="0" w:line="55"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Two examples of motor function improvements are shown by the rotarod, an assessment of balance and coordination, and the grip test, an assessment of strength. ALS disease control animals showed significant motor impairments compared to WT healthy control animals. ATH-1105 treatment in this mouse model of ALS led to significant improvements in both the rotarod and grip tests compared to the vehicle treated ALS disease control animals, demonstrating preservation of motor function. Other motor behavior tests assessing balance, coordination and muscle strength were the balance beam and Kondziela screen tests. Across all motor function measures, significant improvements were seen in ALS animals treated with ATH-1105 compared to ALS animals treated with vehicle.</w:t>
      </w:r>
    </w:p>
    <w:p>
      <w:pPr>
        <w:sectPr>
          <w:pgSz w:w="12240" w:h="15840" w:orient="portrait"/>
          <w:cols w:equalWidth="0" w:num="1">
            <w:col w:w="9360"/>
          </w:cols>
          <w:pgMar w:left="1440" w:top="142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2240" w:h="15840" w:orient="portrait"/>
          <w:cols w:equalWidth="0" w:num="1">
            <w:col w:w="9360"/>
          </w:cols>
          <w:pgMar w:left="1440" w:top="1428" w:right="1440" w:bottom="175" w:gutter="0" w:footer="0" w:header="0"/>
          <w:type w:val="continuous"/>
        </w:sectPr>
      </w:pPr>
    </w:p>
    <w:bookmarkStart w:id="19" w:name="page20"/>
    <w:bookmarkEnd w:id="19"/>
    <w:p>
      <w:pPr>
        <w:ind w:left="500"/>
        <w:spacing w:after="0"/>
        <w:rPr>
          <w:sz w:val="20"/>
          <w:szCs w:val="20"/>
          <w:color w:val="auto"/>
        </w:rPr>
      </w:pPr>
      <w:r>
        <w:rPr>
          <w:rFonts w:ascii="Arial" w:cs="Arial" w:eastAsia="Arial" w:hAnsi="Arial"/>
          <w:sz w:val="20"/>
          <w:szCs w:val="20"/>
          <w:i w:val="1"/>
          <w:iCs w:val="1"/>
          <w:color w:val="auto"/>
        </w:rPr>
        <w:t>Figure 8. Treatment with ATH-1105 Improves Nerve and Motor Function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83185</wp:posOffset>
            </wp:positionV>
            <wp:extent cx="4458335" cy="4472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4458335" cy="447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6A6A6"/>
        </w:rPr>
        <w:t>Graphical representation of CMAP amplitude, NCV, rotarod latency, and grip strength at baseline and after one and two months of treatment. Data presented as mean ± SEM. Statistical significance was determined by 2-way ANOVA with the Dunnett’s test versus ALS + vehicle. **p&lt;0.01; ***p&lt;0.001; ****p&lt;0.0001. N=10 per group.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6A6A6"/>
        </w:rPr>
        <w:t>ALS, amyotrophic lateral sclerosis; CMAP, compound muscle action potential; NCV, nerve conduction velocity; WT, wild-type.</w:t>
      </w:r>
    </w:p>
    <w:p>
      <w:pPr>
        <w:spacing w:after="0" w:line="325"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above study results, depicted in Figure 8, were presented at the American Academy of Neurology, or AAN, in April 2023, and the ALS Drug Development Summit in May 2023.</w:t>
      </w:r>
    </w:p>
    <w:p>
      <w:pPr>
        <w:spacing w:after="0" w:line="40"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Treatment with ATH-1105 in a mouse model of ALS extends survival and improves other disease-related measures. Figure 9 below compares ALS mice treated with oral ATH-1105 20 mg/kg once daily in blue with oral vehicle once daily treated ALS mice in red. Mice were treated from one month of age to a humane endpoint maximum of five months of age, for a total of up to four months of treatment. ATH-1105 increased time to first mortality and significantly prolonged survival compared to ALS disease control animals (p=0.0035). ATH-1105 also significantly protected against body weight reduction (p&lt;0.01). These findings were reported at the AAN 2023 Annual Meeting in April 2023.</w:t>
      </w:r>
    </w:p>
    <w:p>
      <w:pPr>
        <w:sectPr>
          <w:pgSz w:w="12240" w:h="15840" w:orient="portrait"/>
          <w:cols w:equalWidth="0" w:num="1">
            <w:col w:w="9360"/>
          </w:cols>
          <w:pgMar w:left="1440" w:top="142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2240" w:h="15840" w:orient="portrait"/>
          <w:cols w:equalWidth="0" w:num="1">
            <w:col w:w="9360"/>
          </w:cols>
          <w:pgMar w:left="1440" w:top="1428" w:right="1440" w:bottom="175" w:gutter="0" w:footer="0" w:header="0"/>
          <w:type w:val="continuous"/>
        </w:sectPr>
      </w:pPr>
    </w:p>
    <w:bookmarkStart w:id="20" w:name="page21"/>
    <w:bookmarkEnd w:id="20"/>
    <w:p>
      <w:pPr>
        <w:ind w:left="500"/>
        <w:spacing w:after="0"/>
        <w:rPr>
          <w:sz w:val="20"/>
          <w:szCs w:val="20"/>
          <w:color w:val="auto"/>
        </w:rPr>
      </w:pPr>
      <w:r>
        <w:rPr>
          <w:rFonts w:ascii="Arial" w:cs="Arial" w:eastAsia="Arial" w:hAnsi="Arial"/>
          <w:sz w:val="20"/>
          <w:szCs w:val="20"/>
          <w:i w:val="1"/>
          <w:iCs w:val="1"/>
          <w:color w:val="auto"/>
        </w:rPr>
        <w:t>Figure 9. ATH-1105 Significantly Improved Survival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83185</wp:posOffset>
            </wp:positionV>
            <wp:extent cx="4107815" cy="2793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4107815"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6A6A6"/>
        </w:rPr>
        <w:t>Data presented as Kaplan-Meier curve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6A6A6"/>
        </w:rPr>
        <w:t>Statistics applied: Log-rank (Mantel-Cox) test for survival curve comparison, **p&lt;0.01. n=20 mice per group at start</w:t>
      </w:r>
    </w:p>
    <w:p>
      <w:pPr>
        <w:spacing w:after="0" w:line="32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Treatment with ATH-1105 in a mouse model of ALS outperforms treatment with riluzole under the conditions tested in assessments of motor function, nerve function, and in reducing disease-related plasma biomarkers. Figure 10 below compares performance in the grip test of WT mice (grey) and transgenic ALS mice treated daily with vehicle (red), intraperitoneal riluzole 5 mg/kg (green), oral ATH-1105 20 mg/kg (blue), or both ATH-1105 and riluzole (purple). Mice treated with ATH-1105 alone and co-administration of riluzole and ATH-1105 consistently outperformed the vehicle-treated ALS disease control group. In both the ATH-1105 and the co-administration of ATH-1105 and riluzole groups, performance on the test approached that of the WT healthy control group. ATH-1105 treatment outperformed riluzole treatment in tests of motor function including the grip, rotarod, Kondziela screen, and balance beam tests. ATH-1105 also outperformed riluzole in tests of nerve function preservation including CMAP amplitude and NCV. ATH-1105 treatment further reduced plasma levels of IL-6 and TNF-alpha compared to riluzole, which are biomarkers of inflammation. ATH-1105 treatment also more greatly reduced plasma levels of NfL compared to riluzole, which is a biomarker of neurodegeneration. These findings were reported at the Northeast ALS Consortium meeting in October 2023, and the Motor Neurone Disease Association conference in December 2023.</w:t>
      </w:r>
    </w:p>
    <w:p>
      <w:pPr>
        <w:sectPr>
          <w:pgSz w:w="12240" w:h="15840" w:orient="portrait"/>
          <w:cols w:equalWidth="0" w:num="1">
            <w:col w:w="9360"/>
          </w:cols>
          <w:pgMar w:left="1440" w:top="142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2240" w:h="15840" w:orient="portrait"/>
          <w:cols w:equalWidth="0" w:num="1">
            <w:col w:w="9360"/>
          </w:cols>
          <w:pgMar w:left="1440" w:top="1428" w:right="1440" w:bottom="175" w:gutter="0" w:footer="0" w:header="0"/>
          <w:type w:val="continuous"/>
        </w:sectPr>
      </w:pPr>
    </w:p>
    <w:bookmarkStart w:id="21" w:name="page22"/>
    <w:bookmarkEnd w:id="21"/>
    <w:p>
      <w:pPr>
        <w:ind w:right="360" w:firstLine="490"/>
        <w:spacing w:after="0" w:line="274" w:lineRule="auto"/>
        <w:rPr>
          <w:sz w:val="20"/>
          <w:szCs w:val="20"/>
          <w:color w:val="auto"/>
        </w:rPr>
      </w:pPr>
      <w:r>
        <w:rPr>
          <w:rFonts w:ascii="Arial" w:cs="Arial" w:eastAsia="Arial" w:hAnsi="Arial"/>
          <w:sz w:val="20"/>
          <w:szCs w:val="20"/>
          <w:i w:val="1"/>
          <w:iCs w:val="1"/>
          <w:color w:val="auto"/>
        </w:rPr>
        <w:t>Figure 10. ATH-1105 Preserves Motor and Nerve Function and Reduces Plasma NfL Compared with Riluzole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943600" cy="2828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5943600" cy="282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6A6A6"/>
        </w:rPr>
        <w:t>Graphical representation of change from baseline following two months of treatment in grip test, CMAP amplitude, and Plasma Nfl. Data presented as mean ± SEM, or box-and-whisker plots</w:t>
      </w:r>
    </w:p>
    <w:p>
      <w:pPr>
        <w:spacing w:after="0"/>
        <w:rPr>
          <w:sz w:val="20"/>
          <w:szCs w:val="20"/>
          <w:color w:val="auto"/>
        </w:rPr>
      </w:pPr>
      <w:r>
        <w:rPr>
          <w:rFonts w:ascii="Arial" w:cs="Arial" w:eastAsia="Arial" w:hAnsi="Arial"/>
          <w:sz w:val="16"/>
          <w:szCs w:val="16"/>
          <w:color w:val="A6A6A6"/>
        </w:rPr>
        <w:t>Statistics applied: One-way ANOVA with Dunnett’s test. *p&lt;0.05; **p&lt;0.01; *** p&lt;0.001; **** p&lt;0.0001. n=10 mice per group;</w:t>
      </w:r>
    </w:p>
    <w:p>
      <w:pPr>
        <w:spacing w:after="0"/>
        <w:rPr>
          <w:sz w:val="20"/>
          <w:szCs w:val="20"/>
          <w:color w:val="auto"/>
        </w:rPr>
      </w:pPr>
      <w:r>
        <w:rPr>
          <w:rFonts w:ascii="Arial" w:cs="Arial" w:eastAsia="Arial" w:hAnsi="Arial"/>
          <w:sz w:val="16"/>
          <w:szCs w:val="16"/>
          <w:color w:val="A6A6A6"/>
        </w:rPr>
        <w:t>Abbreviations: CFB, change from baseline, CMAP, compound muscle action potential, NfL, neurofilament light chain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Development Plan for ATH-1105 in ALS</w:t>
      </w:r>
    </w:p>
    <w:p>
      <w:pPr>
        <w:spacing w:after="0" w:line="11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Weight loss, motor deficits, inflammatory effects, loss of muscle integrity, nerve degeneration and demyelination are all classical hallmarks of disease in people with ALS; treatment with ATH-1105 significantly improved all of these deficits preclinically. Athira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ectPr>
          <w:pgSz w:w="12240" w:h="15840" w:orient="portrait"/>
          <w:cols w:equalWidth="0" w:num="1">
            <w:col w:w="9360"/>
          </w:cols>
          <w:pgMar w:left="1440" w:top="142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2240" w:h="15840" w:orient="portrait"/>
          <w:cols w:equalWidth="0" w:num="1">
            <w:col w:w="9360"/>
          </w:cols>
          <w:pgMar w:left="1440" w:top="1428" w:right="1440" w:bottom="175"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ATH-1020</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ATH-1020 Preclinical Evidence for Neuropathic Pain</w:t>
      </w:r>
    </w:p>
    <w:p>
      <w:pPr>
        <w:spacing w:after="0" w:line="11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ATH-1020 is a novel, orally available, next generation, small molecule drug candidate designed to positively modulate the neurotrophic HGF system. Enhancing HGF/MET signaling promotes neuroprotective, neurotrophic, and anti-inflammatory effects, and as neuropathic pain disorders, including diabetic neuropathy, or DNP, have components of oxidative stress, nerve damage, and inflammation, positive modulation of the HGF/MET pathway may provide therapeutic benefit in these disease areas. Data below were presented at the Society for Neuroscience Annual Conference in November 2022.</w:t>
      </w:r>
    </w:p>
    <w:p>
      <w:pPr>
        <w:spacing w:after="0" w:line="7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This compound was originally assessed for neuropsychiatric indications in preclinical models as presented at the American Society for Experimental Therapeutics Annual Conference in February 2022.</w:t>
      </w:r>
    </w:p>
    <w:p>
      <w:pPr>
        <w:spacing w:after="0" w:line="40"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animal models of DNP hypersensitivity to mechanical and thermal pain are commonly experienced, which are also representative of symptoms in people with neuropathic pain. Shown in Figure 11 below, treatment with ATH-1020 significantly reduced pain behaviors over the testing period compared to DNP controls alone.</w:t>
      </w:r>
    </w:p>
    <w:p>
      <w:pPr>
        <w:spacing w:after="0" w:line="74"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20"/>
          <w:szCs w:val="20"/>
          <w:i w:val="1"/>
          <w:iCs w:val="1"/>
          <w:color w:val="auto"/>
        </w:rPr>
        <w:t>Figure 11. Reduced Mechanical and Thermal Pain-Related Behaviors Following ATH-1020 Treatment in a Rat Model of Diabetic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41910</wp:posOffset>
            </wp:positionV>
            <wp:extent cx="5706110" cy="1944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5706110" cy="194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6A6A6"/>
        </w:rPr>
        <w:t>Data presented as means + SEM. ****p&lt;0.0001 using one-way ANOVA with Dunnett test vs DNP control.</w:t>
      </w:r>
    </w:p>
    <w:p>
      <w:pPr>
        <w:spacing w:after="0" w:line="2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6A6A6"/>
        </w:rPr>
        <w:t>ANOVA, analysis of variance; AUC, area under the curve; DNP, diabetic neuropathic pain; PWL, paw withdrawal latency; PWT, paw withdrawal threshold.</w:t>
      </w:r>
    </w:p>
    <w:p>
      <w:pPr>
        <w:spacing w:after="0" w:line="255"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Persistence of reduced pain behaviors following ATH-1020 treatment were assessed after a short-term (23-hour) or a long-term (7-day) washout period. Study results demonstrated that even after short-and long-term washout periods, where no drug is present, the effects of ATH-1020 reduction of pain behaviors remained persistent, suggesting a potential disease modifying effect (Figure 12).</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2240" w:h="15840" w:orient="portrait"/>
          <w:cols w:equalWidth="0" w:num="1">
            <w:col w:w="9360"/>
          </w:cols>
          <w:pgMar w:left="1440" w:top="1416" w:right="1440" w:bottom="175" w:gutter="0" w:footer="0" w:header="0"/>
          <w:type w:val="continuous"/>
        </w:sectPr>
      </w:pPr>
    </w:p>
    <w:bookmarkStart w:id="23" w:name="page24"/>
    <w:bookmarkEnd w:id="23"/>
    <w:p>
      <w:pPr>
        <w:ind w:left="500"/>
        <w:spacing w:after="0"/>
        <w:rPr>
          <w:sz w:val="20"/>
          <w:szCs w:val="20"/>
          <w:color w:val="auto"/>
        </w:rPr>
      </w:pPr>
      <w:r>
        <w:rPr>
          <w:rFonts w:ascii="Arial" w:cs="Arial" w:eastAsia="Arial" w:hAnsi="Arial"/>
          <w:sz w:val="20"/>
          <w:szCs w:val="20"/>
          <w:i w:val="1"/>
          <w:iCs w:val="1"/>
          <w:color w:val="auto"/>
        </w:rPr>
        <w:t>Figure 12. Persistent Pain Reduction after 7-day Washout Following ATH-1020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5624830" cy="1840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5624830" cy="184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6A6A6"/>
        </w:rPr>
        <w:t>Data presented as means + SEM. *p&lt;0.05; **p&lt;0.01; ****p&lt;0.0001 using one-way ANOVA with Dunnett test vs DNP control. ANOVA, analysis of variance; AUC, area under the curve; DNP, diabetic neuropathic pain; PWL, paw withdrawal latency; PWT, paw withdrawal threshold.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ATH-1020 Clinical – Phase 1 Trial in Healthy Volunteers</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Athira filed an IND application with the FDA for ATH-1020 at the end of 2021 and received notice of acceptance in January 2022. In September 2022, it completed the single-ascending dose escalation portion of the Phase 1 trial. ATH-1020 demonstrated a favorable safety profile and was well-tolerated in healthy volunteers.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Fosgonimeton</w:t>
      </w:r>
    </w:p>
    <w:p>
      <w:pPr>
        <w:spacing w:after="0" w:line="12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Athira’s previous lead drug candidate, fosgonimeton, is a small molecule drug candidate designed to positively modulate the neurotrophic HGF system for potential treatment of neurodegenerative diseases. In September 2024, Athira announced the topline results for LIFT-AD, a randomized, double-blind, placebo-controlled, parallel-group 26-week Phase 2/3 clinical trial with fosgonimeton in mild-to-moderate AD. The primary and key secondary endpoints did not reach statistical significance compared with placebo at 26 weeks. However, both components of the Global Statistical Test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 β42/40, p-Tau181, and p-Tau217), inflammation (GFAP) and neurodegeneration (NfL) showed directional improvements with fosgonimeton treatment that are consistent with the broad neuroprotective mechanism of HGF modulation.</w:t>
      </w:r>
    </w:p>
    <w:p>
      <w:pPr>
        <w:spacing w:after="0" w:line="8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Based on these results, Athira decided to pause further development of fosgonimeton and to shift its focus to the clinical development of ATH-1105.</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Opportunity</w:t>
      </w:r>
    </w:p>
    <w:p>
      <w:pPr>
        <w:spacing w:after="0" w:line="12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potential target indications for Athira’s small molecule positive modulators include ALS and other neurodegenerative diseases. A recent study estimated that approximately 33,000 persons in the United States are affected with ALS. This number was projected to increase to approximately 36,000 by 2030. Prevalence at the global level varies geographically. Cases worldwide have been projected to increase from approximately 223,000 in 2015 to approximately 377,000 in 2040.</w:t>
      </w:r>
    </w:p>
    <w:p>
      <w:pPr>
        <w:spacing w:after="0" w:line="192"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Currently, there are only four approved drugs that are specifically indicated for the treatment of ALS, of which none targets neurotrophic factor systems with a multimodal mechanism of action with the potential to offer neuroprotective, anti-inflammatory and potentially disease modifying effects.</w:t>
      </w:r>
    </w:p>
    <w:p>
      <w:pPr>
        <w:sectPr>
          <w:pgSz w:w="12240" w:h="15840" w:orient="portrait"/>
          <w:cols w:equalWidth="0" w:num="1">
            <w:col w:w="9360"/>
          </w:cols>
          <w:pgMar w:left="1440" w:top="142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9360"/>
          </w:cols>
          <w:pgMar w:left="1440" w:top="1428" w:right="1440" w:bottom="175"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i w:val="1"/>
          <w:iCs w:val="1"/>
          <w:color w:val="auto"/>
        </w:rPr>
        <w:t>Potential Commercialization Plan</w:t>
      </w:r>
    </w:p>
    <w:p>
      <w:pPr>
        <w:spacing w:after="0" w:line="116"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ATH-1105 is currently in development for the potential treatment of ALS. The potential commercialization strategy is expected to consider the following key elements:</w:t>
      </w:r>
    </w:p>
    <w:p>
      <w:pPr>
        <w:spacing w:after="0" w:line="53" w:lineRule="exact"/>
        <w:rPr>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potential first-line therapy;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an add-on therapy for patients on existing therapies;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 therapy for patients who have stopped existing therapies.</w:t>
      </w:r>
    </w:p>
    <w:p>
      <w:pPr>
        <w:spacing w:after="0" w:line="24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Athira aims to demonstrate the therapeutic potential of ATH-1105 in ALS as an initial indication. Given the unique potential of ATH-1105 to provide broad protection against neurodegeneration, there may be therapeutic application in additional neurodegenerative indications including but not limited to frontal temporal dementia, Parkinson’s, polyneuropathies, and others. Athira expects its commercialization strategies, including distribution plans, will evolve as clinical development progresses</w:t>
      </w:r>
    </w:p>
    <w:p>
      <w:pPr>
        <w:spacing w:after="0" w:line="192"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Athira is actively reviewing options for partnerships or other arrangements that will allow it to realize the commercial potential of its drug candidates.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12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Athira’s focus on small molecule therapeutics enables it to use well-established and widely available manufacturing processes and infrastructure, formulation compositions, and drug administration technologies or devices. Athira does not operate its own facilities for manufacturing, storing, or distributing drug candidates. It utilizes third-party contract development and manufacturing organizations, or CDMOs, to manufacture and supply preclinical and clinical materials during the development of drug candidates. Athira and various regulatory bodies have audited the CDMOs it contracts with, and such CDMOs have a proven track record of GMP-compliant manufacturing.</w:t>
      </w:r>
    </w:p>
    <w:p>
      <w:pPr>
        <w:spacing w:after="0" w:line="19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ATH-1105 is purified as a stable solid and then released to other CDMOs for formulation and packaging into the final drug product for use in clinical testing. Athira believes the synthesis of ATH-1105 is reliable and reproducible and the synthetic routes can be further optimized to enable large-scale production that continues to avoid use of toxic materials or specialized equipment or handling during the manufacturing process.</w:t>
      </w:r>
    </w:p>
    <w:p>
      <w:pPr>
        <w:spacing w:after="0" w:line="192" w:lineRule="exact"/>
        <w:rPr>
          <w:sz w:val="20"/>
          <w:szCs w:val="20"/>
          <w:color w:val="auto"/>
        </w:rPr>
      </w:pPr>
    </w:p>
    <w:p>
      <w:pPr>
        <w:jc w:val="both"/>
        <w:ind w:firstLine="490"/>
        <w:spacing w:after="0" w:line="310" w:lineRule="auto"/>
        <w:rPr>
          <w:sz w:val="20"/>
          <w:szCs w:val="20"/>
          <w:color w:val="auto"/>
        </w:rPr>
      </w:pPr>
      <w:r>
        <w:rPr>
          <w:rFonts w:ascii="Arial" w:cs="Arial" w:eastAsia="Arial" w:hAnsi="Arial"/>
          <w:sz w:val="19"/>
          <w:szCs w:val="19"/>
          <w:color w:val="auto"/>
        </w:rPr>
        <w:t>For the potential commercialization of any drug candidates that receive regulatory approval, Athira expects to rely on partners’ manufacturing capabilities or use similar third-party CDMO contract resources.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24"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slow neurodegeneration, with its principal drug candidate focused on the treatment of ALS, Athira faces, and in the future may face, increased competitive pressures from both large and small pharmaceutical companies and from established and emerging biotechnology companies, as well as academic, government, and public and private research institutions. Any drug candidates that Athira successfully develops and commercializes will compete with current treatments and new treatments that may become available in the future. With the advancement of ATH-1105 as a novel small molecule therapeutic that positively modulates the neurotrophic HGF system, Athira must consider companies as competitors who are developing other novel approaches, including those that target other neurotrophic systems to address ALS and other neurological diseases. Additionally, because ATH-1105 is orally administered, Athira must also consider as competitors companies developing ALS therapies as oral therapeutics or with other routes of administration.</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9360"/>
          </w:cols>
          <w:pgMar w:left="1440" w:top="1424" w:right="1440" w:bottom="175" w:gutter="0" w:footer="0" w:header="0"/>
          <w:type w:val="continuous"/>
        </w:sectPr>
      </w:pPr>
    </w:p>
    <w:bookmarkStart w:id="25" w:name="page26"/>
    <w:bookmarkEnd w:id="25"/>
    <w:p>
      <w:pPr>
        <w:jc w:val="both"/>
        <w:ind w:firstLine="490"/>
        <w:spacing w:after="0" w:line="242" w:lineRule="auto"/>
        <w:rPr>
          <w:sz w:val="20"/>
          <w:szCs w:val="20"/>
          <w:color w:val="auto"/>
        </w:rPr>
      </w:pPr>
      <w:r>
        <w:rPr>
          <w:rFonts w:ascii="Arial" w:cs="Arial" w:eastAsia="Arial" w:hAnsi="Arial"/>
          <w:sz w:val="20"/>
          <w:szCs w:val="20"/>
          <w:color w:val="auto"/>
        </w:rPr>
        <w:t>Because of the range of potential competitors, many of Athira’s competitors, alone or with strategic partners, have greater access to financial resources, market presence, and resources and expertise in development, preclinical and clinical testing, manufacturing, commercialization, the regulatory approval process, or marketing and sales than Athira does. In addition, these same competitors, who may be in a clinical development stage, could also be competing with Athira for patient recruitment, clinical research organization, and operational resources. These entities also compete with Athira in the recruitment and retaining of qualified scientific and management personnel, as well as the acquisition of enabling or complementary technologies for advancing Athira’s product candidates across all competitors. Merger and acquisition activity in the biotechnology and biopharmaceutical industries may result in even more resources being concentrated among a smaller number of Athira’s competitors. Smaller or early-stage companies may also prove to be significant competitors, particularly through collaborative arrangements with large and established companies. Athira’s commercial opportunity could be substantially limited if its competitors develop and commercialize products that are more effective, safer, more convenient or less expensive than Athira’s comparable drug products. In geographies that are critical to Athira’s commercial success, competitors may also obtain regulatory approvals first, resulting in these competitors building a strong market position in advance of the entry of Athira’s drug candidates. In addition, Athira’s ability to compete may be affected in many cases by insurers or other third-party payors seeking to encourage the use of other treatments.</w:t>
      </w:r>
    </w:p>
    <w:p>
      <w:pPr>
        <w:spacing w:after="0" w:line="20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Specific to targeting HGF/MET, however, Athira is not aware of any direct competitors currently developing small molecules targeting the neurotrophic HGF system for ALS. Athira is aware of two companies developing HGF/MET-directed therapies for ALS, including VM202, a plasmid DNA encoding human HGF developed by Helixmith, and KP-100, a recombinant HGF protein developed by Kringle Pharma. Both assets have been investigated in Phase 2 clinical trials for ALS, where they were shown to be safe and well-tolerated but failed to reach statistical significance on efficacy endpoints.</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ATH-1105 has the potential to offer neuroprotective and anti-inflammatory effects by targeting the HGF/MET system. Athira’s preclinical data have demonstrated this multimodal approach may have positive benefits across several biological and clinical measures. While several potential direct competitors may exist, Athira has not yet identified any competitive asset that has demonstrated consistent and congruent positive effects offering neuroprotection, anti-inflammation, reduction in disease-specific protein pathologies, and neurotrophic and functional benefits.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2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Athira owns or has in-licensed numerous patents and patent applications and possesses substantial know-how and trade secrets relating to the development and commercialization of its drug candidates, including related manufacturing processes and technologies.</w:t>
      </w:r>
    </w:p>
    <w:p>
      <w:pPr>
        <w:spacing w:after="0" w:line="180"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As of December 31, 2024, the company’s patent portfolio includes its exclusively owned intellectual property, including issued patents and pending patent applications in the United States, issued patents and pending patent applications in jurisdictions outside of the United States, and a pending international patent application filed under the Patent Cooperation Treaty. The patents and patent applications issued and pending outside of the United States are counterparts to the foregoing United States patents and patent applications and are generally held in Argentina, Australia, Brazil, Canada, Chile, China, Eurasia, Europe, Hong Kong, India, Indonesia, Israel, Japan, Mexico, Malaysia, New Zealand, Philippines, Singapore, South Africa, South Korea, Taiwan, and Thailand. Athira’s owned patents and patent applications have claims directed to ATH-1105 and its other small molecule drug candidates, including ATH-1020 and fosgonimeton, as compositions of matter and methods of use thereof.</w:t>
      </w:r>
    </w:p>
    <w:p>
      <w:pPr>
        <w:spacing w:after="0" w:line="202"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United States Patent and Trademark Office, or USPTO, delay or the FDA regulatory review period (a patent term adjustment or patent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9360"/>
          </w:cols>
          <w:pgMar w:left="1440" w:top="1420" w:right="1440" w:bottom="175" w:gutter="0" w:footer="0" w:header="0"/>
          <w:type w:val="continuous"/>
        </w:sectPr>
      </w:pPr>
    </w:p>
    <w:bookmarkStart w:id="26" w:name="page27"/>
    <w:bookmarkEnd w:id="26"/>
    <w:p>
      <w:pPr>
        <w:jc w:val="both"/>
        <w:spacing w:after="0" w:line="244" w:lineRule="auto"/>
        <w:rPr>
          <w:sz w:val="20"/>
          <w:szCs w:val="20"/>
          <w:color w:val="auto"/>
        </w:rPr>
      </w:pPr>
      <w:r>
        <w:rPr>
          <w:rFonts w:ascii="Arial" w:cs="Arial" w:eastAsia="Arial" w:hAnsi="Arial"/>
          <w:sz w:val="20"/>
          <w:szCs w:val="20"/>
          <w:color w:val="auto"/>
        </w:rPr>
        <w:t>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Athira’s owned issued patents will expire on dates ranging from 2037 to 2042, exclusive of any patent term adjustment or patent term extension. If patents are issued on Athira’s owned pending non-provisional patent applications, the resulting patents are projected to expire on dates ranging from 2037 to 2043, exclusive of any patent term adjustment or patent term extension.</w:t>
      </w:r>
    </w:p>
    <w:p>
      <w:pPr>
        <w:spacing w:after="0" w:line="19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When appropriate, Athira seeks to protect aspects of its technology and business not amenable to, or that it does not consider appropriate for, patent protection as trade secrets. Athira seeks to protect this intellectual property, in part, as trade secrets, by entering into confidentiality agreements with those who have access to its confidential information, including employees, contractors, consultants, collaborators, and advisors. The company also seeks to preserve the integrity and confidentiality of its proprietary technology and processes by maintaining physical security of its premises and physical and electronic security of its information technology systems.</w:t>
      </w:r>
    </w:p>
    <w:p>
      <w:pPr>
        <w:spacing w:after="0" w:line="19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Athira seeks trademark protection in the United States and in certain other jurisdictions where available and when it deems appropriate. Athira’s trademark portfolio includes issued trademark registrations for Athira Pharma and other pending trademark applications in the United States and internationally.</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24"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Drug Development Process</w:t>
      </w:r>
    </w:p>
    <w:p>
      <w:pPr>
        <w:spacing w:after="0" w:line="11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9360"/>
          </w:cols>
          <w:pgMar w:left="1440" w:top="1420" w:right="1440" w:bottom="175" w:gutter="0" w:footer="0" w:header="0"/>
          <w:type w:val="continuous"/>
        </w:sectPr>
      </w:pPr>
    </w:p>
    <w:bookmarkStart w:id="27" w:name="page28"/>
    <w:bookmarkEnd w:id="27"/>
    <w:p>
      <w:pPr>
        <w:ind w:firstLine="490"/>
        <w:spacing w:after="0" w:line="282" w:lineRule="auto"/>
        <w:rPr>
          <w:sz w:val="20"/>
          <w:szCs w:val="20"/>
          <w:color w:val="auto"/>
        </w:rPr>
      </w:pPr>
      <w:r>
        <w:rPr>
          <w:rFonts w:ascii="Arial" w:cs="Arial" w:eastAsia="Arial" w:hAnsi="Arial"/>
          <w:sz w:val="20"/>
          <w:szCs w:val="20"/>
          <w:color w:val="auto"/>
        </w:rPr>
        <w:t>The process required by the FDA before a drug may be marketed in the United States generally involves the following:</w:t>
      </w:r>
    </w:p>
    <w:p>
      <w:pPr>
        <w:spacing w:after="0" w:line="53" w:lineRule="exact"/>
        <w:rPr>
          <w:sz w:val="20"/>
          <w:szCs w:val="20"/>
          <w:color w:val="auto"/>
        </w:rPr>
      </w:pPr>
    </w:p>
    <w:p>
      <w:pPr>
        <w:ind w:left="980" w:hanging="490"/>
        <w:spacing w:after="0" w:line="310" w:lineRule="auto"/>
        <w:tabs>
          <w:tab w:leader="none" w:pos="98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completion of nonclinical laboratory tests, animal studies, and formulation studies in accordance with FDA’s good laboratory practice, or GLP, requirements and other applicable regulations;</w:t>
      </w:r>
    </w:p>
    <w:p>
      <w:pPr>
        <w:spacing w:after="0" w:line="29" w:lineRule="exact"/>
        <w:rPr>
          <w:rFonts w:ascii="Arial" w:cs="Arial" w:eastAsia="Arial" w:hAnsi="Arial"/>
          <w:sz w:val="19"/>
          <w:szCs w:val="19"/>
          <w:color w:val="auto"/>
        </w:rPr>
      </w:pPr>
    </w:p>
    <w:p>
      <w:pPr>
        <w:ind w:left="980" w:hanging="490"/>
        <w:spacing w:after="0" w:line="282"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submission to the FDA of an IND, which must become effective before human clinical trials may begin;</w:t>
      </w:r>
    </w:p>
    <w:p>
      <w:pPr>
        <w:spacing w:after="0" w:line="52" w:lineRule="exact"/>
        <w:rPr>
          <w:rFonts w:ascii="Arial" w:cs="Arial" w:eastAsia="Arial" w:hAnsi="Arial"/>
          <w:sz w:val="20"/>
          <w:szCs w:val="20"/>
          <w:color w:val="auto"/>
        </w:rPr>
      </w:pPr>
    </w:p>
    <w:p>
      <w:pPr>
        <w:ind w:left="980" w:hanging="490"/>
        <w:spacing w:after="0" w:line="282"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approval by an independent institutional review board, or IRB, ethics committee, either centralized or with respect to each clinical site, before each clinical trial may be initiated;</w:t>
      </w:r>
    </w:p>
    <w:p>
      <w:pPr>
        <w:spacing w:after="0" w:line="52" w:lineRule="exact"/>
        <w:rPr>
          <w:rFonts w:ascii="Arial" w:cs="Arial" w:eastAsia="Arial" w:hAnsi="Arial"/>
          <w:sz w:val="20"/>
          <w:szCs w:val="20"/>
          <w:color w:val="auto"/>
        </w:rPr>
      </w:pPr>
    </w:p>
    <w:p>
      <w:pPr>
        <w:jc w:val="both"/>
        <w:ind w:left="980" w:hanging="490"/>
        <w:spacing w:after="0" w:line="261"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in accordance with good clinical practice, or GCP, requirements to establish the safety and efficacy of the proposed drug for its intended use;</w:t>
      </w:r>
    </w:p>
    <w:p>
      <w:pPr>
        <w:spacing w:after="0" w:line="73" w:lineRule="exact"/>
        <w:rPr>
          <w:rFonts w:ascii="Arial" w:cs="Arial" w:eastAsia="Arial" w:hAnsi="Arial"/>
          <w:sz w:val="20"/>
          <w:szCs w:val="20"/>
          <w:color w:val="auto"/>
        </w:rPr>
      </w:pPr>
    </w:p>
    <w:p>
      <w:pPr>
        <w:ind w:left="980" w:hanging="490"/>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submission to the FDA of a New Drug Application, or NDA, after completion of all pivotal trials;</w:t>
      </w:r>
    </w:p>
    <w:p>
      <w:pPr>
        <w:spacing w:after="0" w:line="133" w:lineRule="exact"/>
        <w:rPr>
          <w:rFonts w:ascii="Arial" w:cs="Arial" w:eastAsia="Arial" w:hAnsi="Arial"/>
          <w:sz w:val="20"/>
          <w:szCs w:val="20"/>
          <w:color w:val="auto"/>
        </w:rPr>
      </w:pPr>
    </w:p>
    <w:p>
      <w:pPr>
        <w:ind w:left="980" w:hanging="490"/>
        <w:spacing w:after="0" w:line="282"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determination by the FDA within 60 days of its receipt of an NDA to accept the filing for substantive review;</w:t>
      </w:r>
    </w:p>
    <w:p>
      <w:pPr>
        <w:spacing w:after="0" w:line="52" w:lineRule="exact"/>
        <w:rPr>
          <w:rFonts w:ascii="Arial" w:cs="Arial" w:eastAsia="Arial" w:hAnsi="Arial"/>
          <w:sz w:val="20"/>
          <w:szCs w:val="20"/>
          <w:color w:val="auto"/>
        </w:rPr>
      </w:pPr>
    </w:p>
    <w:p>
      <w:pPr>
        <w:ind w:left="980" w:hanging="490"/>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satisfactory completion of an FDA advisory committee review, if applicable;</w:t>
      </w:r>
    </w:p>
    <w:p>
      <w:pPr>
        <w:spacing w:after="0" w:line="122" w:lineRule="exact"/>
        <w:rPr>
          <w:rFonts w:ascii="Arial" w:cs="Arial" w:eastAsia="Arial" w:hAnsi="Arial"/>
          <w:sz w:val="20"/>
          <w:szCs w:val="20"/>
          <w:color w:val="auto"/>
        </w:rPr>
      </w:pPr>
    </w:p>
    <w:p>
      <w:pPr>
        <w:jc w:val="both"/>
        <w:ind w:left="980" w:hanging="490"/>
        <w:spacing w:after="0" w:line="237"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satisfactory completion of an FDA inspection of the manufacturing facility or facilities at which the drug is produced to assess compliance with current good manufacturing practice, or cGMP, requirements to ensure that the facilities, methods and controls are adequate to preserve the drug’s identity, strength, quality, and purity, and of selected clinical investigation sites to assess compliance with GCPs; and</w:t>
      </w:r>
    </w:p>
    <w:p>
      <w:pPr>
        <w:spacing w:after="0" w:line="80" w:lineRule="exact"/>
        <w:rPr>
          <w:rFonts w:ascii="Arial" w:cs="Arial" w:eastAsia="Arial" w:hAnsi="Arial"/>
          <w:sz w:val="20"/>
          <w:szCs w:val="20"/>
          <w:color w:val="auto"/>
        </w:rPr>
      </w:pPr>
    </w:p>
    <w:p>
      <w:pPr>
        <w:ind w:left="980" w:hanging="490"/>
        <w:spacing w:after="0" w:line="268"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FDA review and approval of the NDA to permit commercial marketing of the product for particular indications for use in the United States.</w:t>
      </w:r>
    </w:p>
    <w:p>
      <w:pPr>
        <w:spacing w:after="0" w:line="160" w:lineRule="exact"/>
        <w:rPr>
          <w:sz w:val="20"/>
          <w:szCs w:val="20"/>
          <w:color w:val="auto"/>
        </w:rPr>
      </w:pPr>
    </w:p>
    <w:p>
      <w:pPr>
        <w:jc w:val="both"/>
        <w:ind w:firstLine="490"/>
        <w:spacing w:after="0" w:line="230" w:lineRule="auto"/>
        <w:rPr>
          <w:sz w:val="20"/>
          <w:szCs w:val="20"/>
          <w:color w:val="auto"/>
        </w:rPr>
      </w:pPr>
      <w:r>
        <w:rPr>
          <w:rFonts w:ascii="Arial" w:cs="Arial" w:eastAsia="Arial" w:hAnsi="Arial"/>
          <w:sz w:val="20"/>
          <w:szCs w:val="20"/>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studies assessing the toxicology, pharmacology, and PK/PD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4" w:lineRule="exact"/>
        <w:rPr>
          <w:sz w:val="20"/>
          <w:szCs w:val="20"/>
          <w:color w:val="auto"/>
        </w:rPr>
      </w:pPr>
    </w:p>
    <w:p>
      <w:pPr>
        <w:jc w:val="both"/>
        <w:ind w:firstLine="490"/>
        <w:spacing w:after="0" w:line="229" w:lineRule="auto"/>
        <w:rPr>
          <w:sz w:val="20"/>
          <w:szCs w:val="20"/>
          <w:color w:val="auto"/>
        </w:rPr>
      </w:pPr>
      <w:r>
        <w:rPr>
          <w:rFonts w:ascii="Arial" w:cs="Arial" w:eastAsia="Arial" w:hAnsi="Arial"/>
          <w:sz w:val="20"/>
          <w:szCs w:val="20"/>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9360"/>
          </w:cols>
          <w:pgMar w:left="1440" w:top="1420" w:right="1440" w:bottom="175" w:gutter="0" w:footer="0" w:header="0"/>
          <w:type w:val="continuous"/>
        </w:sectPr>
      </w:pPr>
    </w:p>
    <w:bookmarkStart w:id="28" w:name="page29"/>
    <w:bookmarkEnd w:id="28"/>
    <w:p>
      <w:pPr>
        <w:ind w:firstLine="490"/>
        <w:spacing w:after="0" w:line="282" w:lineRule="auto"/>
        <w:rPr>
          <w:sz w:val="20"/>
          <w:szCs w:val="20"/>
          <w:color w:val="auto"/>
        </w:rPr>
      </w:pPr>
      <w:r>
        <w:rPr>
          <w:rFonts w:ascii="Arial" w:cs="Arial" w:eastAsia="Arial" w:hAnsi="Arial"/>
          <w:sz w:val="20"/>
          <w:szCs w:val="20"/>
          <w:color w:val="auto"/>
        </w:rPr>
        <w:t>Human clinical trials are typically conducted in three sequential phases that may overlap or be combined:</w:t>
      </w:r>
    </w:p>
    <w:p>
      <w:pPr>
        <w:spacing w:after="0" w:line="53" w:lineRule="exact"/>
        <w:rPr>
          <w:sz w:val="20"/>
          <w:szCs w:val="20"/>
          <w:color w:val="auto"/>
        </w:rPr>
      </w:pPr>
    </w:p>
    <w:p>
      <w:pPr>
        <w:jc w:val="both"/>
        <w:ind w:left="980" w:hanging="490"/>
        <w:spacing w:after="0" w:line="247" w:lineRule="auto"/>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Phase 1</w:t>
      </w:r>
      <w:r>
        <w:rPr>
          <w:rFonts w:ascii="Arial" w:cs="Arial" w:eastAsia="Arial" w:hAnsi="Arial"/>
          <w:sz w:val="20"/>
          <w:szCs w:val="20"/>
          <w:color w:val="auto"/>
        </w:rPr>
        <w:t>: The product candidate is initially introduced into healthy human subjects or patients</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20"/>
          <w:szCs w:val="20"/>
          <w:color w:val="auto"/>
        </w:rPr>
      </w:pPr>
    </w:p>
    <w:p>
      <w:pPr>
        <w:jc w:val="both"/>
        <w:ind w:left="980" w:hanging="490"/>
        <w:spacing w:after="0" w:line="250" w:lineRule="auto"/>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Phase 2</w:t>
      </w:r>
      <w:r>
        <w:rPr>
          <w:rFonts w:ascii="Arial" w:cs="Arial" w:eastAsia="Arial" w:hAnsi="Arial"/>
          <w:sz w:val="20"/>
          <w:szCs w:val="20"/>
          <w:color w:val="auto"/>
        </w:rPr>
        <w:t>: The product candidate is administered to a limited patient population with a specified</w:t>
      </w:r>
      <w:r>
        <w:rPr>
          <w:rFonts w:ascii="Arial" w:cs="Arial" w:eastAsia="Arial" w:hAnsi="Arial"/>
          <w:sz w:val="20"/>
          <w:szCs w:val="20"/>
          <w:i w:val="1"/>
          <w:iCs w:val="1"/>
          <w:color w:val="auto"/>
        </w:rPr>
        <w:t xml:space="preserve"> </w:t>
      </w:r>
      <w:r>
        <w:rPr>
          <w:rFonts w:ascii="Arial" w:cs="Arial" w:eastAsia="Arial" w:hAnsi="Arial"/>
          <w:sz w:val="20"/>
          <w:szCs w:val="20"/>
          <w:color w:val="auto"/>
        </w:rPr>
        <w:t>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5" w:lineRule="exact"/>
        <w:rPr>
          <w:rFonts w:ascii="Arial" w:cs="Arial" w:eastAsia="Arial" w:hAnsi="Arial"/>
          <w:sz w:val="20"/>
          <w:szCs w:val="20"/>
          <w:color w:val="auto"/>
        </w:rPr>
      </w:pPr>
    </w:p>
    <w:p>
      <w:pPr>
        <w:jc w:val="both"/>
        <w:ind w:left="980" w:hanging="490"/>
        <w:spacing w:after="0" w:line="250" w:lineRule="auto"/>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Phase 3</w:t>
      </w:r>
      <w:r>
        <w:rPr>
          <w:rFonts w:ascii="Arial" w:cs="Arial" w:eastAsia="Arial" w:hAnsi="Arial"/>
          <w:sz w:val="20"/>
          <w:szCs w:val="20"/>
          <w:color w:val="auto"/>
        </w:rPr>
        <w:t>: The product candidate is administered to an expanded patient population to further</w:t>
      </w:r>
      <w:r>
        <w:rPr>
          <w:rFonts w:ascii="Arial" w:cs="Arial" w:eastAsia="Arial" w:hAnsi="Arial"/>
          <w:sz w:val="20"/>
          <w:szCs w:val="20"/>
          <w:i w:val="1"/>
          <w:iCs w:val="1"/>
          <w:color w:val="auto"/>
        </w:rPr>
        <w:t xml:space="preserve"> </w:t>
      </w:r>
      <w:r>
        <w:rPr>
          <w:rFonts w:ascii="Arial" w:cs="Arial" w:eastAsia="Arial" w:hAnsi="Arial"/>
          <w:sz w:val="20"/>
          <w:szCs w:val="20"/>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8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9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9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94"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9360"/>
          </w:cols>
          <w:pgMar w:left="1440" w:top="1420" w:right="1440" w:bottom="175" w:gutter="0" w:footer="0" w:header="0"/>
          <w:type w:val="continuous"/>
        </w:sectPr>
      </w:pPr>
    </w:p>
    <w:bookmarkStart w:id="29" w:name="page30"/>
    <w:bookmarkEnd w:id="29"/>
    <w:p>
      <w:pPr>
        <w:jc w:val="both"/>
        <w:spacing w:after="0" w:line="254" w:lineRule="auto"/>
        <w:rPr>
          <w:sz w:val="20"/>
          <w:szCs w:val="20"/>
          <w:color w:val="auto"/>
        </w:rPr>
      </w:pPr>
      <w:r>
        <w:rPr>
          <w:rFonts w:ascii="Arial" w:cs="Arial" w:eastAsia="Arial" w:hAnsi="Arial"/>
          <w:sz w:val="20"/>
          <w:szCs w:val="20"/>
          <w:color w:val="auto"/>
        </w:rPr>
        <w:t xml:space="preserve">unexpected suspected adverse events, findings from other studies suggesting a significant risk to humans exposed to the same or similar drugs, findings from animal or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NDA Review and Approval Process</w:t>
      </w:r>
    </w:p>
    <w:p>
      <w:pPr>
        <w:spacing w:after="0" w:line="116"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0"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9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9360"/>
          </w:cols>
          <w:pgMar w:left="1440" w:top="1420" w:right="1440" w:bottom="175" w:gutter="0" w:footer="0" w:header="0"/>
          <w:type w:val="continuous"/>
        </w:sectPr>
      </w:pPr>
    </w:p>
    <w:bookmarkStart w:id="30" w:name="page31"/>
    <w:bookmarkEnd w:id="30"/>
    <w:p>
      <w:pPr>
        <w:jc w:val="both"/>
        <w:ind w:firstLine="490"/>
        <w:spacing w:after="0" w:line="256" w:lineRule="auto"/>
        <w:rPr>
          <w:sz w:val="20"/>
          <w:szCs w:val="20"/>
          <w:color w:val="auto"/>
        </w:rPr>
      </w:pPr>
      <w:r>
        <w:rPr>
          <w:rFonts w:ascii="Arial" w:cs="Arial" w:eastAsia="Arial" w:hAnsi="Arial"/>
          <w:sz w:val="19"/>
          <w:szCs w:val="19"/>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91"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In addition, the FDA and other regulatory authorities may change their policies, issue additional regulations or revise existing regulations, any of which could delay Athira’s ability to obtain approvals, increase the costs of compliance or restrict the company’s ability to maintain any regulatory approvals it may have obtained. In June 2024, the U.S. Supreme Court overruled the Chevron doctrine, which gives deference to federal agencies' statutory interpretations in litigation against the agencies where the law is ambiguous. This Supreme Court decision may invite various stakeholders to bring lawsuits against the FDA or other federal agencies to challenge longstanding decisions and policies, including FDA's statutory interpretations of market exclusivities and the "substantial evidence" requirements for drug approvals, which could undermine the FDA's authority, lead to uncertainties in the industry, and disrupt the agency's normal operations. Athira cannot predict the full impact of this decision on the company or the pharmaceutical industry in general. Further, changes in the leadership of the FDA and other federal agencies under the new Trump administration can result in further changes in the funding, operations, and policies of the federal agencies, which may impact Athira’s clinical development plans and timelines.</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Expedited Development and Review Programs</w:t>
      </w:r>
    </w:p>
    <w:p>
      <w:pPr>
        <w:spacing w:after="0" w:line="11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4"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97"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2240" w:h="15840" w:orient="portrait"/>
          <w:cols w:equalWidth="0" w:num="1">
            <w:col w:w="9360"/>
          </w:cols>
          <w:pgMar w:left="1440" w:top="1420" w:right="1440" w:bottom="175" w:gutter="0" w:footer="0" w:header="0"/>
          <w:type w:val="continuous"/>
        </w:sectPr>
      </w:pPr>
    </w:p>
    <w:bookmarkStart w:id="31" w:name="page32"/>
    <w:bookmarkEnd w:id="31"/>
    <w:p>
      <w:pPr>
        <w:jc w:val="both"/>
        <w:spacing w:after="0" w:line="248" w:lineRule="auto"/>
        <w:rPr>
          <w:sz w:val="20"/>
          <w:szCs w:val="20"/>
          <w:color w:val="auto"/>
        </w:rPr>
      </w:pPr>
      <w:r>
        <w:rPr>
          <w:rFonts w:ascii="Arial" w:cs="Arial" w:eastAsia="Arial" w:hAnsi="Arial"/>
          <w:sz w:val="20"/>
          <w:szCs w:val="20"/>
          <w:color w:val="auto"/>
        </w:rPr>
        <w:t>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9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98"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drug product candidates as appropriate.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116"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7"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9360"/>
          </w:cols>
          <w:pgMar w:left="1440" w:top="1420" w:right="1440" w:bottom="175" w:gutter="0" w:footer="0" w:header="0"/>
          <w:type w:val="continuous"/>
        </w:sectPr>
      </w:pPr>
    </w:p>
    <w:bookmarkStart w:id="32" w:name="page33"/>
    <w:bookmarkEnd w:id="32"/>
    <w:p>
      <w:pPr>
        <w:spacing w:after="0" w:line="282" w:lineRule="auto"/>
        <w:rPr>
          <w:sz w:val="20"/>
          <w:szCs w:val="20"/>
          <w:color w:val="auto"/>
        </w:rPr>
      </w:pPr>
      <w:r>
        <w:rPr>
          <w:rFonts w:ascii="Arial" w:cs="Arial" w:eastAsia="Arial" w:hAnsi="Arial"/>
          <w:sz w:val="20"/>
          <w:szCs w:val="20"/>
          <w:color w:val="auto"/>
        </w:rPr>
        <w:t>assess new safety risks; or imposition of distribution restrictions or other restrictions under a REMS program. Other potential consequences include, among other things:</w:t>
      </w:r>
    </w:p>
    <w:p>
      <w:pPr>
        <w:spacing w:after="0" w:line="53" w:lineRule="exact"/>
        <w:rPr>
          <w:sz w:val="20"/>
          <w:szCs w:val="20"/>
          <w:color w:val="auto"/>
        </w:rPr>
      </w:pPr>
    </w:p>
    <w:p>
      <w:pPr>
        <w:ind w:left="980" w:hanging="490"/>
        <w:spacing w:after="0" w:line="282" w:lineRule="auto"/>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complete withdrawal of the product from the market or product recalls;</w:t>
      </w:r>
    </w:p>
    <w:p>
      <w:pPr>
        <w:spacing w:after="0" w:line="52"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fines, warning letters, or untitled letters;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clinical holds on post-approval or Phase IV clinical studies, if applicable;</w:t>
      </w:r>
    </w:p>
    <w:p>
      <w:pPr>
        <w:spacing w:after="0" w:line="133" w:lineRule="exact"/>
        <w:rPr>
          <w:rFonts w:ascii="Arial" w:cs="Arial" w:eastAsia="Arial" w:hAnsi="Arial"/>
          <w:sz w:val="20"/>
          <w:szCs w:val="20"/>
          <w:color w:val="auto"/>
        </w:rPr>
      </w:pPr>
    </w:p>
    <w:p>
      <w:pPr>
        <w:ind w:left="980" w:hanging="490"/>
        <w:spacing w:after="0" w:line="282" w:lineRule="auto"/>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refusal of the FDA to approve pending applications or supplements to approved applications, or suspension or revocation of product license approvals;</w:t>
      </w:r>
    </w:p>
    <w:p>
      <w:pPr>
        <w:spacing w:after="0" w:line="52"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drug product seizure or detention, or refusal to permit the import or export of products;</w:t>
      </w:r>
    </w:p>
    <w:p>
      <w:pPr>
        <w:spacing w:after="0" w:line="133" w:lineRule="exact"/>
        <w:rPr>
          <w:rFonts w:ascii="Arial" w:cs="Arial" w:eastAsia="Arial" w:hAnsi="Arial"/>
          <w:sz w:val="20"/>
          <w:szCs w:val="20"/>
          <w:color w:val="auto"/>
        </w:rPr>
      </w:pPr>
    </w:p>
    <w:p>
      <w:pPr>
        <w:ind w:left="980" w:hanging="490"/>
        <w:spacing w:after="0" w:line="282" w:lineRule="auto"/>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consent decrees, corporate integrity agreements, debarment, or exclusion from federal healthcare programs;</w:t>
      </w:r>
    </w:p>
    <w:p>
      <w:pPr>
        <w:spacing w:after="0" w:line="52" w:lineRule="exact"/>
        <w:rPr>
          <w:rFonts w:ascii="Arial" w:cs="Arial" w:eastAsia="Arial" w:hAnsi="Arial"/>
          <w:sz w:val="20"/>
          <w:szCs w:val="20"/>
          <w:color w:val="auto"/>
        </w:rPr>
      </w:pPr>
    </w:p>
    <w:p>
      <w:pPr>
        <w:ind w:left="980" w:hanging="490"/>
        <w:spacing w:after="0" w:line="282" w:lineRule="auto"/>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mandated modification of promotional materials and labeling and the issuance of corrective information;</w:t>
      </w:r>
    </w:p>
    <w:p>
      <w:pPr>
        <w:spacing w:after="0" w:line="52" w:lineRule="exact"/>
        <w:rPr>
          <w:rFonts w:ascii="Arial" w:cs="Arial" w:eastAsia="Arial" w:hAnsi="Arial"/>
          <w:sz w:val="20"/>
          <w:szCs w:val="20"/>
          <w:color w:val="auto"/>
        </w:rPr>
      </w:pPr>
    </w:p>
    <w:p>
      <w:pPr>
        <w:ind w:left="980" w:hanging="490"/>
        <w:spacing w:after="0" w:line="282" w:lineRule="auto"/>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issuance of safety alerts, Dear Healthcare Provider letters, press releases, and other communications containing warnings or other safety information about the product; or</w:t>
      </w:r>
    </w:p>
    <w:p>
      <w:pPr>
        <w:spacing w:after="0" w:line="52" w:lineRule="exact"/>
        <w:rPr>
          <w:rFonts w:ascii="Arial" w:cs="Arial" w:eastAsia="Arial" w:hAnsi="Arial"/>
          <w:sz w:val="20"/>
          <w:szCs w:val="20"/>
          <w:color w:val="auto"/>
        </w:rPr>
      </w:pPr>
    </w:p>
    <w:p>
      <w:pPr>
        <w:ind w:left="980" w:hanging="490"/>
        <w:spacing w:after="0"/>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40"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Orange Book Listing</w:t>
      </w:r>
    </w:p>
    <w:p>
      <w:pPr>
        <w:spacing w:after="0" w:line="108"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color w:val="auto"/>
        </w:rPr>
        <w:t>In seeking approval of an NDA or a supplement thereto, NDA applicants are required to list with the FDA each patent with claims that cover the applicant’s product or an approved method of using the product. Upon FDA approval, each of the patents listed by the NDA applicant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95" w:lineRule="exact"/>
        <w:rPr>
          <w:sz w:val="20"/>
          <w:szCs w:val="20"/>
          <w:color w:val="auto"/>
        </w:rPr>
      </w:pPr>
    </w:p>
    <w:p>
      <w:pPr>
        <w:ind w:left="980" w:hanging="491"/>
        <w:spacing w:after="0" w:line="282"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 patent information on the drug product that is the subject of the application has been submitted to the FDA;</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such patent has expired;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date on which such patent expires; or</w:t>
      </w:r>
    </w:p>
    <w:p>
      <w:pPr>
        <w:spacing w:after="0" w:line="133" w:lineRule="exact"/>
        <w:rPr>
          <w:rFonts w:ascii="Arial" w:cs="Arial" w:eastAsia="Arial" w:hAnsi="Arial"/>
          <w:sz w:val="20"/>
          <w:szCs w:val="20"/>
          <w:color w:val="auto"/>
        </w:rPr>
      </w:pPr>
    </w:p>
    <w:p>
      <w:pPr>
        <w:ind w:left="980" w:right="160" w:hanging="491"/>
        <w:spacing w:after="0" w:line="282"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such patent is invalid, unenforceable or will not be infringed upon by the manufacture, use, or sale of the drug product for which the application is submitted.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9360"/>
          </w:cols>
          <w:pgMar w:left="1440" w:top="1420" w:right="1440" w:bottom="175" w:gutter="0" w:footer="0" w:header="0"/>
          <w:type w:val="continuous"/>
        </w:sectPr>
      </w:pPr>
    </w:p>
    <w:bookmarkStart w:id="33" w:name="page34"/>
    <w:bookmarkEnd w:id="33"/>
    <w:p>
      <w:pPr>
        <w:jc w:val="both"/>
        <w:ind w:firstLine="490"/>
        <w:spacing w:after="0" w:line="232" w:lineRule="auto"/>
        <w:rPr>
          <w:sz w:val="20"/>
          <w:szCs w:val="20"/>
          <w:color w:val="auto"/>
        </w:rPr>
      </w:pPr>
      <w:r>
        <w:rPr>
          <w:rFonts w:ascii="Arial" w:cs="Arial" w:eastAsia="Arial" w:hAnsi="Arial"/>
          <w:sz w:val="20"/>
          <w:szCs w:val="20"/>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Exclusivity</w:t>
      </w:r>
    </w:p>
    <w:p>
      <w:pPr>
        <w:spacing w:after="0" w:line="108"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7"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ectPr>
          <w:pgSz w:w="12240" w:h="15840" w:orient="portrait"/>
          <w:cols w:equalWidth="0" w:num="1">
            <w:col w:w="9360"/>
          </w:cols>
          <w:pgMar w:left="1440" w:top="141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2240" w:h="15840" w:orient="portrait"/>
          <w:cols w:equalWidth="0" w:num="1">
            <w:col w:w="9360"/>
          </w:cols>
          <w:pgMar w:left="1440" w:top="1412" w:right="1440" w:bottom="175" w:gutter="0" w:footer="0" w:header="0"/>
          <w:type w:val="continuous"/>
        </w:sectPr>
      </w:pPr>
    </w:p>
    <w:bookmarkStart w:id="34" w:name="page35"/>
    <w:bookmarkEnd w:id="34"/>
    <w:p>
      <w:pPr>
        <w:jc w:val="both"/>
        <w:ind w:firstLine="490"/>
        <w:spacing w:after="0" w:line="238" w:lineRule="auto"/>
        <w:rPr>
          <w:sz w:val="20"/>
          <w:szCs w:val="20"/>
          <w:color w:val="auto"/>
        </w:rPr>
      </w:pPr>
      <w:r>
        <w:rPr>
          <w:rFonts w:ascii="Arial" w:cs="Arial" w:eastAsia="Arial" w:hAnsi="Arial"/>
          <w:sz w:val="20"/>
          <w:szCs w:val="20"/>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Healthcare Laws</w:t>
      </w:r>
    </w:p>
    <w:p>
      <w:pPr>
        <w:spacing w:after="0" w:line="106" w:lineRule="exact"/>
        <w:rPr>
          <w:sz w:val="20"/>
          <w:szCs w:val="20"/>
          <w:color w:val="auto"/>
        </w:rPr>
      </w:pPr>
    </w:p>
    <w:p>
      <w:pPr>
        <w:jc w:val="both"/>
        <w:ind w:firstLine="490"/>
        <w:spacing w:after="0" w:line="232" w:lineRule="auto"/>
        <w:rPr>
          <w:sz w:val="20"/>
          <w:szCs w:val="20"/>
          <w:color w:val="auto"/>
        </w:rPr>
      </w:pPr>
      <w:r>
        <w:rPr>
          <w:rFonts w:ascii="Arial" w:cs="Arial" w:eastAsia="Arial" w:hAnsi="Arial"/>
          <w:sz w:val="20"/>
          <w:szCs w:val="20"/>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or HIPAA, thus complicating compliance efforts.</w:t>
      </w:r>
    </w:p>
    <w:p>
      <w:pPr>
        <w:spacing w:after="0" w:line="210"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Coverage and Reimbursement</w:t>
      </w:r>
    </w:p>
    <w:p>
      <w:pPr>
        <w:spacing w:after="0" w:line="116"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w:t>
      </w:r>
    </w:p>
    <w:p>
      <w:pPr>
        <w:sectPr>
          <w:pgSz w:w="12240" w:h="15840" w:orient="portrait"/>
          <w:cols w:equalWidth="0" w:num="1">
            <w:col w:w="9360"/>
          </w:cols>
          <w:pgMar w:left="1440" w:top="141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2240" w:h="15840" w:orient="portrait"/>
          <w:cols w:equalWidth="0" w:num="1">
            <w:col w:w="9360"/>
          </w:cols>
          <w:pgMar w:left="1440" w:top="1412" w:right="1440" w:bottom="175" w:gutter="0" w:footer="0" w:header="0"/>
          <w:type w:val="continuous"/>
        </w:sectPr>
      </w:pPr>
    </w:p>
    <w:bookmarkStart w:id="35" w:name="page36"/>
    <w:bookmarkEnd w:id="35"/>
    <w:p>
      <w:pPr>
        <w:jc w:val="both"/>
        <w:spacing w:after="0" w:line="282" w:lineRule="auto"/>
        <w:rPr>
          <w:sz w:val="20"/>
          <w:szCs w:val="20"/>
          <w:color w:val="auto"/>
        </w:rPr>
      </w:pPr>
      <w:r>
        <w:rPr>
          <w:rFonts w:ascii="Arial" w:cs="Arial" w:eastAsia="Arial" w:hAnsi="Arial"/>
          <w:sz w:val="20"/>
          <w:szCs w:val="20"/>
          <w:color w:val="auto"/>
        </w:rPr>
        <w:t>consuming process, with no assurance that coverage and adequate reimbursement will be applied consistently or obtained in the first instance.</w:t>
      </w:r>
    </w:p>
    <w:p>
      <w:pPr>
        <w:spacing w:after="0" w:line="160"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Healthcare Reform</w:t>
      </w:r>
    </w:p>
    <w:p>
      <w:pPr>
        <w:spacing w:after="0" w:line="116"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new Trump administration will impact the ACA, Athira’s business, financial condition and results of operations.</w:t>
      </w:r>
    </w:p>
    <w:p>
      <w:pPr>
        <w:spacing w:after="0" w:line="19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2032 with the exception of a temporary suspension implemented under various novel coronavirus disease, or COVID-19, relief legislation.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9360"/>
          </w:cols>
          <w:pgMar w:left="1440" w:top="1420" w:right="1440" w:bottom="175" w:gutter="0" w:footer="0" w:header="0"/>
          <w:type w:val="continuous"/>
        </w:sectPr>
      </w:pPr>
    </w:p>
    <w:bookmarkStart w:id="36" w:name="page37"/>
    <w:bookmarkEnd w:id="36"/>
    <w:p>
      <w:pPr>
        <w:jc w:val="both"/>
        <w:spacing w:after="0" w:line="242" w:lineRule="auto"/>
        <w:rPr>
          <w:sz w:val="20"/>
          <w:szCs w:val="20"/>
          <w:color w:val="auto"/>
        </w:rPr>
      </w:pPr>
      <w:r>
        <w:rPr>
          <w:rFonts w:ascii="Arial" w:cs="Arial" w:eastAsia="Arial" w:hAnsi="Arial"/>
          <w:sz w:val="20"/>
          <w:szCs w:val="20"/>
          <w:color w:val="auto"/>
        </w:rPr>
        <w:t>programs, and to reform government program reimbursement methodologies for pharmaceutical products. For example, effective January 1, 2024,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Athira’s business. In August 2022, Congress passed the Inflation Reduction Act of 2022, or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CMS has published the negotiated maximum fair prices for the first ten drugs covered under Medicare Part D, which will go into effect on January 1, 2026. The second cycle of negotiations will occur in 2025, with the negotiated prices going into effect in 2027.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new Trump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198"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FDA has authorized the state of Florida to develop Section 804 Importation Programs to import certain prescription drugs from Canada for a limited period of time to help reduce drug costs, provided that Florida’s Agency for Health Care Administration meets the requirements set forth by the FDA. Other states may follow Florida. We expect that additional state and federal healthcare reform measures will be adopted in the future. The implementation of cost containment measures or other healthcare reforms may prevent us from being able to generate revenue, attain profitability or commercialize our drug candidates. Complying with any new legislation and regulatory changes could be time-intensive and expensive, resulting in a material adverse effect on our business.</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12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As of December 31, 2024, we had 26 employees, all of whom were full-time and 15 of whom were engaged in research and development activities. Twelve of our employees hold Ph.D. or M.D. degrees. None of our employees is represented by a labor union or covered under a collective bargaining agreement. We consider our relationship with our employees to be good.</w:t>
      </w:r>
    </w:p>
    <w:p>
      <w:pPr>
        <w:spacing w:after="0" w:line="18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9360"/>
          </w:cols>
          <w:pgMar w:left="1440" w:top="1420" w:right="1440" w:bottom="175"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Corporate Information</w:t>
      </w:r>
    </w:p>
    <w:p>
      <w:pPr>
        <w:spacing w:after="0" w:line="12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report, and the inclusion of our website address in this report is an inactive textual reference only.</w:t>
      </w:r>
    </w:p>
    <w:p>
      <w:pPr>
        <w:spacing w:after="0" w:line="19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make available on or through our website certain reports and amendments to those reports that we file with or furnish to the Securities and Exchange Commission, or SEC, in accordance with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2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0F0F0F"/>
        </w:rPr>
        <w:t xml:space="preserve">You should carefully consider the </w:t>
      </w:r>
      <w:r>
        <w:rPr>
          <w:rFonts w:ascii="Arial" w:cs="Arial" w:eastAsia="Arial" w:hAnsi="Arial"/>
          <w:sz w:val="20"/>
          <w:szCs w:val="20"/>
          <w:i w:val="1"/>
          <w:iCs w:val="1"/>
          <w:color w:val="0F0F0F"/>
        </w:rPr>
        <w:t>following risk factors, in addition to</w:t>
      </w:r>
      <w:r>
        <w:rPr>
          <w:rFonts w:ascii="Arial" w:cs="Arial" w:eastAsia="Arial" w:hAnsi="Arial"/>
          <w:sz w:val="20"/>
          <w:szCs w:val="20"/>
          <w:color w:val="0F0F0F"/>
        </w:rPr>
        <w:t xml:space="preserve"> the other information </w:t>
      </w:r>
      <w:r>
        <w:rPr>
          <w:rFonts w:ascii="Arial" w:cs="Arial" w:eastAsia="Arial" w:hAnsi="Arial"/>
          <w:sz w:val="20"/>
          <w:szCs w:val="20"/>
          <w:i w:val="1"/>
          <w:iCs w:val="1"/>
          <w:color w:val="0F0F0F"/>
        </w:rPr>
        <w:t>contained</w:t>
      </w:r>
      <w:r>
        <w:rPr>
          <w:rFonts w:ascii="Arial" w:cs="Arial" w:eastAsia="Arial" w:hAnsi="Arial"/>
          <w:sz w:val="20"/>
          <w:szCs w:val="20"/>
          <w:color w:val="0F0F0F"/>
        </w:rPr>
        <w:t xml:space="preserve"> </w:t>
      </w:r>
      <w:r>
        <w:rPr>
          <w:rFonts w:ascii="Arial" w:cs="Arial" w:eastAsia="Arial" w:hAnsi="Arial"/>
          <w:sz w:val="20"/>
          <w:szCs w:val="20"/>
          <w:i w:val="1"/>
          <w:iCs w:val="1"/>
          <w:color w:val="0F0F0F"/>
        </w:rPr>
        <w:t>in this report</w:t>
      </w:r>
      <w:r>
        <w:rPr>
          <w:rFonts w:ascii="Arial" w:cs="Arial" w:eastAsia="Arial" w:hAnsi="Arial"/>
          <w:sz w:val="20"/>
          <w:szCs w:val="20"/>
          <w:color w:val="0F0F0F"/>
        </w:rPr>
        <w:t>,</w:t>
      </w:r>
      <w:r>
        <w:rPr>
          <w:rFonts w:ascii="Arial" w:cs="Arial" w:eastAsia="Arial" w:hAnsi="Arial"/>
          <w:sz w:val="20"/>
          <w:szCs w:val="20"/>
          <w:i w:val="1"/>
          <w:iCs w:val="1"/>
          <w:color w:val="0F0F0F"/>
        </w:rPr>
        <w:t xml:space="preserve"> including the “Management’s Discussion and Analysis of Financial Condition and Results of Operations” section and our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cs="Arial" w:eastAsia="Arial" w:hAnsi="Arial"/>
          <w:sz w:val="20"/>
          <w:szCs w:val="20"/>
          <w:i w:val="1"/>
          <w:iCs w:val="1"/>
          <w:color w:val="000000"/>
        </w:rPr>
        <w:t>Our Risk Factors are not guarantees that no such conditions exist as of the date of this report</w:t>
      </w:r>
      <w:r>
        <w:rPr>
          <w:rFonts w:ascii="Arial" w:cs="Arial" w:eastAsia="Arial" w:hAnsi="Arial"/>
          <w:sz w:val="20"/>
          <w:szCs w:val="20"/>
          <w:i w:val="1"/>
          <w:iCs w:val="1"/>
          <w:color w:val="0F0F0F"/>
        </w:rPr>
        <w:t xml:space="preserve"> </w:t>
      </w:r>
      <w:r>
        <w:rPr>
          <w:rFonts w:ascii="Arial" w:cs="Arial" w:eastAsia="Arial" w:hAnsi="Arial"/>
          <w:sz w:val="20"/>
          <w:szCs w:val="20"/>
          <w:i w:val="1"/>
          <w:iCs w:val="1"/>
          <w:color w:val="000000"/>
        </w:rPr>
        <w:t>and should not be interpreted as an affirmative statement that such risks or conditions have not materialized, in whole or in part.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the Development of Our Drug Candidates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We are a clinical-stage biopharmaceutical company with a limited operating history.</w:t>
      </w:r>
    </w:p>
    <w:p>
      <w:pPr>
        <w:spacing w:after="0" w:line="116"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We are a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82"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We are currently focusing our efforts primarily on the development of ATH-1105 and we may fail to or be unable to design and execute clinical trials to support marketing approval of ATH-1105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2240" w:h="15840" w:orient="portrait"/>
          <w:cols w:equalWidth="0" w:num="1">
            <w:col w:w="9360"/>
          </w:cols>
          <w:pgMar w:left="1440" w:top="1416" w:right="1440" w:bottom="175" w:gutter="0" w:footer="0" w:header="0"/>
          <w:type w:val="continuous"/>
        </w:sectPr>
      </w:pPr>
    </w:p>
    <w:bookmarkStart w:id="38" w:name="page39"/>
    <w:bookmarkEnd w:id="38"/>
    <w:p>
      <w:pPr>
        <w:jc w:val="both"/>
        <w:spacing w:after="0" w:line="282" w:lineRule="auto"/>
        <w:rPr>
          <w:sz w:val="20"/>
          <w:szCs w:val="20"/>
          <w:color w:val="auto"/>
        </w:rPr>
      </w:pPr>
      <w:r>
        <w:rPr>
          <w:rFonts w:ascii="Arial" w:cs="Arial" w:eastAsia="Arial" w:hAnsi="Arial"/>
          <w:sz w:val="20"/>
          <w:szCs w:val="20"/>
          <w:color w:val="auto"/>
        </w:rPr>
        <w:t>approval is secured for any of our drug candidates, the terms of such approval may limit the scope and use of our drug candidate, which may also limit its commercial potential.</w:t>
      </w:r>
    </w:p>
    <w:p>
      <w:pPr>
        <w:spacing w:after="0" w:line="284"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9"/>
          <w:szCs w:val="19"/>
          <w:b w:val="1"/>
          <w:bCs w:val="1"/>
          <w:i w:val="1"/>
          <w:iCs w:val="1"/>
          <w:color w:val="auto"/>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spacing w:after="0" w:line="38"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We have discovered and are developing a pipeline of small molecule drug candidates to treat neurodegenerative diseases.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spacing w:after="0" w:line="19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modified intent to treat, or mITT, population treated with fosgonimeton 40 mg once daily saw improvement in ADAS-Cog13 individually, and collectively improved compared with placebo (n=7 mITT, one-sided p=0.0321). Results for patients in the 70 mg dose group were inconsistent.</w:t>
      </w:r>
    </w:p>
    <w:p>
      <w:pPr>
        <w:spacing w:after="0" w:line="20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topline data from our Phase 2/3 LIFT-AD clinical trial of fosgonimeton in AD showed that neither the trial’s primary endpoint (the Global Statistical Test, or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spacing w:after="0" w:line="198"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Following the readout of topline data from LIFT-AD, in September 2024 we announced our intention to focus on advancing the clinical development program for ATH-1105 as a potential treatment for ALS. We completed our first-in-human Phase 1 clinical trial in healthy volunteers evaluating the safety and tolerability of ATH-1105, in November 2024. The results of the Phase 1 clinical trial showed that ATH-1105 demonstrated a favorable safety profile and was well-tolerated in healthy volunteers, supporting continued clinical development.</w:t>
      </w:r>
    </w:p>
    <w:p>
      <w:pPr>
        <w:spacing w:after="0" w:line="194"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auto"/>
        </w:rPr>
        <w:t>We have limited evidence regarding the efficacy, safety and tolerability of ATH-1105 and other small molecules in our drug product pipeline. We or a future partner may ultimately determine that ATH-1105, or any of our other small molecules, does not possess certain properties required for therapeutic effectiveness.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2240" w:h="15840" w:orient="portrait"/>
          <w:cols w:equalWidth="0" w:num="1">
            <w:col w:w="9360"/>
          </w:cols>
          <w:pgMar w:left="1440" w:top="1420" w:right="1440" w:bottom="175" w:gutter="0" w:footer="0" w:header="0"/>
          <w:type w:val="continuous"/>
        </w:sectPr>
      </w:pPr>
    </w:p>
    <w:bookmarkStart w:id="39" w:name="page40"/>
    <w:bookmarkEnd w:id="39"/>
    <w:p>
      <w:pPr>
        <w:jc w:val="both"/>
        <w:spacing w:after="0" w:line="282" w:lineRule="auto"/>
        <w:rPr>
          <w:sz w:val="20"/>
          <w:szCs w:val="20"/>
          <w:color w:val="auto"/>
        </w:rPr>
      </w:pPr>
      <w:r>
        <w:rPr>
          <w:rFonts w:ascii="Arial" w:cs="Arial" w:eastAsia="Arial" w:hAnsi="Arial"/>
          <w:sz w:val="20"/>
          <w:szCs w:val="20"/>
          <w:color w:val="auto"/>
        </w:rPr>
        <w:t>We or a future partner may spend substantial funds attempting to develop these drug candidates and never succeed in doing so.</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Our development of ATH-1105 may never lead to a marketable product.</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are developing ATH-1105 as a small molecule aimed at restoring neuronal health. We have not received regulatory approval for ATH-1105 and cannot be certain that our approach will lead to the development of an approvable or marketable product, alone or in combination with other therapies.</w:t>
      </w:r>
    </w:p>
    <w:p>
      <w:pPr>
        <w:spacing w:after="0" w:line="18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Advancing ATH-1105 as a small molecule aimed at restoring neuronal health creates significant challenges for us or a future partner, including:</w:t>
      </w:r>
    </w:p>
    <w:p>
      <w:pPr>
        <w:spacing w:after="0" w:line="53" w:lineRule="exact"/>
        <w:rPr>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obtaining marketing approval;</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if ATH-1105 is approved, educating medical personnel regarding the potential efficacy and safety benefits, as well as the challenges, of incorporating ATH-1105 into existing treatment regimens, including in combination with other treatments for ALS or as a monotherapy; and</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establishing the sales and marketing capabilities upon obtaining any marketing approvals to gain market acceptance.</w:t>
      </w:r>
    </w:p>
    <w:p>
      <w:pPr>
        <w:spacing w:after="0" w:line="160"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Our prospects as a standalone business are highly dependent on the successful development of ATH-1105.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ALS and other neurodegenerative diseases. Like fosgonimeton, ATH-1105 is a small molecule designed to positively modulate the HGF system. Although we are encouraged about the potential for ATH-1105 based on preclinical data, we or a future partner may decide to discontinue development of some or all of our product candidates, including if we or a future partner do not demonstrate the safety and efficacy of ATH-1105 in current and future clinical trials. We may pursue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330"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Our ability to generate revenue and achieve profitability depends significantly on our ability to achieve a number of objectives.</w:t>
      </w:r>
    </w:p>
    <w:p>
      <w:pPr>
        <w:spacing w:after="0" w:line="2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ATH-1105 or any other drug candidates we may seek to develop. Our ability to generate revenue and achieve profitability depends significantly on our ability to achieve a number of objectives, including:</w:t>
      </w:r>
    </w:p>
    <w:p>
      <w:pPr>
        <w:spacing w:after="0" w:line="87" w:lineRule="exact"/>
        <w:rPr>
          <w:sz w:val="20"/>
          <w:szCs w:val="20"/>
          <w:color w:val="auto"/>
        </w:rPr>
      </w:pPr>
    </w:p>
    <w:p>
      <w:pPr>
        <w:jc w:val="both"/>
        <w:ind w:left="980" w:hanging="491"/>
        <w:spacing w:after="0" w:line="310"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successful and timely completion of nonclinical and clinical development of our drug candidates and any future drug candidates, as well as the associated costs, including any unforeseen costs;</w:t>
      </w:r>
    </w:p>
    <w:p>
      <w:pPr>
        <w:spacing w:after="0" w:line="29" w:lineRule="exact"/>
        <w:rPr>
          <w:rFonts w:ascii="Arial" w:cs="Arial" w:eastAsia="Arial" w:hAnsi="Arial"/>
          <w:sz w:val="19"/>
          <w:szCs w:val="19"/>
          <w:color w:val="auto"/>
        </w:rPr>
      </w:pPr>
    </w:p>
    <w:p>
      <w:pPr>
        <w:jc w:val="both"/>
        <w:ind w:left="980" w:hanging="491"/>
        <w:spacing w:after="0" w:line="261" w:lineRule="auto"/>
        <w:tabs>
          <w:tab w:leader="none" w:pos="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establishing and maintaining relationships with contract research organizations, or CROs, and clinical sites for the clinical development, both in the United States and internationally, of our drug candidates and any future drug candidates;</w:t>
      </w:r>
    </w:p>
    <w:p>
      <w:pPr>
        <w:spacing w:after="0" w:line="7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timely submission of application for and receipt of marketing approvals from applicable regulatory authorities for any drug candidates for which we successfully complete clinical development;</w:t>
      </w:r>
    </w:p>
    <w:p>
      <w:pPr>
        <w:spacing w:after="0" w:line="7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making any required post-marketing approval commitments to applicable regulatory authorities;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2240" w:h="15840" w:orient="portrait"/>
          <w:cols w:equalWidth="0" w:num="1">
            <w:col w:w="9360"/>
          </w:cols>
          <w:pgMar w:left="1440" w:top="1420" w:right="1440" w:bottom="175" w:gutter="0" w:footer="0" w:header="0"/>
          <w:type w:val="continuous"/>
        </w:sectPr>
      </w:pPr>
    </w:p>
    <w:bookmarkStart w:id="40" w:name="page41"/>
    <w:bookmarkEnd w:id="40"/>
    <w:p>
      <w:pPr>
        <w:ind w:left="980" w:hanging="491"/>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developing an efficient and scalable manufacturing process for our drug candidates, including obtaining finished products that are appropriately packaged for sale;</w:t>
      </w:r>
    </w:p>
    <w:p>
      <w:pPr>
        <w:spacing w:after="0" w:line="52"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spacing w:after="0" w:line="79"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successful commercial launch following any marketing approval, including the development of a commercial infrastructure, whether inhouse or with one or more collaborators;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continued acceptable safety profile following any marketing approval of our drug candidates;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commercial acceptance of our drug candidates by patients, the medical community and third-party payors;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identifying, assessing and developing new drug candidates;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obtaining, maintaining and expanding patent protection, trade secret protection and regulatory exclusivity, both in the United States and internationally;</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protecting our rights in our intellectual property portfolio;</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defending against third-party patent challenges, derivation proceedings, or interference or infringement claims, if any;</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negotiating favorable terms in any collaboration, licensing or other arrangement that may be necessary or desirable to develop, manufacture or commercialize our drug candidates;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obtaining coverage and adequate reimbursement by hospitals, government and third-party payors for drug candidates that we develop;</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addressing any competing therapies and technological and market developments;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attracting, hiring and retaining qualified personnel.</w:t>
      </w:r>
    </w:p>
    <w:p>
      <w:pPr>
        <w:spacing w:after="0" w:line="240"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9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spacing w:after="0" w:line="19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have not previously submitted a new drug application, or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2240" w:h="15840" w:orient="portrait"/>
          <w:cols w:equalWidth="0" w:num="1">
            <w:col w:w="9360"/>
          </w:cols>
          <w:pgMar w:left="1440" w:top="1434" w:right="1440" w:bottom="175" w:gutter="0" w:footer="0" w:header="0"/>
          <w:type w:val="continuous"/>
        </w:sectPr>
      </w:pPr>
    </w:p>
    <w:bookmarkStart w:id="41" w:name="page42"/>
    <w:bookmarkEnd w:id="41"/>
    <w:p>
      <w:pPr>
        <w:jc w:val="both"/>
        <w:spacing w:after="0" w:line="261" w:lineRule="auto"/>
        <w:rPr>
          <w:sz w:val="20"/>
          <w:szCs w:val="20"/>
          <w:color w:val="auto"/>
        </w:rPr>
      </w:pPr>
      <w:r>
        <w:rPr>
          <w:rFonts w:ascii="Arial" w:cs="Arial" w:eastAsia="Arial" w:hAnsi="Arial"/>
          <w:sz w:val="20"/>
          <w:szCs w:val="20"/>
          <w:color w:val="auto"/>
        </w:rPr>
        <w:t>the markets in the territories for which we gain regulatory approval and have commercial rights, as well as the availability of competitive products, whether there is sufficient third-party reimbursement and adoption by physicians.</w:t>
      </w:r>
    </w:p>
    <w:p>
      <w:pPr>
        <w:spacing w:after="0" w:line="30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have concentrated our research and development efforts on the treatment of central and peripheral nervous system degenerative disorders, a field that has seen very limited success in product development.</w:t>
      </w:r>
    </w:p>
    <w:p>
      <w:pPr>
        <w:spacing w:after="0" w:line="4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324"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9"/>
          <w:szCs w:val="19"/>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4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Our lead drug candidate, ATH-1105, is currently in clinical development for the potential treatment of ALS. It is impossible to predict when or if any of our drug candidates will prove to be effective and safe in humans or will receive regulatory approval.</w:t>
      </w:r>
    </w:p>
    <w:p>
      <w:pPr>
        <w:spacing w:after="0" w:line="180"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9"/>
          <w:szCs w:val="19"/>
          <w:color w:val="auto"/>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 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in our fosgonimeton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subsequent Phase 2 ACT-AD clinical trial in AD did not meet its primary endpoint of a change in ERP P300 latency for the full study population nor did it meet the secondary endpoints, and our Phase 2/3 LIFT-AD clinical trial in AD did not meet its primary endpoint (the GST, a combination of results from measures of cognition (ADAS-Cog11) and function (ADCS-ADL23)) nor its key secondary endpoints of</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2240" w:h="15840" w:orient="portrait"/>
          <w:cols w:equalWidth="0" w:num="1">
            <w:col w:w="9360"/>
          </w:cols>
          <w:pgMar w:left="1440" w:top="1420" w:right="1440" w:bottom="175" w:gutter="0" w:footer="0" w:header="0"/>
          <w:type w:val="continuous"/>
        </w:sectPr>
      </w:pPr>
    </w:p>
    <w:bookmarkStart w:id="42" w:name="page43"/>
    <w:bookmarkEnd w:id="42"/>
    <w:p>
      <w:pPr>
        <w:jc w:val="both"/>
        <w:spacing w:after="0" w:line="282" w:lineRule="auto"/>
        <w:rPr>
          <w:sz w:val="20"/>
          <w:szCs w:val="20"/>
          <w:color w:val="auto"/>
        </w:rPr>
      </w:pPr>
      <w:r>
        <w:rPr>
          <w:rFonts w:ascii="Arial" w:cs="Arial" w:eastAsia="Arial" w:hAnsi="Arial"/>
          <w:sz w:val="20"/>
          <w:szCs w:val="20"/>
          <w:color w:val="auto"/>
        </w:rPr>
        <w:t>ADAS-Cog11 and ADCS-ADL23. Based on these results, we decided to pause further development of fosgonimeton and to shift our focus to the clinical development of ATH-1105.</w:t>
      </w:r>
    </w:p>
    <w:p>
      <w:pPr>
        <w:spacing w:after="0" w:line="160"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97"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p>
    <w:p>
      <w:pPr>
        <w:spacing w:after="0" w:line="19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9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spacing w:after="0" w:line="86" w:lineRule="exact"/>
        <w:rPr>
          <w:sz w:val="20"/>
          <w:szCs w:val="20"/>
          <w:color w:val="auto"/>
        </w:rPr>
      </w:pPr>
    </w:p>
    <w:p>
      <w:pPr>
        <w:ind w:left="980" w:hanging="491"/>
        <w:spacing w:after="0" w:line="282"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disagreeing as to the design or implementation of our clinical trials;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disagreeing with our clinical development strategy or statistical plan;</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changes in governmental regulations or administrative actions;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delays in our ability to commence a clinical trial;</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7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obtaining IRB approval at each clinical trial site;</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recruiting an adequate number of suitable patients to participate in a clinical trial on a timely basis;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number of patients required for clinical trials of our drug candidates may be larger than we anticipate;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2240" w:h="15840" w:orient="portrait"/>
          <w:cols w:equalWidth="0" w:num="1">
            <w:col w:w="9360"/>
          </w:cols>
          <w:pgMar w:left="1440" w:top="1420" w:right="1440" w:bottom="175" w:gutter="0" w:footer="0" w:header="0"/>
          <w:type w:val="continuous"/>
        </w:sectPr>
      </w:pPr>
    </w:p>
    <w:bookmarkStart w:id="43" w:name="page44"/>
    <w:bookmarkEnd w:id="43"/>
    <w:p>
      <w:pPr>
        <w:ind w:left="980" w:hanging="491"/>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having subjects complete a clinical trial or return for post-treatment follow-up;</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clinical trial sites deviating from clinical trial protocol or dropping out of a clinical trial;</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delays by us or our CROs in qualifying or analyzing patient data at the completion of clinical trials;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failure to demonstrate a benefit from using a drug candidate;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addressing subject safety concerns that arise during the course of a clinical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adding a sufficient number of clinical trial sites; or</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obtaining sufficient supply of drug candidate for use in nonclinical studies or clinical trials from third-party suppliers.</w:t>
      </w:r>
    </w:p>
    <w:p>
      <w:pPr>
        <w:spacing w:after="0" w:line="16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9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spacing w:after="0" w:line="197"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auto"/>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spacing w:after="0" w:line="56" w:lineRule="exact"/>
        <w:rPr>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incur unplanned costs;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determine to limit or terminate clinical trials, including our open-label extension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 delayed in or prevented from obtaining marketing approval for our drug candidates;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obtain approval for indications or patient populations that are not as broad as intended or desired;</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obtain approval with labeling that includes significant use or distribution restrictions or safety warnings including boxed warnings;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 subject to changes in the way the drug candidate is administered;</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 required to perform additional clinical trials to support approval or be subject to additional post-marketing testing requirements;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2240" w:h="15840" w:orient="portrait"/>
          <w:cols w:equalWidth="0" w:num="1">
            <w:col w:w="9360"/>
          </w:cols>
          <w:pgMar w:left="1440" w:top="1434" w:right="1440" w:bottom="175" w:gutter="0" w:footer="0" w:header="0"/>
          <w:type w:val="continuous"/>
        </w:sectPr>
      </w:pPr>
    </w:p>
    <w:bookmarkStart w:id="44" w:name="page45"/>
    <w:bookmarkEnd w:id="44"/>
    <w:p>
      <w:pPr>
        <w:ind w:left="980" w:hanging="491"/>
        <w:spacing w:after="0" w:line="282"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have regulatory authorities withdraw their approval of the drug product or impose restrictions on its distribution in the form of a modified risk evaluation and mitigation strategy, or REMS;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be subject to the addition of labeling statements, such as warnings or contraindications;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be sued; or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experience damage to our reputation.</w:t>
      </w:r>
    </w:p>
    <w:p>
      <w:pPr>
        <w:spacing w:after="0" w:line="3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4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spacing w:after="0" w:line="326"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Our long-term prospects depend in part upon discovering, developing and commercializing additional drug candidates, which may fail in development or suffer delays that adversely affect their commercial viability.</w:t>
      </w:r>
    </w:p>
    <w:p>
      <w:pPr>
        <w:spacing w:after="0" w:line="4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spacing w:after="0" w:line="193"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success of other future drug candidates we may develop will depend on many factors, including the following:</w:t>
      </w:r>
    </w:p>
    <w:p>
      <w:pPr>
        <w:spacing w:after="0" w:line="53" w:lineRule="exact"/>
        <w:rPr>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generating sufficient data to support the initiation or continuation of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obtaining regulatory permission to initiate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contracting with the necessary parties to conduct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successful enrollment of patients in, and the completion of, clinical trials on a timely basis;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timely manufacture of sufficient quantities of the drug candidate for use in clinical trials; and</w:t>
      </w:r>
    </w:p>
    <w:p>
      <w:pPr>
        <w:spacing w:after="0" w:line="144" w:lineRule="exact"/>
        <w:rPr>
          <w:rFonts w:ascii="Arial" w:cs="Arial" w:eastAsia="Arial" w:hAnsi="Arial"/>
          <w:sz w:val="19"/>
          <w:szCs w:val="19"/>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adverse events in the clinical trials.</w:t>
      </w:r>
    </w:p>
    <w:p>
      <w:pPr>
        <w:spacing w:after="0" w:line="24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spacing w:after="0" w:line="316"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have been and may in the future be subject to claims, lawsuits, arbitration proceedings, government investigations, securities class action litigation and other legal, regulatory and</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2240" w:h="15840" w:orient="portrait"/>
          <w:cols w:equalWidth="0" w:num="1">
            <w:col w:w="9360"/>
          </w:cols>
          <w:pgMar w:left="1440" w:top="1434" w:right="1440" w:bottom="175" w:gutter="0" w:footer="0" w:header="0"/>
          <w:type w:val="continuous"/>
        </w:sectPr>
      </w:pPr>
    </w:p>
    <w:bookmarkStart w:id="45" w:name="page46"/>
    <w:bookmarkEnd w:id="45"/>
    <w:p>
      <w:pPr>
        <w:jc w:val="both"/>
        <w:spacing w:after="0" w:line="256" w:lineRule="auto"/>
        <w:rPr>
          <w:sz w:val="20"/>
          <w:szCs w:val="20"/>
          <w:color w:val="auto"/>
        </w:rPr>
      </w:pPr>
      <w:r>
        <w:rPr>
          <w:rFonts w:ascii="Arial" w:cs="Arial" w:eastAsia="Arial" w:hAnsi="Arial"/>
          <w:sz w:val="20"/>
          <w:szCs w:val="20"/>
          <w:b w:val="1"/>
          <w:bCs w:val="1"/>
          <w:i w:val="1"/>
          <w:iCs w:val="1"/>
          <w:color w:val="auto"/>
        </w:rPr>
        <w:t>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spacing w:after="0" w:line="55"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9"/>
          <w:szCs w:val="19"/>
          <w:color w:val="auto"/>
        </w:rPr>
        <w:t>We have been and may in the future be subject to claims, lawsuits, arbitration proceedings, government investigations, securities class action litigation and other legal, regulatory and administrative proceedings. For example, in November 2022, we received a Civil Investigative Demand from the Civil Division of the Department of Justice, or the Demand. The Demand sought documents and information relating to our relationship with WSU, certain of our grant applications in 2016 and 2019 with the NIH, and our receipt of a NIH grant in 2020. We cooperated with the Department of Justice with respect to the Demand and in December 2024 reached a settlement with respect thereto. In February 2023, the Securities and Exchange Commission, or SEC, sent us a subpoena seeking documents and information relating to, among other things, our former chief executive officer’s alteration of images in certain research papers. We cooperated with the SEC with respect to the subpoena. On March 29, 2024, we received a letter from the SEC stating that the SEC had concluded its investigation without any enforcement action against us.</w:t>
      </w:r>
    </w:p>
    <w:p>
      <w:pPr>
        <w:spacing w:after="0" w:line="18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9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9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327"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9"/>
          <w:szCs w:val="19"/>
          <w:b w:val="1"/>
          <w:bCs w:val="1"/>
          <w:i w:val="1"/>
          <w:iCs w:val="1"/>
          <w:color w:val="auto"/>
        </w:rPr>
        <w:t>Washington State University, or WSU, has undertaken a review of claims of potential research misconduct involving our former chief executive officer’s doctoral research at WSU. We cannot predict what conclusions WSU will reach, whether or when WSU will share its conclusions with us or the public, and what effect, if any, this investigation may have on our business and reputation.</w:t>
      </w:r>
    </w:p>
    <w:p>
      <w:pPr>
        <w:spacing w:after="0" w:line="38"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In addition to the previously disclosed investigation of the independent special committee of our board of directors, WSU has also announced that it has undertaken a review of claims of potential research misconduct involving research conducted by Dr. Leen Kawas, our former chief executive officer, during her doctoral studies at WSU. We cannot predict what, if any, effect this investigation may have on our business</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2240" w:h="15840" w:orient="portrait"/>
          <w:cols w:equalWidth="0" w:num="1">
            <w:col w:w="9360"/>
          </w:cols>
          <w:pgMar w:left="1440" w:top="1424" w:right="1440" w:bottom="175" w:gutter="0" w:footer="0" w:header="0"/>
          <w:type w:val="continuous"/>
        </w:sectPr>
      </w:pPr>
    </w:p>
    <w:bookmarkStart w:id="46" w:name="page47"/>
    <w:bookmarkEnd w:id="46"/>
    <w:p>
      <w:pPr>
        <w:jc w:val="both"/>
        <w:spacing w:after="0" w:line="260" w:lineRule="auto"/>
        <w:rPr>
          <w:sz w:val="20"/>
          <w:szCs w:val="20"/>
          <w:color w:val="auto"/>
        </w:rPr>
      </w:pPr>
      <w:r>
        <w:rPr>
          <w:rFonts w:ascii="Arial" w:cs="Arial" w:eastAsia="Arial" w:hAnsi="Arial"/>
          <w:sz w:val="19"/>
          <w:szCs w:val="19"/>
          <w:color w:val="auto"/>
        </w:rPr>
        <w:t>and reputation. It is possible that the investigation by WSU could come to different conclusions, or uncover additional or different information, than the investigation of the independent special committee of our board of directors, the primary finding of which was that Dr. Kawas altered images in her 2011 doctoral dissertation and at least four research papers that she co-authored while a graduate student at WSU, and published from 2011 to 2014.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drug candidates.</w:t>
      </w:r>
    </w:p>
    <w:p>
      <w:pPr>
        <w:spacing w:after="0" w:line="310"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 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spacing w:after="0" w:line="198"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2240" w:h="15840" w:orient="portrait"/>
          <w:cols w:equalWidth="0" w:num="1">
            <w:col w:w="9360"/>
          </w:cols>
          <w:pgMar w:left="1440" w:top="1420" w:right="1440" w:bottom="175" w:gutter="0" w:footer="0" w:header="0"/>
          <w:type w:val="continuous"/>
        </w:sectPr>
      </w:pPr>
    </w:p>
    <w:bookmarkStart w:id="47" w:name="page48"/>
    <w:bookmarkEnd w:id="47"/>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Our reporting of topline or final data for our clinical trials may be delayed and our regulatory submissions or receipt of necessary marketing approvals could be delayed or prevented.</w:t>
      </w:r>
    </w:p>
    <w:p>
      <w:pPr>
        <w:spacing w:after="0" w:line="2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Our projected timeline for announcing our topline data for ATH-1105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spacing w:after="0" w:line="18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p>
    <w:p>
      <w:pPr>
        <w:spacing w:after="0" w:line="20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ATH-1105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p>
    <w:p>
      <w:pPr>
        <w:spacing w:after="0" w:line="193"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spacing w:after="0" w:line="306"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4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use of clinical research organizations, and procurement of operational resources. As a result, our competitors may discover, develop, license or commercialize products before or more successfully than we do.</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2240" w:h="15840" w:orient="portrait"/>
          <w:cols w:equalWidth="0" w:num="1">
            <w:col w:w="9360"/>
          </w:cols>
          <w:pgMar w:left="1440" w:top="1424" w:right="1440" w:bottom="175" w:gutter="0" w:footer="0" w:header="0"/>
          <w:type w:val="continuous"/>
        </w:sectPr>
      </w:pPr>
    </w:p>
    <w:bookmarkStart w:id="48" w:name="page49"/>
    <w:bookmarkEnd w:id="48"/>
    <w:p>
      <w:pPr>
        <w:jc w:val="both"/>
        <w:ind w:firstLine="490"/>
        <w:spacing w:after="0" w:line="257" w:lineRule="auto"/>
        <w:rPr>
          <w:sz w:val="20"/>
          <w:szCs w:val="20"/>
          <w:color w:val="auto"/>
        </w:rPr>
      </w:pPr>
      <w:r>
        <w:rPr>
          <w:rFonts w:ascii="Arial" w:cs="Arial" w:eastAsia="Arial" w:hAnsi="Arial"/>
          <w:sz w:val="19"/>
          <w:szCs w:val="19"/>
          <w:color w:val="auto"/>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 – Competition.”</w:t>
      </w:r>
    </w:p>
    <w:p>
      <w:pPr>
        <w:spacing w:after="0" w:line="312"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may develop drug candidates in combination with other therapies, which exposes us to additional risks.</w:t>
      </w:r>
    </w:p>
    <w:p>
      <w:pPr>
        <w:spacing w:after="0" w:line="2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spacing w:after="0" w:line="20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 ATH-1105,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spacing w:after="0" w:line="31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Risks Related to Our Financial Position and Capital Needs</w:t>
      </w:r>
    </w:p>
    <w:p>
      <w:pPr>
        <w:spacing w:after="0" w:line="128"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b w:val="1"/>
          <w:bCs w:val="1"/>
          <w:i w:val="1"/>
          <w:iCs w:val="1"/>
          <w:color w:val="auto"/>
        </w:rPr>
        <w:t>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p>
    <w:p>
      <w:pPr>
        <w:spacing w:after="0" w:line="59"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ATH-1105. Developing ATH-1105 and conducting clinical trials for the potential treatment of ALS, and any other indications that we may pursue in the future will require substantial amounts of capital and we are actively seeking a partner to assist with the development of ATH-1105 through a joint collaboration agreement, provision of non-dilutive funding, or a combination of these and other structures. In addition, if we or a future partner obtain marketing approval for ATH-1105 or any future drug candidates, we expect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2240" w:h="15840" w:orient="portrait"/>
          <w:cols w:equalWidth="0" w:num="1">
            <w:col w:w="9360"/>
          </w:cols>
          <w:pgMar w:left="1440" w:top="1420" w:right="1440" w:bottom="175" w:gutter="0" w:footer="0" w:header="0"/>
          <w:type w:val="continuous"/>
        </w:sectPr>
      </w:pPr>
    </w:p>
    <w:bookmarkStart w:id="49" w:name="page50"/>
    <w:bookmarkEnd w:id="49"/>
    <w:p>
      <w:pPr>
        <w:jc w:val="both"/>
        <w:spacing w:after="0" w:line="261" w:lineRule="auto"/>
        <w:rPr>
          <w:sz w:val="20"/>
          <w:szCs w:val="20"/>
          <w:color w:val="auto"/>
        </w:rPr>
      </w:pPr>
      <w:r>
        <w:rPr>
          <w:rFonts w:ascii="Arial" w:cs="Arial" w:eastAsia="Arial" w:hAnsi="Arial"/>
          <w:sz w:val="20"/>
          <w:szCs w:val="20"/>
          <w:color w:val="auto"/>
        </w:rPr>
        <w:t>this would result in significant commercialization expenses related to sales, marketing, manufacturing, and distribution. Furthermore, we expect to continue to incur additional costs associated with operating as a public company</w:t>
      </w:r>
      <w:r>
        <w:rPr>
          <w:rFonts w:ascii="Arial" w:cs="Arial" w:eastAsia="Arial" w:hAnsi="Arial"/>
          <w:sz w:val="20"/>
          <w:szCs w:val="20"/>
          <w:color w:val="121212"/>
        </w:rPr>
        <w:t>.</w:t>
      </w:r>
    </w:p>
    <w:p>
      <w:pPr>
        <w:spacing w:after="0" w:line="18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Accordingly, we will need to obtain substantial additional funding in connection with our continuing operations. As of December 31, 2024, we had cash, cash equivalents and investments of $51.3 million.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192"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121212"/>
        </w:rPr>
        <w:t xml:space="preserve">The </w:t>
      </w:r>
      <w:r>
        <w:rPr>
          <w:rFonts w:ascii="Arial" w:cs="Arial" w:eastAsia="Arial" w:hAnsi="Arial"/>
          <w:sz w:val="20"/>
          <w:szCs w:val="20"/>
          <w:color w:val="000000"/>
        </w:rPr>
        <w:t>amount and timing of our future funding requirements depends on many factors, some of which</w:t>
      </w:r>
      <w:r>
        <w:rPr>
          <w:rFonts w:ascii="Arial" w:cs="Arial" w:eastAsia="Arial" w:hAnsi="Arial"/>
          <w:sz w:val="20"/>
          <w:szCs w:val="20"/>
          <w:color w:val="121212"/>
        </w:rPr>
        <w:t xml:space="preserve"> </w:t>
      </w:r>
      <w:r>
        <w:rPr>
          <w:rFonts w:ascii="Arial" w:cs="Arial" w:eastAsia="Arial" w:hAnsi="Arial"/>
          <w:sz w:val="20"/>
          <w:szCs w:val="20"/>
          <w:color w:val="000000"/>
        </w:rPr>
        <w:t>are outside of our control, including but not limited to:</w:t>
      </w:r>
    </w:p>
    <w:p>
      <w:pPr>
        <w:spacing w:after="0" w:line="53" w:lineRule="exact"/>
        <w:rPr>
          <w:sz w:val="20"/>
          <w:szCs w:val="20"/>
          <w:color w:val="auto"/>
        </w:rPr>
      </w:pPr>
    </w:p>
    <w:p>
      <w:pPr>
        <w:jc w:val="both"/>
        <w:ind w:left="980" w:hanging="491"/>
        <w:spacing w:after="0" w:line="310"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progress, costs, clinical trial design, results of and timing of our ATH-1105 and other clinical trials, including for potential additional indications that we may pursue beyond ALS, such as AD;</w:t>
      </w:r>
    </w:p>
    <w:p>
      <w:pPr>
        <w:spacing w:after="0" w:line="29" w:lineRule="exact"/>
        <w:rPr>
          <w:rFonts w:ascii="Arial" w:cs="Arial" w:eastAsia="Arial" w:hAnsi="Arial"/>
          <w:sz w:val="19"/>
          <w:szCs w:val="19"/>
          <w:color w:val="auto"/>
        </w:rPr>
      </w:pPr>
    </w:p>
    <w:p>
      <w:pPr>
        <w:jc w:val="both"/>
        <w:ind w:left="980" w:hanging="491"/>
        <w:spacing w:after="0" w:line="281"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willingness of the FDA and EMA to accept ATH-1105 clinical trial data, as well as data from any completed and planned clinical and nonclinical studies and other work, as the basis for review and approval of ATH-1105 for ALS and the potential need for additional clinical trials;</w:t>
      </w:r>
    </w:p>
    <w:p>
      <w:pPr>
        <w:spacing w:after="0" w:line="55" w:lineRule="exact"/>
        <w:rPr>
          <w:rFonts w:ascii="Arial" w:cs="Arial" w:eastAsia="Arial" w:hAnsi="Arial"/>
          <w:sz w:val="19"/>
          <w:szCs w:val="19"/>
          <w:color w:val="auto"/>
        </w:rPr>
      </w:pPr>
    </w:p>
    <w:p>
      <w:pPr>
        <w:ind w:left="980" w:hanging="491"/>
        <w:spacing w:after="0" w:line="282"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outcome, costs and timing of seeking and obtaining FDA, EMA and any other regulatory approvals;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number and characteristics of drug candidates that we pursue;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ability to manufacture sufficient quantities of our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need to expand our research and development activities;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costs associated with securing and establishing commercialization and manufacturing capabilities;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costs of acquiring, licensing or investing in businesses, drug candidates and technologies;</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cost, timing and outcomes of any litigation involving our company, including securities class actions and government investigations which we may be or may in the future become involved in;</w:t>
      </w:r>
    </w:p>
    <w:p>
      <w:pPr>
        <w:spacing w:after="0" w:line="73"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9"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need and ability to retain management and hire scientific, clinical and other personnel;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effect of competing drugs and drug candidates and other market developments;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need to implement additional internal systems and infrastructure, including financial and reporting systems; and</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economic and other terms, timing of and success of any collaboration, licensing or other arrangements into which we may enter in the future.</w:t>
      </w:r>
    </w:p>
    <w:p>
      <w:pPr>
        <w:spacing w:after="0" w:line="160"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Because we have undertaken a process to assess strategic alternatives, the timing of which is uncertain, our future capital requirements may vary significantly from what we expect. If a strategic transaction is not consummated, we will require substantial additional funding to support our continuing operations and development. In addition, even if we are successful in completing a strategic transaction, we may still need to raise additional funds for any research and development or clinical programs we choose to pursue. 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2240" w:h="15840" w:orient="portrait"/>
          <w:cols w:equalWidth="0" w:num="1">
            <w:col w:w="9360"/>
          </w:cols>
          <w:pgMar w:left="1440" w:top="1420" w:right="1440" w:bottom="175" w:gutter="0" w:footer="0" w:header="0"/>
          <w:type w:val="continuous"/>
        </w:sectPr>
      </w:pPr>
    </w:p>
    <w:bookmarkStart w:id="50" w:name="page51"/>
    <w:bookmarkEnd w:id="50"/>
    <w:p>
      <w:pPr>
        <w:jc w:val="both"/>
        <w:ind w:firstLine="490"/>
        <w:spacing w:after="0" w:line="244" w:lineRule="auto"/>
        <w:rPr>
          <w:sz w:val="20"/>
          <w:szCs w:val="20"/>
          <w:color w:val="auto"/>
        </w:rPr>
      </w:pPr>
      <w:r>
        <w:rPr>
          <w:rFonts w:ascii="Arial" w:cs="Arial" w:eastAsia="Arial" w:hAnsi="Arial"/>
          <w:sz w:val="20"/>
          <w:szCs w:val="20"/>
          <w:color w:val="auto"/>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20"/>
          <w:szCs w:val="20"/>
          <w:color w:val="121212"/>
        </w:rPr>
        <w:t>unable</w:t>
      </w:r>
      <w:r>
        <w:rPr>
          <w:rFonts w:ascii="Arial" w:cs="Arial" w:eastAsia="Arial" w:hAnsi="Arial"/>
          <w:sz w:val="20"/>
          <w:szCs w:val="20"/>
          <w:color w:val="auto"/>
        </w:rPr>
        <w:t xml:space="preserv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p>
    <w:p>
      <w:pPr>
        <w:spacing w:after="0" w:line="19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spacing w:after="0" w:line="19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Our ability to raise additional funds will depend on financial, economic and other factors, many of which are beyond our control. For example, the current inflationary economic environment and health epidemics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in the future by, among other things, SEC rules and regulations impacting the eligibility of smaller companies to use Form S-3 for primary offerings of securities.</w:t>
      </w:r>
    </w:p>
    <w:p>
      <w:pPr>
        <w:spacing w:after="0" w:line="324"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have incurred significant losses since our inception and anticipate that we will continue to incur significant losses for the foreseeable future.</w:t>
      </w:r>
    </w:p>
    <w:p>
      <w:pPr>
        <w:spacing w:after="0" w:line="2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We have not generated any revenue from drug product sales and our drug candidates will require substantial additional investment before they may provide us with any revenue. We had net losses of $96.9 million and $117.7 million for the year ended December 31, 2024 and 2023</w:t>
      </w:r>
      <w:r>
        <w:rPr>
          <w:rFonts w:ascii="Arial" w:cs="Arial" w:eastAsia="Arial" w:hAnsi="Arial"/>
          <w:sz w:val="20"/>
          <w:szCs w:val="20"/>
          <w:color w:val="121212"/>
        </w:rPr>
        <w:t>, respectively, and an</w:t>
      </w:r>
      <w:r>
        <w:rPr>
          <w:rFonts w:ascii="Arial" w:cs="Arial" w:eastAsia="Arial" w:hAnsi="Arial"/>
          <w:sz w:val="20"/>
          <w:szCs w:val="20"/>
          <w:color w:val="auto"/>
        </w:rPr>
        <w:t xml:space="preserve"> </w:t>
      </w:r>
      <w:r>
        <w:rPr>
          <w:rFonts w:ascii="Arial" w:cs="Arial" w:eastAsia="Arial" w:hAnsi="Arial"/>
          <w:sz w:val="20"/>
          <w:szCs w:val="20"/>
          <w:color w:val="121212"/>
        </w:rPr>
        <w:t>accumulated deficit of $406.1 million as of December 31, 2024.</w:t>
      </w:r>
    </w:p>
    <w:p>
      <w:pPr>
        <w:spacing w:after="0" w:line="18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121212"/>
        </w:rPr>
        <w:t xml:space="preserve">We have devoted most of our financial resources to research and development, including our clinical and nonclinical development </w:t>
      </w:r>
      <w:r>
        <w:rPr>
          <w:rFonts w:ascii="Arial" w:cs="Arial" w:eastAsia="Arial" w:hAnsi="Arial"/>
          <w:sz w:val="20"/>
          <w:szCs w:val="20"/>
          <w:color w:val="000000"/>
        </w:rPr>
        <w:t>activities. To date, we have financed our operations primarily with proceeds</w:t>
      </w:r>
      <w:r>
        <w:rPr>
          <w:rFonts w:ascii="Arial" w:cs="Arial" w:eastAsia="Arial" w:hAnsi="Arial"/>
          <w:sz w:val="20"/>
          <w:szCs w:val="20"/>
          <w:color w:val="121212"/>
        </w:rPr>
        <w:t xml:space="preserve"> </w:t>
      </w:r>
      <w:r>
        <w:rPr>
          <w:rFonts w:ascii="Arial" w:cs="Arial" w:eastAsia="Arial" w:hAnsi="Arial"/>
          <w:sz w:val="20"/>
          <w:szCs w:val="20"/>
          <w:color w:val="000000"/>
        </w:rPr>
        <w:t>from the sale and issuance of common stock, convertible preferred stock, common stock warrants, and convertible notes, and to a lesser extent from grant income and stock option exercises.</w:t>
      </w:r>
    </w:p>
    <w:p>
      <w:pPr>
        <w:spacing w:after="0" w:line="18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We expect to incur significant expenses and operating losses for the foreseeable future, including as a result of the following actions that we may take to:</w:t>
      </w:r>
    </w:p>
    <w:p>
      <w:pPr>
        <w:spacing w:after="0" w:line="53" w:lineRule="exact"/>
        <w:rPr>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continue our research and nonclinical and clinical development of our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expand the scope of our clinical studies for our current and prospective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initiate additional nonclinical, clinical or other studies for our drug candidates;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 or add additional manufacturers or suppliers and manufacture drug supply and drug product for clinical trials and commercialization;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2240" w:h="15840" w:orient="portrait"/>
          <w:cols w:equalWidth="0" w:num="1">
            <w:col w:w="9360"/>
          </w:cols>
          <w:pgMar w:left="1440" w:top="1420" w:right="1440" w:bottom="175" w:gutter="0" w:footer="0" w:header="0"/>
          <w:type w:val="continuous"/>
        </w:sectPr>
      </w:pPr>
    </w:p>
    <w:bookmarkStart w:id="51" w:name="page52"/>
    <w:bookmarkEnd w:id="51"/>
    <w:p>
      <w:pPr>
        <w:ind w:left="980" w:hanging="491"/>
        <w:spacing w:after="0" w:line="282"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seek regulatory and marketing approvals for any of our drug candidates that successfully complete clinical trials;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attract, hire and retain additional personnel;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operate as a public company;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maintain our facilities and lab space;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seek to identify and validate additional drug candidates;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acquire or in-license other drug candidates and technologies or engage in other strategic transactions;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make milestone or other payments under our in-license or other agreements;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maintain, protect and expand our intellectual property portfolio;</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create additional infrastructure to support our operations and our drug product development efforts; and</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incur expenses in connection with legal proceedings, and addressing potential stockholder activism.</w:t>
      </w:r>
    </w:p>
    <w:p>
      <w:pPr>
        <w:spacing w:after="0" w:line="16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 xml:space="preserve">Our expenses could increase beyond expectations for a variety of reasons, including if we experience any delays or encounter issues with any of the above, are required by the FDA, the European Medicines Agency, or EMA, or other regulatory agencies, domestic or foreign, to perform clinical and other </w:t>
      </w:r>
      <w:r>
        <w:rPr>
          <w:rFonts w:ascii="Arial" w:cs="Arial" w:eastAsia="Arial" w:hAnsi="Arial"/>
          <w:sz w:val="20"/>
          <w:szCs w:val="20"/>
          <w:color w:val="121212"/>
        </w:rPr>
        <w:t>studies</w:t>
      </w:r>
      <w:r>
        <w:rPr>
          <w:rFonts w:ascii="Arial" w:cs="Arial" w:eastAsia="Arial" w:hAnsi="Arial"/>
          <w:sz w:val="20"/>
          <w:szCs w:val="20"/>
          <w:color w:val="auto"/>
        </w:rPr>
        <w:t xml:space="preserve"> in addition to those that we currently anticipate. Our prior losses, combined with expected future losses, have had and will continue to have an adverse effect on our stockholders’ equity.</w:t>
      </w:r>
    </w:p>
    <w:p>
      <w:pPr>
        <w:spacing w:after="0" w:line="316"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Adverse events or perceptions affecting the financial services industry could adversely affect our operating results, liquidity, financial condition and prospects.</w:t>
      </w:r>
    </w:p>
    <w:p>
      <w:pPr>
        <w:spacing w:after="0" w:line="22"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spacing w:after="0" w:line="87" w:lineRule="exact"/>
        <w:rPr>
          <w:sz w:val="20"/>
          <w:szCs w:val="20"/>
          <w:color w:val="auto"/>
        </w:rPr>
      </w:pPr>
    </w:p>
    <w:p>
      <w:pPr>
        <w:ind w:left="980" w:hanging="491"/>
        <w:spacing w:after="0" w:line="282"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delayed access to deposits or other financial assets or the uninsured loss of deposits or other financial assets;</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loss of access to revolving existing credit facilities or other working capital sources or the inability to refund, roll over or extend the maturity of, or enter into new credit facilities or other working capital resources;</w:t>
      </w:r>
    </w:p>
    <w:p>
      <w:pPr>
        <w:spacing w:after="0" w:line="7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potential or actual breach of obligations, including U.S. federal and state wage laws and contracts that required them to maintain letters or credit or other credit support arrangements; and</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termination of cash management arrangements or delays in accessing or actual loss of funds subject to cash management arrangements.</w:t>
      </w:r>
    </w:p>
    <w:p>
      <w:pPr>
        <w:spacing w:after="0" w:line="160"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2240" w:h="15840" w:orient="portrait"/>
          <w:cols w:equalWidth="0" w:num="1">
            <w:col w:w="9360"/>
          </w:cols>
          <w:pgMar w:left="1440" w:top="1434" w:right="1440" w:bottom="175" w:gutter="0" w:footer="0" w:header="0"/>
          <w:type w:val="continuous"/>
        </w:sectPr>
      </w:pPr>
    </w:p>
    <w:bookmarkStart w:id="52" w:name="page53"/>
    <w:bookmarkEnd w:id="52"/>
    <w:p>
      <w:pPr>
        <w:jc w:val="both"/>
        <w:spacing w:after="0" w:line="261" w:lineRule="auto"/>
        <w:rPr>
          <w:sz w:val="20"/>
          <w:szCs w:val="20"/>
          <w:color w:val="auto"/>
        </w:rPr>
      </w:pPr>
      <w:r>
        <w:rPr>
          <w:rFonts w:ascii="Arial" w:cs="Arial" w:eastAsia="Arial" w:hAnsi="Arial"/>
          <w:sz w:val="20"/>
          <w:szCs w:val="20"/>
          <w:color w:val="auto"/>
        </w:rPr>
        <w:t>other financial institutions, or that they would do so in a timely fashion. In such an event, parties with which we have commercial agreements may be unable to satisfy their obligations to, or enter into new commercial arrangements with, us.</w:t>
      </w:r>
    </w:p>
    <w:p>
      <w:pPr>
        <w:spacing w:after="0" w:line="18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Concerns regarding the U.S. or international financial systems could impact the availability and cost of financing, thereby making it more difficult for us to acquire financing on acceptable terms or at all.</w:t>
      </w:r>
    </w:p>
    <w:p>
      <w:pPr>
        <w:spacing w:after="0" w:line="16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Any of these risks could materially impact our operating results, liquidity, financial condition and prospects.</w:t>
      </w:r>
    </w:p>
    <w:p>
      <w:pPr>
        <w:spacing w:after="0" w:line="28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121212"/>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spacing w:after="0" w:line="4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121212"/>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spacing w:after="0" w:line="19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121212"/>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spacing w:after="0" w:line="326"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121212"/>
        </w:rPr>
        <w:t xml:space="preserve">Our ability to use net operating </w:t>
      </w:r>
      <w:r>
        <w:rPr>
          <w:rFonts w:ascii="Arial" w:cs="Arial" w:eastAsia="Arial" w:hAnsi="Arial"/>
          <w:sz w:val="20"/>
          <w:szCs w:val="20"/>
          <w:b w:val="1"/>
          <w:bCs w:val="1"/>
          <w:i w:val="1"/>
          <w:iCs w:val="1"/>
          <w:color w:val="000000"/>
        </w:rPr>
        <w:t>losses</w:t>
      </w:r>
      <w:r>
        <w:rPr>
          <w:rFonts w:ascii="Arial" w:cs="Arial" w:eastAsia="Arial" w:hAnsi="Arial"/>
          <w:sz w:val="20"/>
          <w:szCs w:val="20"/>
          <w:b w:val="1"/>
          <w:bCs w:val="1"/>
          <w:i w:val="1"/>
          <w:iCs w:val="1"/>
          <w:color w:val="121212"/>
        </w:rPr>
        <w:t xml:space="preserve"> to offset future taxable income may be subject to certain limitations.</w:t>
      </w:r>
    </w:p>
    <w:p>
      <w:pPr>
        <w:spacing w:after="0" w:line="2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121212"/>
        </w:rPr>
        <w:t>As of December 31, 2024, we had federal net operating loss carryforwards, or NOLs, to offset future taxable income of approximately $9.5 million and federal tax credit carryforwards of approximately $16.5 million, which expire over a period of 7 to 13 years. Federal NOLs of $196.0 million generated after the 2017 tax year will carry forward indefinitely and will be subject to the 80% of taxable income limitation. At December 31, 2024, we also had state NOLs of $3.9 million, which expire over a period of 17 to 20 years. A lack of future taxable income would adversely affect our ability to utilize these NOLs.</w:t>
      </w:r>
    </w:p>
    <w:p>
      <w:pPr>
        <w:spacing w:after="0" w:line="7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121212"/>
        </w:rPr>
        <w:t>In addition, under Section 382 of the Internal Revenue Code of 1986, as amended, or 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spacing w:after="0" w:line="7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121212"/>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2240" w:h="15840" w:orient="portrait"/>
          <w:cols w:equalWidth="0" w:num="1">
            <w:col w:w="9360"/>
          </w:cols>
          <w:pgMar w:left="1440" w:top="1420" w:right="1440" w:bottom="175" w:gutter="0" w:footer="0" w:header="0"/>
          <w:type w:val="continuous"/>
        </w:sectPr>
      </w:pPr>
    </w:p>
    <w:bookmarkStart w:id="53" w:name="page54"/>
    <w:bookmarkEnd w:id="53"/>
    <w:p>
      <w:pPr>
        <w:jc w:val="both"/>
        <w:spacing w:after="0" w:line="282" w:lineRule="auto"/>
        <w:rPr>
          <w:sz w:val="20"/>
          <w:szCs w:val="20"/>
          <w:color w:val="auto"/>
        </w:rPr>
      </w:pPr>
      <w:r>
        <w:rPr>
          <w:rFonts w:ascii="Arial" w:cs="Arial" w:eastAsia="Arial" w:hAnsi="Arial"/>
          <w:sz w:val="20"/>
          <w:szCs w:val="20"/>
          <w:color w:val="121212"/>
        </w:rPr>
        <w:t>We have recorded a full valuation allowance related to our NOLs and other deferred tax assets due to the uncertainty of the ultimate realization of the future benefits of those assets.</w:t>
      </w:r>
    </w:p>
    <w:p>
      <w:pPr>
        <w:spacing w:after="0" w:line="284"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121212"/>
        </w:rPr>
        <w:t>Changes in tax laws could have a material adverse effect on our business, cash flows, results of operations or financial condition.</w:t>
      </w:r>
    </w:p>
    <w:p>
      <w:pPr>
        <w:spacing w:after="0" w:line="2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121212"/>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Additionally,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Risks Related to Strategic Process and Potential Strategic Transaction</w:t>
      </w:r>
    </w:p>
    <w:p>
      <w:pPr>
        <w:spacing w:after="0" w:line="36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may not be successful in identifying and implementing any strategic transaction and any strategic transactions that we may consummate in the future may not be successful.</w:t>
      </w:r>
    </w:p>
    <w:p>
      <w:pPr>
        <w:spacing w:after="0" w:line="2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121212"/>
        </w:rPr>
        <w:t>Following our receipt of the topline results of LIFT-AD, we made the determination to explore strategic alternatives focused on maximizing stockholder value. As part of this process, we are exploring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However, there can be no assurance that we will be able to successfully consummate any particular strategic transaction. The process of continuing to evaluate these strategic options is costly, time-consuming and complex and we have incurred and may continue to incur significant costs related to this continued evaluation. We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our business and may diminish or delay any potential cash distributions to our stockholders. In addition, we may not be able to adequately limit or avoid future liabilities, including future costs relating to the lease on our headquarters, which may impair the value of any potential transaction or present additional challenges to completing a strategic transaction.</w:t>
      </w:r>
    </w:p>
    <w:p>
      <w:pPr>
        <w:spacing w:after="0" w:line="77"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121212"/>
        </w:rPr>
        <w:t>There can be no assurances that any particular course of action, business arrangement or transaction, or series of transactions, will be pursued, successfully consummated, lead to increased stockholder value, or achieve the anticipated results. Any failure of such potential transaction to achieve the anticipated results could significantly impair our ability to enter into any future strategic transactions and may significantly reduce or delay any future distributions to our stockholders.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We may not realize any additional value in a strategic transaction.</w:t>
      </w:r>
    </w:p>
    <w:p>
      <w:pPr>
        <w:spacing w:after="0" w:line="116"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121212"/>
        </w:rPr>
        <w:t>The market capitalization of our company is currently below the value of our current cash, cash equivalents and short-term investments. Potential counterparties in a strategic transaction involving our company may place minimal or no value on our assets, including ATH-1105. Further, the development and any potential commercialization of our product candidates would require substantial additional cash to fund the costs associated with conducting the necessary preclinical and clinical testing and obtaining regulatory approval. Consequently, any potential counterparty in a strategic transaction involving our company may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2240" w:h="15840" w:orient="portrait"/>
          <w:cols w:equalWidth="0" w:num="1">
            <w:col w:w="9360"/>
          </w:cols>
          <w:pgMar w:left="1440" w:top="1420" w:right="1440" w:bottom="175" w:gutter="0" w:footer="0" w:header="0"/>
          <w:type w:val="continuous"/>
        </w:sectPr>
      </w:pPr>
    </w:p>
    <w:bookmarkStart w:id="54" w:name="page55"/>
    <w:bookmarkEnd w:id="54"/>
    <w:p>
      <w:pPr>
        <w:jc w:val="both"/>
        <w:spacing w:after="0" w:line="282" w:lineRule="auto"/>
        <w:rPr>
          <w:sz w:val="20"/>
          <w:szCs w:val="20"/>
          <w:color w:val="auto"/>
        </w:rPr>
      </w:pPr>
      <w:r>
        <w:rPr>
          <w:rFonts w:ascii="Arial" w:cs="Arial" w:eastAsia="Arial" w:hAnsi="Arial"/>
          <w:sz w:val="20"/>
          <w:szCs w:val="20"/>
          <w:color w:val="121212"/>
        </w:rPr>
        <w:t>choose not to spend the additional resources necessary to continue developing our product candidates and may attribute little or no value, in such a transaction, to those product candidates.</w:t>
      </w:r>
    </w:p>
    <w:p>
      <w:pPr>
        <w:spacing w:after="0" w:line="44"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we are successful in completing a strategic transaction, we may be exposed to other operational and financial risks.</w:t>
      </w:r>
    </w:p>
    <w:p>
      <w:pPr>
        <w:spacing w:after="0" w:line="2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121212"/>
        </w:rPr>
        <w:t>Although there can be no assurance that a strategic transaction will result from the process we have undertaken to assess strategic alternatives, the negotiation and consummation of any such transaction will require significant time on the part of our management, and the diversion of management’s attention may disrupt the orderly operation of our company. The negotiation and consummation of any such transaction may also require more time or greater cash resources than we anticipate and expose us to other operational and financial risks, including:</w:t>
      </w:r>
    </w:p>
    <w:p>
      <w:pPr>
        <w:spacing w:after="0" w:line="87" w:lineRule="exact"/>
        <w:rPr>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increased near-term and long-term expenditures;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exposure to unknown liabilities;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higher than expected acquisition, disposition or integration costs;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incurrence of substantial debt or dilutive issuances of equity securities to fund future operations;</w:t>
      </w:r>
    </w:p>
    <w:p>
      <w:pPr>
        <w:spacing w:after="0" w:line="144" w:lineRule="exact"/>
        <w:rPr>
          <w:rFonts w:ascii="Arial" w:cs="Arial" w:eastAsia="Arial" w:hAnsi="Arial"/>
          <w:sz w:val="19"/>
          <w:szCs w:val="19"/>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write-downs of assets or incurrence of non-recurring, impairment or other charges;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difficulty and cost in combining the operations and personnel of any acquired business with our operations and personnel;</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impairment of relationships with key suppliers or customers of any acquired business due to changes in management and ownership;</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inability to retain key employees of our company or any acquired business;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possibility of future litigation.</w:t>
      </w:r>
    </w:p>
    <w:p>
      <w:pPr>
        <w:spacing w:after="0" w:line="12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121212"/>
        </w:rPr>
        <w:t>Any of the foregoing risks could have a material adverse effect on our business, financial condition and prospects.</w:t>
      </w:r>
    </w:p>
    <w:p>
      <w:pPr>
        <w:spacing w:after="0" w:line="4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5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121212"/>
        </w:rPr>
        <w:t>There can be no assurance that a strategic transaction will be pursued or completed, and, whether or not such strategic transaction is completed, our board of directors may decide to pursue a dissolution and liquidation of our company.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Risks Related to Regulatory Approval and Other Legal Compliance Matters</w:t>
      </w:r>
    </w:p>
    <w:p>
      <w:pPr>
        <w:spacing w:after="0" w:line="12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2240" w:h="15840" w:orient="portrait"/>
          <w:cols w:equalWidth="0" w:num="1">
            <w:col w:w="9360"/>
          </w:cols>
          <w:pgMar w:left="1440" w:top="1420" w:right="1440" w:bottom="175" w:gutter="0" w:footer="0" w:header="0"/>
          <w:type w:val="continuous"/>
        </w:sectPr>
      </w:pPr>
    </w:p>
    <w:bookmarkStart w:id="55" w:name="page56"/>
    <w:bookmarkEnd w:id="55"/>
    <w:p>
      <w:pPr>
        <w:jc w:val="both"/>
        <w:spacing w:after="0" w:line="289" w:lineRule="auto"/>
        <w:rPr>
          <w:sz w:val="20"/>
          <w:szCs w:val="20"/>
          <w:color w:val="auto"/>
        </w:rPr>
      </w:pPr>
      <w:r>
        <w:rPr>
          <w:rFonts w:ascii="Arial" w:cs="Arial" w:eastAsia="Arial" w:hAnsi="Arial"/>
          <w:sz w:val="20"/>
          <w:szCs w:val="20"/>
          <w:b w:val="1"/>
          <w:bCs w:val="1"/>
          <w:i w:val="1"/>
          <w:iCs w:val="1"/>
          <w:color w:val="auto"/>
        </w:rPr>
        <w:t>not be able to commercialize, or will be delayed in commercializing, our drug candidates, and our ability to generate revenue will be materially impaired.</w:t>
      </w:r>
    </w:p>
    <w:p>
      <w:pPr>
        <w:spacing w:after="0" w:line="142"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p>
    <w:p>
      <w:pPr>
        <w:spacing w:after="0" w:line="192"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spacing w:after="0" w:line="207"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Applications for our drug candidates could fail to receive regulatory approval for many reasons, including the following:</w:t>
      </w:r>
    </w:p>
    <w:p>
      <w:pPr>
        <w:spacing w:after="0" w:line="53" w:lineRule="exact"/>
        <w:rPr>
          <w:sz w:val="20"/>
          <w:szCs w:val="20"/>
          <w:color w:val="auto"/>
        </w:rPr>
      </w:pPr>
    </w:p>
    <w:p>
      <w:pPr>
        <w:ind w:left="980" w:hanging="491"/>
        <w:spacing w:after="0" w:line="282"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disagree with the design, implementation or results of our clinical trials;</w:t>
      </w:r>
    </w:p>
    <w:p>
      <w:pPr>
        <w:spacing w:after="0" w:line="52"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spacing w:after="0" w:line="79"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population studied in the clinical trial may not be sufficiently broad or representative to assure efficacy and safety in the full population for which we seek approval;</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disagree with our interpretation of data from nonclinical studies or clinical trials;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be unable to demonstrate to the FDA or other comparable foreign regulatory authorities that our drug candidate’s risk-benefit ratio for its proposed indication is acceptable;</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73" w:lineRule="exact"/>
        <w:rPr>
          <w:rFonts w:ascii="Arial" w:cs="Arial" w:eastAsia="Arial" w:hAnsi="Arial"/>
          <w:sz w:val="20"/>
          <w:szCs w:val="20"/>
          <w:color w:val="auto"/>
        </w:rPr>
      </w:pPr>
    </w:p>
    <w:p>
      <w:pPr>
        <w:jc w:val="both"/>
        <w:ind w:left="980" w:hanging="491"/>
        <w:spacing w:after="0" w:line="248"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2240" w:h="15840" w:orient="portrait"/>
          <w:cols w:equalWidth="0" w:num="1">
            <w:col w:w="9360"/>
          </w:cols>
          <w:pgMar w:left="1440" w:top="1424" w:right="1440" w:bottom="175" w:gutter="0" w:footer="0" w:header="0"/>
          <w:type w:val="continuous"/>
        </w:sectPr>
      </w:pPr>
    </w:p>
    <w:bookmarkStart w:id="56" w:name="page57"/>
    <w:bookmarkEnd w:id="56"/>
    <w:p>
      <w:pPr>
        <w:jc w:val="both"/>
        <w:ind w:firstLine="490"/>
        <w:spacing w:after="0" w:line="244" w:lineRule="auto"/>
        <w:rPr>
          <w:sz w:val="20"/>
          <w:szCs w:val="20"/>
          <w:color w:val="auto"/>
        </w:rPr>
      </w:pPr>
      <w:r>
        <w:rPr>
          <w:rFonts w:ascii="Arial" w:cs="Arial" w:eastAsia="Arial" w:hAnsi="Arial"/>
          <w:sz w:val="20"/>
          <w:szCs w:val="20"/>
          <w:color w:val="auto"/>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spacing w:after="0" w:line="202"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spacing w:after="0" w:line="316"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b w:val="1"/>
          <w:bCs w:val="1"/>
          <w:i w:val="1"/>
          <w:iCs w:val="1"/>
          <w:color w:val="auto"/>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9"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86"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spacing w:after="0" w:line="197"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spacing w:after="0" w:line="194"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2240" w:h="15840" w:orient="portrait"/>
          <w:cols w:equalWidth="0" w:num="1">
            <w:col w:w="9360"/>
          </w:cols>
          <w:pgMar w:left="1440" w:top="1420" w:right="1440" w:bottom="175" w:gutter="0" w:footer="0" w:header="0"/>
          <w:type w:val="continuous"/>
        </w:sectPr>
      </w:pPr>
    </w:p>
    <w:bookmarkStart w:id="57" w:name="page58"/>
    <w:bookmarkEnd w:id="57"/>
    <w:p>
      <w:pPr>
        <w:jc w:val="both"/>
        <w:spacing w:after="0" w:line="248" w:lineRule="auto"/>
        <w:rPr>
          <w:sz w:val="20"/>
          <w:szCs w:val="20"/>
          <w:color w:val="auto"/>
        </w:rPr>
      </w:pPr>
      <w:r>
        <w:rPr>
          <w:rFonts w:ascii="Arial" w:cs="Arial" w:eastAsia="Arial" w:hAnsi="Arial"/>
          <w:sz w:val="20"/>
          <w:szCs w:val="20"/>
          <w:color w:val="auto"/>
        </w:rPr>
        <w:t>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9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spacing w:after="0" w:line="31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4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spacing w:after="0" w:line="20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spacing w:after="0" w:line="31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spacing w:after="0" w:line="55"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GLP regulations and GCP regulations for any clinical trials that we conduct post-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2240" w:h="15840" w:orient="portrait"/>
          <w:cols w:equalWidth="0" w:num="1">
            <w:col w:w="9360"/>
          </w:cols>
          <w:pgMar w:left="1440" w:top="1420" w:right="1440" w:bottom="175" w:gutter="0" w:footer="0" w:header="0"/>
          <w:type w:val="continuous"/>
        </w:sectPr>
      </w:pPr>
    </w:p>
    <w:bookmarkStart w:id="58" w:name="page59"/>
    <w:bookmarkEnd w:id="58"/>
    <w:p>
      <w:pPr>
        <w:jc w:val="both"/>
        <w:spacing w:after="0" w:line="261" w:lineRule="auto"/>
        <w:rPr>
          <w:sz w:val="20"/>
          <w:szCs w:val="20"/>
          <w:color w:val="auto"/>
        </w:rPr>
      </w:pPr>
      <w:r>
        <w:rPr>
          <w:rFonts w:ascii="Arial" w:cs="Arial" w:eastAsia="Arial" w:hAnsi="Arial"/>
          <w:sz w:val="20"/>
          <w:szCs w:val="20"/>
          <w:color w:val="auto"/>
        </w:rPr>
        <w: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980" w:hanging="491"/>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our drug candidates, withdrawal of the drug product from the market or voluntary or mandatory product recalls;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manufacturing delays and supply disruptions where regulatory inspections identify observations of noncompliance requiring remediation;</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revisions to the labeling, including limitation on approved uses or the addition of additional warnings, contraindications or other safety information, including boxed warnings;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imposition of a REMS, which may include distribution or use restrictions;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requirements to conduct additional post-market clinical trials to assess the safety of the drug product;</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fines, warning letters or holds on clinical trials;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refusal by the FDA to approve pending applications or supplements to approved applications filed by us or suspension or revocation of approvals;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our drug candidates; and</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40"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9"/>
          <w:szCs w:val="19"/>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Recently,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changes in the leadership of the FDA and other federal agencies under the new Trump administration may lead to new policies and changes in the regulations that could increase our compliance costs or delay our clinical development and timelines. We cannot predict the full impact of this decision, future judicial challenges brought against the FDA, or the nature or extent of government regulation that may arise from future legislation or administrative action.</w:t>
      </w:r>
    </w:p>
    <w:p>
      <w:pPr>
        <w:spacing w:after="0" w:line="18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2240" w:h="15840" w:orient="portrait"/>
          <w:cols w:equalWidth="0" w:num="1">
            <w:col w:w="9360"/>
          </w:cols>
          <w:pgMar w:left="1440" w:top="1420" w:right="1440" w:bottom="175" w:gutter="0" w:footer="0" w:header="0"/>
          <w:type w:val="continuous"/>
        </w:sectPr>
      </w:pPr>
    </w:p>
    <w:bookmarkStart w:id="59" w:name="page60"/>
    <w:bookmarkEnd w:id="59"/>
    <w:p>
      <w:pPr>
        <w:jc w:val="both"/>
        <w:spacing w:after="0" w:line="282" w:lineRule="auto"/>
        <w:rPr>
          <w:sz w:val="20"/>
          <w:szCs w:val="20"/>
          <w:color w:val="auto"/>
        </w:rPr>
      </w:pPr>
      <w:r>
        <w:rPr>
          <w:rFonts w:ascii="Arial" w:cs="Arial" w:eastAsia="Arial" w:hAnsi="Arial"/>
          <w:sz w:val="20"/>
          <w:szCs w:val="20"/>
          <w:color w:val="auto"/>
        </w:rPr>
        <w:t>revenue and could require us to expend significant time and resources in response and could generate negative publicity.</w:t>
      </w:r>
    </w:p>
    <w:p>
      <w:pPr>
        <w:spacing w:after="0" w:line="284"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20"/>
          <w:szCs w:val="20"/>
          <w:b w:val="1"/>
          <w:bCs w:val="1"/>
          <w:i w:val="1"/>
          <w:iCs w:val="1"/>
          <w:color w:val="auto"/>
        </w:rPr>
        <w:t>Disruptions at the FDA, the SEC and other government agencies caused by the outcome of the 2024 federal elections, funding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4"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 ability of the FDA to review and approve new products can be affected by a variety of factors, including the outcome of the 2024 federal elections, changes in the administration,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4"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To the extent the FDA’s normal operations are disrupted or delayed, for example due to the outcome of the 2024 federal elections, changes in the administration, travel restrictions, public health or geopolitical issues, staffing shortages,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321"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2"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2240" w:h="15840" w:orient="portrait"/>
          <w:cols w:equalWidth="0" w:num="1">
            <w:col w:w="9360"/>
          </w:cols>
          <w:pgMar w:left="1440" w:top="1420" w:right="1440" w:bottom="175" w:gutter="0" w:footer="0" w:header="0"/>
          <w:type w:val="continuous"/>
        </w:sectPr>
      </w:pPr>
    </w:p>
    <w:bookmarkStart w:id="60" w:name="page61"/>
    <w:bookmarkEnd w:id="60"/>
    <w:p>
      <w:pPr>
        <w:jc w:val="both"/>
        <w:ind w:firstLine="490"/>
        <w:spacing w:after="0" w:line="243" w:lineRule="auto"/>
        <w:rPr>
          <w:sz w:val="20"/>
          <w:szCs w:val="20"/>
          <w:color w:val="auto"/>
        </w:rPr>
      </w:pPr>
      <w:r>
        <w:rPr>
          <w:rFonts w:ascii="Arial" w:cs="Arial" w:eastAsia="Arial" w:hAnsi="Arial"/>
          <w:sz w:val="20"/>
          <w:szCs w:val="20"/>
          <w:color w:val="auto"/>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spacing w:after="0" w:line="19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or OIG, raised concerns with FDA’s accelerated approval of three of the 24 drugs review by OIG. It is unclear how this OIG report, future policy changes, changes in the leadership of FDA, and new FDA regulations, including those that may be implemented under the new Trump administration, will impact new drug applications and our clinical development programs.</w:t>
      </w:r>
    </w:p>
    <w:p>
      <w:pPr>
        <w:spacing w:after="0" w:line="32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47"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p>
    <w:p>
      <w:pPr>
        <w:spacing w:after="0" w:line="68" w:lineRule="exact"/>
        <w:rPr>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changes to our manufacturing arrangements;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additions or modifications to drug product labeling;</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recall or discontinuation of our drug products; or</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additional record-keeping requirements. If any such changes were to be imposed, they could adversely affect the operation of our business.</w:t>
      </w:r>
    </w:p>
    <w:p>
      <w:pPr>
        <w:spacing w:after="0" w:line="160"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2240" w:h="15840" w:orient="portrait"/>
          <w:cols w:equalWidth="0" w:num="1">
            <w:col w:w="9360"/>
          </w:cols>
          <w:pgMar w:left="1440" w:top="1420" w:right="1440" w:bottom="175" w:gutter="0" w:footer="0" w:header="0"/>
          <w:type w:val="continuous"/>
        </w:sectPr>
      </w:pPr>
    </w:p>
    <w:bookmarkStart w:id="61" w:name="page62"/>
    <w:bookmarkEnd w:id="61"/>
    <w:p>
      <w:pPr>
        <w:jc w:val="both"/>
        <w:spacing w:after="0" w:line="255" w:lineRule="auto"/>
        <w:rPr>
          <w:sz w:val="20"/>
          <w:szCs w:val="20"/>
          <w:color w:val="auto"/>
        </w:rPr>
      </w:pPr>
      <w:r>
        <w:rPr>
          <w:rFonts w:ascii="Arial" w:cs="Arial" w:eastAsia="Arial" w:hAnsi="Arial"/>
          <w:sz w:val="19"/>
          <w:szCs w:val="19"/>
          <w:color w:val="auto"/>
        </w:rPr>
        <w:t>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200" w:lineRule="exact"/>
        <w:rPr>
          <w:sz w:val="20"/>
          <w:szCs w:val="20"/>
          <w:color w:val="auto"/>
        </w:rPr>
      </w:pPr>
    </w:p>
    <w:p>
      <w:pPr>
        <w:spacing w:after="0" w:line="231"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spacing w:after="0" w:line="19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spacing w:after="0" w:line="197"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2240" w:h="15840" w:orient="portrait"/>
          <w:cols w:equalWidth="0" w:num="1">
            <w:col w:w="9360"/>
          </w:cols>
          <w:pgMar w:left="1440" w:top="1420" w:right="1440" w:bottom="175" w:gutter="0" w:footer="0" w:header="0"/>
          <w:type w:val="continuous"/>
        </w:sectPr>
      </w:pPr>
    </w:p>
    <w:bookmarkStart w:id="62" w:name="page63"/>
    <w:bookmarkEnd w:id="62"/>
    <w:p>
      <w:pPr>
        <w:jc w:val="both"/>
        <w:spacing w:after="0" w:line="241" w:lineRule="auto"/>
        <w:rPr>
          <w:sz w:val="20"/>
          <w:szCs w:val="20"/>
          <w:color w:val="auto"/>
        </w:rPr>
      </w:pPr>
      <w:r>
        <w:rPr>
          <w:rFonts w:ascii="Arial" w:cs="Arial" w:eastAsia="Arial" w:hAnsi="Arial"/>
          <w:sz w:val="20"/>
          <w:szCs w:val="20"/>
          <w:color w:val="auto"/>
        </w:rPr>
        <w:t xml:space="preserve">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judicial challenges in view of the Supreme Court’s overruling of the </w:t>
      </w:r>
      <w:r>
        <w:rPr>
          <w:rFonts w:ascii="Arial" w:cs="Arial" w:eastAsia="Arial" w:hAnsi="Arial"/>
          <w:sz w:val="20"/>
          <w:szCs w:val="20"/>
          <w:i w:val="1"/>
          <w:iCs w:val="1"/>
          <w:color w:val="auto"/>
        </w:rPr>
        <w:t>Chevron</w:t>
      </w:r>
      <w:r>
        <w:rPr>
          <w:rFonts w:ascii="Arial" w:cs="Arial" w:eastAsia="Arial" w:hAnsi="Arial"/>
          <w:sz w:val="20"/>
          <w:szCs w:val="20"/>
          <w:color w:val="auto"/>
        </w:rPr>
        <w:t xml:space="preserve"> doctrine, other legislative, executive, and administrative actions and any future healthcare measures and agency rules implemented by the new Trump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218"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spacing w:after="0" w:line="186"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recently authorized the state of Florida to develop Section 804 Importation Programs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206"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92"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There have been, and likely will continue to be, legislative and regulatory proposals at the foreign, federal and state levels directed at broadening the availability of healthcare and containing or lowering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2240" w:h="15840" w:orient="portrait"/>
          <w:cols w:equalWidth="0" w:num="1">
            <w:col w:w="9360"/>
          </w:cols>
          <w:pgMar w:left="1440" w:top="1420" w:right="1440" w:bottom="175" w:gutter="0" w:footer="0" w:header="0"/>
          <w:type w:val="continuous"/>
        </w:sectPr>
      </w:pPr>
    </w:p>
    <w:bookmarkStart w:id="63" w:name="page64"/>
    <w:bookmarkEnd w:id="63"/>
    <w:p>
      <w:pPr>
        <w:jc w:val="both"/>
        <w:spacing w:after="0" w:line="254" w:lineRule="auto"/>
        <w:rPr>
          <w:sz w:val="20"/>
          <w:szCs w:val="20"/>
          <w:color w:val="auto"/>
        </w:rPr>
      </w:pPr>
      <w:r>
        <w:rPr>
          <w:rFonts w:ascii="Arial" w:cs="Arial" w:eastAsia="Arial" w:hAnsi="Arial"/>
          <w:sz w:val="20"/>
          <w:szCs w:val="20"/>
          <w:color w:val="auto"/>
        </w:rPr>
        <w:t>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spacing w:after="0" w:line="80" w:lineRule="exact"/>
        <w:rPr>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demand for our drug candidates, if we obtain regulatory approval;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set a price that we believe is fair for our drug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obtain coverage and reimbursement approval for a drug product;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generate revenue and achieve or maintain profitability;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level of taxes that we are required to pay;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availability of capital.</w:t>
      </w:r>
    </w:p>
    <w:p>
      <w:pPr>
        <w:spacing w:after="0" w:line="24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Any reduction in reimbursement from Medicare or other government programs may result in a similar reduction in payments from private payors, which may adversely affect our future profitability.</w:t>
      </w:r>
    </w:p>
    <w:p>
      <w:pPr>
        <w:spacing w:after="0" w:line="160"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31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62"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laws that may affect our ability to operate include, but are not limited to:</w:t>
      </w:r>
    </w:p>
    <w:p>
      <w:pPr>
        <w:spacing w:after="0" w:line="133" w:lineRule="exact"/>
        <w:rPr>
          <w:sz w:val="20"/>
          <w:szCs w:val="20"/>
          <w:color w:val="auto"/>
        </w:rPr>
      </w:pPr>
    </w:p>
    <w:p>
      <w:pPr>
        <w:jc w:val="both"/>
        <w:ind w:left="980" w:hanging="491"/>
        <w:spacing w:after="0" w:line="271" w:lineRule="auto"/>
        <w:tabs>
          <w:tab w:leader="none" w:pos="9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2240" w:h="15840" w:orient="portrait"/>
          <w:cols w:equalWidth="0" w:num="1">
            <w:col w:w="9360"/>
          </w:cols>
          <w:pgMar w:left="1440" w:top="1420" w:right="1440" w:bottom="175" w:gutter="0" w:footer="0" w:header="0"/>
          <w:type w:val="continuous"/>
        </w:sectPr>
      </w:pPr>
    </w:p>
    <w:bookmarkStart w:id="64" w:name="page65"/>
    <w:bookmarkEnd w:id="64"/>
    <w:p>
      <w:pPr>
        <w:jc w:val="both"/>
        <w:ind w:left="980"/>
        <w:spacing w:after="0" w:line="244" w:lineRule="auto"/>
        <w:rPr>
          <w:sz w:val="20"/>
          <w:szCs w:val="20"/>
          <w:color w:val="auto"/>
        </w:rPr>
      </w:pPr>
      <w:r>
        <w:rPr>
          <w:rFonts w:ascii="Arial" w:cs="Arial" w:eastAsia="Arial" w:hAnsi="Arial"/>
          <w:sz w:val="20"/>
          <w:szCs w:val="20"/>
          <w:color w:val="auto"/>
        </w:rPr>
        <w:t>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91" w:lineRule="exact"/>
        <w:rPr>
          <w:sz w:val="20"/>
          <w:szCs w:val="20"/>
          <w:color w:val="auto"/>
        </w:rPr>
      </w:pPr>
    </w:p>
    <w:p>
      <w:pPr>
        <w:jc w:val="both"/>
        <w:ind w:left="980" w:hanging="491"/>
        <w:spacing w:after="0" w:line="242"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93" w:lineRule="exact"/>
        <w:rPr>
          <w:rFonts w:ascii="Arial" w:cs="Arial" w:eastAsia="Arial" w:hAnsi="Arial"/>
          <w:sz w:val="20"/>
          <w:szCs w:val="20"/>
          <w:color w:val="auto"/>
        </w:rPr>
      </w:pPr>
    </w:p>
    <w:p>
      <w:pPr>
        <w:jc w:val="both"/>
        <w:ind w:left="980" w:hanging="491"/>
        <w:spacing w:after="0" w:line="259" w:lineRule="auto"/>
        <w:tabs>
          <w:tab w:leader="none" w:pos="9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5" w:lineRule="exact"/>
        <w:rPr>
          <w:rFonts w:ascii="Arial" w:cs="Arial" w:eastAsia="Arial" w:hAnsi="Arial"/>
          <w:sz w:val="19"/>
          <w:szCs w:val="19"/>
          <w:color w:val="auto"/>
        </w:rPr>
      </w:pPr>
    </w:p>
    <w:p>
      <w:pPr>
        <w:jc w:val="both"/>
        <w:ind w:left="980" w:hanging="491"/>
        <w:spacing w:after="0" w:line="244"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2240" w:h="15840" w:orient="portrait"/>
          <w:cols w:equalWidth="0" w:num="1">
            <w:col w:w="9360"/>
          </w:cols>
          <w:pgMar w:left="1440" w:top="1420" w:right="1440" w:bottom="175" w:gutter="0" w:footer="0" w:header="0"/>
          <w:type w:val="continuous"/>
        </w:sectPr>
      </w:pPr>
    </w:p>
    <w:bookmarkStart w:id="65" w:name="page66"/>
    <w:bookmarkEnd w:id="65"/>
    <w:p>
      <w:pPr>
        <w:jc w:val="both"/>
        <w:ind w:left="980" w:hanging="491"/>
        <w:spacing w:after="0" w:line="245"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90"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federal consumer protection and unfair competition laws, which broadly regulate marketplace activities and activities that potentially harm consumers.</w:t>
      </w:r>
    </w:p>
    <w:p>
      <w:pPr>
        <w:spacing w:after="0" w:line="52" w:lineRule="exact"/>
        <w:rPr>
          <w:rFonts w:ascii="Arial" w:cs="Arial" w:eastAsia="Arial" w:hAnsi="Arial"/>
          <w:sz w:val="20"/>
          <w:szCs w:val="20"/>
          <w:color w:val="auto"/>
        </w:rPr>
      </w:pPr>
    </w:p>
    <w:p>
      <w:pPr>
        <w:jc w:val="both"/>
        <w:ind w:left="980" w:hanging="491"/>
        <w:spacing w:after="0" w:line="243"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9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330"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7"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9"/>
          <w:szCs w:val="19"/>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2240" w:h="15840" w:orient="portrait"/>
          <w:cols w:equalWidth="0" w:num="1">
            <w:col w:w="9360"/>
          </w:cols>
          <w:pgMar w:left="1440" w:top="1434" w:right="1440" w:bottom="175" w:gutter="0" w:footer="0" w:header="0"/>
          <w:type w:val="continuous"/>
        </w:sectPr>
      </w:pPr>
    </w:p>
    <w:bookmarkStart w:id="66" w:name="page67"/>
    <w:bookmarkEnd w:id="66"/>
    <w:p>
      <w:pPr>
        <w:jc w:val="both"/>
        <w:spacing w:after="0" w:line="244" w:lineRule="auto"/>
        <w:rPr>
          <w:sz w:val="20"/>
          <w:szCs w:val="20"/>
          <w:color w:val="auto"/>
        </w:rPr>
      </w:pPr>
      <w:r>
        <w:rPr>
          <w:rFonts w:ascii="Arial" w:cs="Arial" w:eastAsia="Arial" w:hAnsi="Arial"/>
          <w:sz w:val="20"/>
          <w:szCs w:val="20"/>
          <w:color w:val="auto"/>
        </w:rPr>
        <w:t>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22"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2240" w:h="15840" w:orient="portrait"/>
          <w:cols w:equalWidth="0" w:num="1">
            <w:col w:w="9360"/>
          </w:cols>
          <w:pgMar w:left="1440" w:top="1420" w:right="1440" w:bottom="175" w:gutter="0" w:footer="0" w:header="0"/>
          <w:type w:val="continuous"/>
        </w:sectPr>
      </w:pPr>
    </w:p>
    <w:bookmarkStart w:id="67" w:name="page68"/>
    <w:bookmarkEnd w:id="67"/>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7"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Risks Related to Our Reliance on Third Parties</w:t>
      </w:r>
    </w:p>
    <w:p>
      <w:pPr>
        <w:spacing w:after="0" w:line="12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47"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We own or in-license worldwide intellectual property rights to our pipeline of small molecule candidates. Where appropriate, we may use strategic collaborations, licensing arrangements or partnerships to accelerate the development and maximize the commercial potential of our programs. For example, we are actively seeking a partner to assist with the development of ATH-1105 through a joint collaboration agreement, provision of non-dilutive funding, or a combination of these and other structures. Any of these relationships may require us to incur non-recurring and other charges, increase our near and long-term expenditures, issue securities that dilute our existing stockholders or disrupt our management and business.</w:t>
      </w:r>
    </w:p>
    <w:p>
      <w:pPr>
        <w:spacing w:after="0" w:line="7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spacing w:after="0" w:line="74"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77"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Even if we are successful in entering into collaborations involving our drug candidates, these relationships are subject to numerous risks, which may include the following:</w:t>
      </w:r>
    </w:p>
    <w:p>
      <w:pPr>
        <w:spacing w:after="0" w:line="53" w:lineRule="exact"/>
        <w:rPr>
          <w:sz w:val="20"/>
          <w:szCs w:val="20"/>
          <w:color w:val="auto"/>
        </w:rPr>
      </w:pPr>
    </w:p>
    <w:p>
      <w:pPr>
        <w:ind w:left="980" w:hanging="491"/>
        <w:spacing w:after="0" w:line="282"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collaborators have significant discretion in determining the efforts and resources that they will apply to a collaboration;</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collaborators may not pursue development and commercialization of our drug candidates or may elect not to continue or renew development or commercialization of our drug candidates based on clinical trial results, changes in their strategic focus due to the acquisition of</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2240" w:h="15840" w:orient="portrait"/>
          <w:cols w:equalWidth="0" w:num="1">
            <w:col w:w="9360"/>
          </w:cols>
          <w:pgMar w:left="1440" w:top="1424" w:right="1440" w:bottom="175" w:gutter="0" w:footer="0" w:header="0"/>
          <w:type w:val="continuous"/>
        </w:sectPr>
      </w:pPr>
    </w:p>
    <w:bookmarkStart w:id="68" w:name="page69"/>
    <w:bookmarkEnd w:id="68"/>
    <w:p>
      <w:pPr>
        <w:ind w:left="980"/>
        <w:spacing w:after="0" w:line="282" w:lineRule="auto"/>
        <w:rPr>
          <w:sz w:val="20"/>
          <w:szCs w:val="20"/>
          <w:color w:val="auto"/>
        </w:rPr>
      </w:pPr>
      <w:r>
        <w:rPr>
          <w:rFonts w:ascii="Arial" w:cs="Arial" w:eastAsia="Arial" w:hAnsi="Arial"/>
          <w:sz w:val="20"/>
          <w:szCs w:val="20"/>
          <w:color w:val="auto"/>
        </w:rPr>
        <w:t>competitive products, availability of funding or other external factors, such as a business combination that diverts resources or creates competing priorities;</w:t>
      </w:r>
    </w:p>
    <w:p>
      <w:pPr>
        <w:spacing w:after="0" w:line="53" w:lineRule="exact"/>
        <w:rPr>
          <w:sz w:val="20"/>
          <w:szCs w:val="20"/>
          <w:color w:val="auto"/>
        </w:rPr>
      </w:pPr>
    </w:p>
    <w:p>
      <w:pPr>
        <w:jc w:val="both"/>
        <w:ind w:left="980" w:hanging="491"/>
        <w:spacing w:after="0" w:line="261"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collaborators may delay clinical trials, provide insufficient funding for a clinical trial, stop a clinical trial, abandon a drug candidate, repeat or conduct new clinical trials or require a new formulation of a drug candidate for clinical testing;</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collaborators could independently develop, or develop with third parties, products that compete directly or indirectly with our drug candidates;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collaborator with marketing and distribution rights to one or more drug products may not commit sufficient resources to their marketing and distribution;</w:t>
      </w:r>
    </w:p>
    <w:p>
      <w:pPr>
        <w:spacing w:after="0" w:line="52"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9"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collaborations may be terminated and, if terminated, may result in a need for additional capital to pursue further development or commercialization of the applicable drug candidates; and</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collaborators may own or co-own intellectual property covering our drug products that results from our collaborating with them, and in such cases, we would not have the exclusive right to commercialize such intellectual property.</w:t>
      </w:r>
    </w:p>
    <w:p>
      <w:pPr>
        <w:spacing w:after="0" w:line="60"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80" w:lineRule="exact"/>
        <w:rPr>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increased operating expenses and cash requirements;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assumption of additional indebtedness or contingent liabilities;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issuance of our equity securities;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assimilation of operations, intellectual property and products of an acquired company, including difficulties associated with integrating new personnel;</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diversion of our management’s attention from our existing programs and initiatives in pursuing such a strategic merger or acquisition;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2240" w:h="15840" w:orient="portrait"/>
          <w:cols w:equalWidth="0" w:num="1">
            <w:col w:w="9360"/>
          </w:cols>
          <w:pgMar w:left="1440" w:top="1420" w:right="1440" w:bottom="175" w:gutter="0" w:footer="0" w:header="0"/>
          <w:type w:val="continuous"/>
        </w:sectPr>
      </w:pPr>
    </w:p>
    <w:bookmarkStart w:id="69" w:name="page70"/>
    <w:bookmarkEnd w:id="69"/>
    <w:p>
      <w:pPr>
        <w:ind w:left="980" w:hanging="491"/>
        <w:spacing w:after="0" w:line="282" w:lineRule="auto"/>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retention of key employees, the loss of key personnel and uncertainties in our ability to maintain key business relationships;</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risks and uncertainties associated with the other party to such a transaction, including the prospects of that party and their existing products or product candidates and marketing approvals; and</w:t>
      </w:r>
    </w:p>
    <w:p>
      <w:pPr>
        <w:spacing w:after="0" w:line="7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inability to generate revenue from acquired technology or products sufficient to meet our objectives in undertaking the acquisition or even to offset the associated acquisition and maintenance costs.</w:t>
      </w:r>
    </w:p>
    <w:p>
      <w:pPr>
        <w:spacing w:after="0" w:line="18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30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55"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180" w:lineRule="exact"/>
        <w:rPr>
          <w:sz w:val="20"/>
          <w:szCs w:val="20"/>
          <w:color w:val="auto"/>
        </w:rPr>
      </w:pPr>
    </w:p>
    <w:p>
      <w:pPr>
        <w:jc w:val="both"/>
        <w:ind w:firstLine="490"/>
        <w:spacing w:after="0" w:line="241" w:lineRule="auto"/>
        <w:rPr>
          <w:sz w:val="20"/>
          <w:szCs w:val="20"/>
          <w:color w:val="auto"/>
        </w:rPr>
      </w:pPr>
      <w:r>
        <w:rPr>
          <w:rFonts w:ascii="Arial" w:cs="Arial" w:eastAsia="Arial" w:hAnsi="Arial"/>
          <w:sz w:val="20"/>
          <w:szCs w:val="20"/>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15"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2240" w:h="15840" w:orient="portrait"/>
          <w:cols w:equalWidth="0" w:num="1">
            <w:col w:w="9360"/>
          </w:cols>
          <w:pgMar w:left="1440" w:top="1434" w:right="1440" w:bottom="175" w:gutter="0" w:footer="0" w:header="0"/>
          <w:type w:val="continuous"/>
        </w:sectPr>
      </w:pPr>
    </w:p>
    <w:bookmarkStart w:id="70" w:name="page71"/>
    <w:bookmarkEnd w:id="70"/>
    <w:p>
      <w:pPr>
        <w:jc w:val="both"/>
        <w:spacing w:after="0" w:line="247" w:lineRule="auto"/>
        <w:rPr>
          <w:sz w:val="20"/>
          <w:szCs w:val="20"/>
          <w:color w:val="auto"/>
        </w:rPr>
      </w:pPr>
      <w:r>
        <w:rPr>
          <w:rFonts w:ascii="Arial" w:cs="Arial" w:eastAsia="Arial" w:hAnsi="Arial"/>
          <w:sz w:val="20"/>
          <w:szCs w:val="20"/>
          <w:color w:val="auto"/>
        </w:rPr>
        <w:t>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spacing w:after="0" w:line="19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31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b w:val="1"/>
          <w:bCs w:val="1"/>
          <w:i w:val="1"/>
          <w:iCs w:val="1"/>
          <w:color w:val="auto"/>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59"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3" w:lineRule="exact"/>
        <w:rPr>
          <w:sz w:val="20"/>
          <w:szCs w:val="20"/>
          <w:color w:val="auto"/>
        </w:rPr>
      </w:pPr>
    </w:p>
    <w:p>
      <w:pPr>
        <w:jc w:val="both"/>
        <w:ind w:left="980" w:hanging="491"/>
        <w:spacing w:after="0" w:line="254"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spacing w:after="0" w:line="79"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reduction or termination of production or deliveries by suppliers, or the raising of prices or renegotiation of terms;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termination or nonrenewal of arrangements or agreements by our third-party contractors at a time that is costly or inconvenient for us;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breach by the third-party contractors of our agreements with them;</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failure of third-party contractors to comply with applicable regulatory requirements;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failure of the third party to manufacture our drug candidates according to our specifications;</w:t>
      </w:r>
    </w:p>
    <w:p>
      <w:pPr>
        <w:spacing w:after="0" w:line="144" w:lineRule="exact"/>
        <w:rPr>
          <w:rFonts w:ascii="Arial" w:cs="Arial" w:eastAsia="Arial" w:hAnsi="Arial"/>
          <w:sz w:val="19"/>
          <w:szCs w:val="19"/>
          <w:color w:val="auto"/>
        </w:rPr>
      </w:pPr>
    </w:p>
    <w:p>
      <w:pPr>
        <w:ind w:left="980" w:hanging="491"/>
        <w:spacing w:after="0" w:line="282"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mislabeling of clinical supplies, potentially resulting in the wrong dose amounts being supplied or active drug or placebo not being properly identified;</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clinical supplies not being delivered to clinical sites on time, leading to clinical trial interruptions, or of drug supplies not being distributed to commercial vendors in a timely manner, resulting in lost sales; and</w:t>
      </w:r>
    </w:p>
    <w:p>
      <w:pPr>
        <w:spacing w:after="0" w:line="73" w:lineRule="exact"/>
        <w:rPr>
          <w:rFonts w:ascii="Arial" w:cs="Arial" w:eastAsia="Arial" w:hAnsi="Arial"/>
          <w:sz w:val="20"/>
          <w:szCs w:val="20"/>
          <w:color w:val="auto"/>
        </w:rPr>
      </w:pPr>
    </w:p>
    <w:p>
      <w:pPr>
        <w:ind w:left="980" w:hanging="491"/>
        <w:spacing w:after="0"/>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misappropriation of our proprietary information, including our trade secrets and know-how.</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2240" w:h="15840" w:orient="portrait"/>
          <w:cols w:equalWidth="0" w:num="1">
            <w:col w:w="9360"/>
          </w:cols>
          <w:pgMar w:left="1440" w:top="1420" w:right="1440" w:bottom="175" w:gutter="0" w:footer="0" w:header="0"/>
          <w:type w:val="continuous"/>
        </w:sectPr>
      </w:pPr>
    </w:p>
    <w:bookmarkStart w:id="71" w:name="page72"/>
    <w:bookmarkEnd w:id="71"/>
    <w:p>
      <w:pPr>
        <w:jc w:val="both"/>
        <w:ind w:firstLine="490"/>
        <w:spacing w:after="0" w:line="255" w:lineRule="auto"/>
        <w:rPr>
          <w:sz w:val="20"/>
          <w:szCs w:val="20"/>
          <w:color w:val="auto"/>
        </w:rPr>
      </w:pPr>
      <w:r>
        <w:rPr>
          <w:rFonts w:ascii="Arial" w:cs="Arial" w:eastAsia="Arial" w:hAnsi="Arial"/>
          <w:sz w:val="19"/>
          <w:szCs w:val="19"/>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spacing w:after="0" w:line="199"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in 2024, legislative proposals were passed in the House of Representatives and referred to the Senate that would have limited the extension of certain specific types of government contracts or renewals, loans, or grants, to companies that may do business with select Chinese biotechnology equipment or service providers.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may limit our ability to seek foreign regulatory approvals for our drug candidates, or may cause significant industry-wide supply delays or capacity limitations that could materially disrupt our operations, supply chain, and ability to produce, sell and distribute our drug candidates.</w:t>
      </w:r>
    </w:p>
    <w:p>
      <w:pPr>
        <w:spacing w:after="0" w:line="203"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In a recent example of a change in policy that may impact our reliance on foreign third parties, the U.S. government instituted a new set of rules, effective April 8, 2025, that will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will require U.S. businesses to seek assurances from all foreign parties with which they share sensitive data (under certain types of agreements) 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spacing w:after="0" w:line="18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w:t>
      </w:r>
    </w:p>
    <w:p>
      <w:pPr>
        <w:spacing w:after="0" w:line="19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Relatedly, the United States has recently enacted and proposed to enact significant new tariffs.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2240" w:h="15840" w:orient="portrait"/>
          <w:cols w:equalWidth="0" w:num="1">
            <w:col w:w="9360"/>
          </w:cols>
          <w:pgMar w:left="1440" w:top="1420" w:right="1440" w:bottom="175" w:gutter="0" w:footer="0" w:header="0"/>
          <w:type w:val="continuous"/>
        </w:sectPr>
      </w:pPr>
    </w:p>
    <w:bookmarkStart w:id="72" w:name="page73"/>
    <w:bookmarkEnd w:id="72"/>
    <w:p>
      <w:pPr>
        <w:jc w:val="both"/>
        <w:spacing w:after="0" w:line="250" w:lineRule="auto"/>
        <w:rPr>
          <w:sz w:val="20"/>
          <w:szCs w:val="20"/>
          <w:color w:val="auto"/>
        </w:rPr>
      </w:pPr>
      <w:r>
        <w:rPr>
          <w:rFonts w:ascii="Arial" w:cs="Arial" w:eastAsia="Arial" w:hAnsi="Arial"/>
          <w:sz w:val="20"/>
          <w:szCs w:val="20"/>
          <w:color w:val="auto"/>
        </w:rPr>
        <w:t>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third party services.</w:t>
      </w:r>
    </w:p>
    <w:p>
      <w:pPr>
        <w:spacing w:after="0" w:line="192"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cannot predict what products and services may be subject to such actions or what actions may be taken by the other countries in retaliation, any of which may materially and adversely affect our business, financial condition, results of operations, and cash flows.</w:t>
      </w:r>
    </w:p>
    <w:p>
      <w:pPr>
        <w:spacing w:after="0" w:line="30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55"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spacing w:after="0" w:line="333"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our third-party manufacturers use hazardous materials in a manner that causes injury or violates applicable law, we may be liable for damages.</w:t>
      </w:r>
    </w:p>
    <w:p>
      <w:pPr>
        <w:spacing w:after="0" w:line="2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2240" w:h="15840" w:orient="portrait"/>
          <w:cols w:equalWidth="0" w:num="1">
            <w:col w:w="9360"/>
          </w:cols>
          <w:pgMar w:left="1440" w:top="1420" w:right="1440" w:bottom="175" w:gutter="0" w:footer="0" w:header="0"/>
          <w:type w:val="continuous"/>
        </w:sectPr>
      </w:pPr>
    </w:p>
    <w:bookmarkStart w:id="73" w:name="page74"/>
    <w:bookmarkEnd w:id="73"/>
    <w:p>
      <w:pPr>
        <w:ind w:left="500"/>
        <w:spacing w:after="0"/>
        <w:rPr>
          <w:sz w:val="20"/>
          <w:szCs w:val="20"/>
          <w:color w:val="auto"/>
        </w:rPr>
      </w:pPr>
      <w:r>
        <w:rPr>
          <w:rFonts w:ascii="Arial" w:cs="Arial" w:eastAsia="Arial" w:hAnsi="Arial"/>
          <w:sz w:val="20"/>
          <w:szCs w:val="20"/>
          <w:b w:val="1"/>
          <w:bCs w:val="1"/>
          <w:color w:val="auto"/>
        </w:rPr>
        <w:t>Risks Related to Our Ability to Commercialize our Drug Products</w:t>
      </w:r>
    </w:p>
    <w:p>
      <w:pPr>
        <w:spacing w:after="0" w:line="12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Even if approved, our drug candidates may not achieve adequate market acceptance among physicians, patients, healthcare payors and others in the medical community necessary for commercial success.</w:t>
      </w:r>
    </w:p>
    <w:p>
      <w:pPr>
        <w:spacing w:after="0" w:line="4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spacing w:after="0" w:line="80" w:lineRule="exact"/>
        <w:rPr>
          <w:sz w:val="20"/>
          <w:szCs w:val="20"/>
          <w:color w:val="auto"/>
        </w:rPr>
      </w:pPr>
    </w:p>
    <w:p>
      <w:pPr>
        <w:ind w:left="980" w:hanging="491"/>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efficacy and safety profile as demonstrated in clinical trials compared to alternative treatments;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timing of market introduction of the drug candidate as well as competitive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clinical indications for which the drug candidate is approved;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extent of physician acceptance of FDA-approved therapies for target indications;</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restrictions on the use of our drug candidates, such as boxed warnings or contraindications in labeling, or a REMS, if any, which may not be required of alternative treatments and competitor products;</w:t>
      </w:r>
    </w:p>
    <w:p>
      <w:pPr>
        <w:spacing w:after="0" w:line="7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potential and perceived advantages of our drug candidates over alternative treatments;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cost of treatment in relation to alternative treatments;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pricing and the availability of coverage and adequate reimbursement by third-party payors, including government authorities;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availability of the approved drug candidate for use as a combination therapy;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relative convenience and ease of administration;</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willingness of the target patient population to try new therapies and of physicians to prescribe these therapies;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effectiveness of sales and marketing efforts;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unfavorable publicity relating to our drug products or drug candidates or similar approved products or product candidates in development by third parties; and</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approval of other new therapies for the same indications.</w:t>
      </w:r>
    </w:p>
    <w:p>
      <w:pPr>
        <w:spacing w:after="0" w:line="24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cs="Arial" w:eastAsia="Arial" w:hAnsi="Arial"/>
          <w:sz w:val="20"/>
          <w:szCs w:val="20"/>
          <w:color w:val="121212"/>
        </w:rPr>
        <w:t>results</w:t>
      </w:r>
      <w:r>
        <w:rPr>
          <w:rFonts w:ascii="Arial" w:cs="Arial" w:eastAsia="Arial" w:hAnsi="Arial"/>
          <w:sz w:val="20"/>
          <w:szCs w:val="20"/>
          <w:color w:val="auto"/>
        </w:rPr>
        <w:t xml:space="preserve"> could be negatively impacted.</w:t>
      </w:r>
    </w:p>
    <w:p>
      <w:pPr>
        <w:spacing w:after="0" w:line="30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have never commercialized a drug candidate before and may lack the necessary expertise, personnel and resources to successfully commercialize any drug products on our own or together with suitable collaborators.</w:t>
      </w:r>
    </w:p>
    <w:p>
      <w:pPr>
        <w:spacing w:after="0" w:line="47"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cs="Arial" w:eastAsia="Arial" w:hAnsi="Arial"/>
          <w:sz w:val="20"/>
          <w:szCs w:val="20"/>
          <w:color w:val="121212"/>
        </w:rPr>
        <w:t>.</w:t>
      </w:r>
    </w:p>
    <w:p>
      <w:pPr>
        <w:spacing w:after="0" w:line="192"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121212"/>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2240" w:h="15840" w:orient="portrait"/>
          <w:cols w:equalWidth="0" w:num="1">
            <w:col w:w="9360"/>
          </w:cols>
          <w:pgMar w:left="1440" w:top="1416" w:right="1440" w:bottom="175" w:gutter="0" w:footer="0" w:header="0"/>
          <w:type w:val="continuous"/>
        </w:sectPr>
      </w:pPr>
    </w:p>
    <w:bookmarkStart w:id="74" w:name="page75"/>
    <w:bookmarkEnd w:id="74"/>
    <w:p>
      <w:pPr>
        <w:jc w:val="both"/>
        <w:spacing w:after="0" w:line="248" w:lineRule="auto"/>
        <w:rPr>
          <w:sz w:val="20"/>
          <w:szCs w:val="20"/>
          <w:color w:val="auto"/>
        </w:rPr>
      </w:pPr>
      <w:r>
        <w:rPr>
          <w:rFonts w:ascii="Arial" w:cs="Arial" w:eastAsia="Arial" w:hAnsi="Arial"/>
          <w:sz w:val="20"/>
          <w:szCs w:val="20"/>
          <w:color w:val="121212"/>
        </w:rPr>
        <w:t>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cs="Arial" w:eastAsia="Arial" w:hAnsi="Arial"/>
          <w:sz w:val="20"/>
          <w:szCs w:val="20"/>
          <w:color w:val="000000"/>
        </w:rPr>
        <w:t>.</w:t>
      </w:r>
    </w:p>
    <w:p>
      <w:pPr>
        <w:spacing w:after="0" w:line="31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the market opportunity for any drug candidate that we develop is smaller than we believe, our revenue may be adversely affected and our business may suffer.</w:t>
      </w:r>
    </w:p>
    <w:p>
      <w:pPr>
        <w:spacing w:after="0" w:line="2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spacing w:after="0" w:line="32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product liability lawsuits are brought against us, we may incur substantial liabilities and may be required to limit commercialization of our drug candidates.</w:t>
      </w:r>
    </w:p>
    <w:p>
      <w:pPr>
        <w:spacing w:after="0" w:line="2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95" w:lineRule="exact"/>
        <w:rPr>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decreased demand for our drug candidates or drug products that we may develop;</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injury to our reputation;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withdrawal of clinical trial participants;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costs to defend the related litigation;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diversion of management’s time and our resources;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substantial monetary awards to clinical trial participants or patients;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drug product recalls, withdrawals or labeling, marketing or promotional restrictions;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loss of revenue;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exhaustion of any available insurance and our capital resources;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2240" w:h="15840" w:orient="portrait"/>
          <w:cols w:equalWidth="0" w:num="1">
            <w:col w:w="9360"/>
          </w:cols>
          <w:pgMar w:left="1440" w:top="1420" w:right="1440" w:bottom="175" w:gutter="0" w:footer="0" w:header="0"/>
          <w:type w:val="continuous"/>
        </w:sectPr>
      </w:pPr>
    </w:p>
    <w:bookmarkStart w:id="75" w:name="page76"/>
    <w:bookmarkEnd w:id="75"/>
    <w:p>
      <w:pPr>
        <w:ind w:left="980" w:hanging="491"/>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inability to commercialize any drug candidate;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decline in our share price.</w:t>
      </w:r>
    </w:p>
    <w:p>
      <w:pPr>
        <w:spacing w:after="0" w:line="280"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cs="Arial" w:eastAsia="Arial" w:hAnsi="Arial"/>
          <w:sz w:val="20"/>
          <w:szCs w:val="20"/>
          <w:color w:val="121212"/>
        </w:rPr>
        <w:t>collaborators</w:t>
      </w:r>
      <w:r>
        <w:rPr>
          <w:rFonts w:ascii="Arial" w:cs="Arial" w:eastAsia="Arial" w:hAnsi="Arial"/>
          <w:sz w:val="20"/>
          <w:szCs w:val="20"/>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21"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20"/>
          <w:szCs w:val="20"/>
          <w:b w:val="1"/>
          <w:bCs w:val="1"/>
          <w:i w:val="1"/>
          <w:iCs w:val="1"/>
          <w:color w:val="auto"/>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p>
    <w:p>
      <w:pPr>
        <w:spacing w:after="0" w:line="6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spacing w:after="0" w:line="206"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9"/>
          <w:szCs w:val="19"/>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2" w:lineRule="exact"/>
        <w:rPr>
          <w:sz w:val="20"/>
          <w:szCs w:val="20"/>
          <w:color w:val="auto"/>
        </w:rPr>
      </w:pPr>
    </w:p>
    <w:p>
      <w:pPr>
        <w:ind w:left="980" w:hanging="491"/>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covered benefit under its health plan;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safe, effective and medically necessary;</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2240" w:h="15840" w:orient="portrait"/>
          <w:cols w:equalWidth="0" w:num="1">
            <w:col w:w="9360"/>
          </w:cols>
          <w:pgMar w:left="1440" w:top="1434" w:right="1440" w:bottom="175" w:gutter="0" w:footer="0" w:header="0"/>
          <w:type w:val="continuous"/>
        </w:sectPr>
      </w:pPr>
    </w:p>
    <w:bookmarkStart w:id="76" w:name="page77"/>
    <w:bookmarkEnd w:id="76"/>
    <w:p>
      <w:pPr>
        <w:ind w:left="980" w:hanging="491"/>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appropriate for the specific patient;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cost-effective;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neither experimental nor investigational.</w:t>
      </w:r>
    </w:p>
    <w:p>
      <w:pPr>
        <w:spacing w:after="0" w:line="240"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20"/>
          <w:szCs w:val="20"/>
          <w:color w:val="121212"/>
        </w:rPr>
        <w:t>prices</w:t>
      </w:r>
      <w:r>
        <w:rPr>
          <w:rFonts w:ascii="Arial" w:cs="Arial" w:eastAsia="Arial" w:hAnsi="Arial"/>
          <w:sz w:val="20"/>
          <w:szCs w:val="20"/>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spacing w:after="0" w:line="202"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cs="Arial" w:eastAsia="Arial" w:hAnsi="Arial"/>
          <w:sz w:val="20"/>
          <w:szCs w:val="20"/>
          <w:color w:val="121212"/>
        </w:rPr>
        <w:t>.</w:t>
      </w:r>
    </w:p>
    <w:p>
      <w:pPr>
        <w:spacing w:after="0" w:line="198"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121212"/>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spacing w:after="0" w:line="194"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121212"/>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2240" w:h="15840" w:orient="portrait"/>
          <w:cols w:equalWidth="0" w:num="1">
            <w:col w:w="9360"/>
          </w:cols>
          <w:pgMar w:left="1440" w:top="1434" w:right="1440" w:bottom="175" w:gutter="0" w:footer="0" w:header="0"/>
          <w:type w:val="continuous"/>
        </w:sectPr>
      </w:pPr>
    </w:p>
    <w:bookmarkStart w:id="77" w:name="page78"/>
    <w:bookmarkEnd w:id="77"/>
    <w:p>
      <w:pPr>
        <w:jc w:val="both"/>
        <w:spacing w:after="0" w:line="261" w:lineRule="auto"/>
        <w:rPr>
          <w:sz w:val="20"/>
          <w:szCs w:val="20"/>
          <w:color w:val="auto"/>
        </w:rPr>
      </w:pPr>
      <w:r>
        <w:rPr>
          <w:rFonts w:ascii="Arial" w:cs="Arial" w:eastAsia="Arial" w:hAnsi="Arial"/>
          <w:sz w:val="20"/>
          <w:szCs w:val="20"/>
          <w:color w:val="121212"/>
        </w:rPr>
        <w:t>changes. The downward pressure on healthcare costs in general, particularly prescription drugs and surgical procedures and other treatments, has become very intense. As a result, increasingly high barriers are being erected to the entry of new products</w:t>
      </w:r>
      <w:r>
        <w:rPr>
          <w:rFonts w:ascii="Arial" w:cs="Arial" w:eastAsia="Arial" w:hAnsi="Arial"/>
          <w:sz w:val="20"/>
          <w:szCs w:val="20"/>
          <w:color w:val="000000"/>
        </w:rPr>
        <w:t>.</w:t>
      </w:r>
    </w:p>
    <w:p>
      <w:pPr>
        <w:spacing w:after="0" w:line="304"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A variety of risks associated with marketing our drug candidates internationally may materially adversely affect our business.</w:t>
      </w:r>
    </w:p>
    <w:p>
      <w:pPr>
        <w:spacing w:after="0" w:line="22"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 xml:space="preserve">We plan to eventually seek regulatory approval of our drug candidates outside of the United States and, accordingly, we </w:t>
      </w:r>
      <w:r>
        <w:rPr>
          <w:rFonts w:ascii="Arial" w:cs="Arial" w:eastAsia="Arial" w:hAnsi="Arial"/>
          <w:sz w:val="20"/>
          <w:szCs w:val="20"/>
          <w:color w:val="121212"/>
        </w:rPr>
        <w:t>expect</w:t>
      </w:r>
      <w:r>
        <w:rPr>
          <w:rFonts w:ascii="Arial" w:cs="Arial" w:eastAsia="Arial" w:hAnsi="Arial"/>
          <w:sz w:val="20"/>
          <w:szCs w:val="20"/>
          <w:color w:val="auto"/>
        </w:rPr>
        <w:t xml:space="preserve"> that we will be subject to additional risks related to operating in foreign countries if we obtain the necessary approvals, including:</w:t>
      </w:r>
    </w:p>
    <w:p>
      <w:pPr>
        <w:spacing w:after="0" w:line="73" w:lineRule="exact"/>
        <w:rPr>
          <w:sz w:val="20"/>
          <w:szCs w:val="20"/>
          <w:color w:val="auto"/>
        </w:rPr>
      </w:pPr>
    </w:p>
    <w:p>
      <w:pPr>
        <w:jc w:val="both"/>
        <w:ind w:left="980" w:hanging="491"/>
        <w:spacing w:after="0" w:line="261"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foreign regulatory authorities may disagree with the design, implementation or results of our clinical trials or our interpretation of data from nonclinical studies or clinical trials;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approval policies or regulations of foreign regulatory authorities may significantly change in a manner rendering our clinical data insufficient for approval;</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impact of health epidemics on our ability to produce our drug candidates and conduct clinical trials in foreign countries;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unexpected changes in tariffs, trade barriers, price and exchange controls and other regulatory requirements;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economic weakness, including inflation, or political instability in particular foreign economies and markets;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compliance with legal requirements applicable to privacy, data protection, information security and other matters;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compliance with tax, employment, immigration and labor laws for employees living or traveling abroad;</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foreign taxes, including withholding of payroll taxes;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foreign currency fluctuations, which could result in increased operating expenses and reduced revenue, and other obligations incident to doing business in another country;</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difficulties staffing and managing foreign operations;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complexities associated with managing multiple payor reimbursement regimes and government payors in foreign countries;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workforce uncertainty in countries where labor unrest is more common than in the United States;</w:t>
      </w:r>
    </w:p>
    <w:p>
      <w:pPr>
        <w:spacing w:after="0" w:line="144" w:lineRule="exact"/>
        <w:rPr>
          <w:rFonts w:ascii="Arial" w:cs="Arial" w:eastAsia="Arial" w:hAnsi="Arial"/>
          <w:sz w:val="19"/>
          <w:szCs w:val="19"/>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potential liability under the Foreign Corrupt Practices Act of 1977 or comparable foreign regulations;</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challenges enforcing our contractual and intellectual property rights, especially in those foreign countries that do not respect and protect intellectual property rights to the same extent as the United States;</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production shortages resulting from any events affecting raw material supply or manufacturing capabilities abroad; and</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business interruptions resulting from geo-political actions, including war and terrorism.</w:t>
      </w:r>
    </w:p>
    <w:p>
      <w:pPr>
        <w:spacing w:after="0" w:line="240"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 xml:space="preserve">These and other risks associated with international operations may materially adversely affect our ability to attain or maintain </w:t>
      </w:r>
      <w:r>
        <w:rPr>
          <w:rFonts w:ascii="Arial" w:cs="Arial" w:eastAsia="Arial" w:hAnsi="Arial"/>
          <w:sz w:val="20"/>
          <w:szCs w:val="20"/>
          <w:color w:val="121212"/>
        </w:rPr>
        <w:t>profitable</w:t>
      </w:r>
      <w:r>
        <w:rPr>
          <w:rFonts w:ascii="Arial" w:cs="Arial" w:eastAsia="Arial" w:hAnsi="Arial"/>
          <w:sz w:val="20"/>
          <w:szCs w:val="20"/>
          <w:color w:val="auto"/>
        </w:rPr>
        <w:t xml:space="preserve"> operations.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2240" w:h="15840" w:orient="portrait"/>
          <w:cols w:equalWidth="0" w:num="1">
            <w:col w:w="9360"/>
          </w:cols>
          <w:pgMar w:left="1440" w:top="1420" w:right="1440" w:bottom="175" w:gutter="0" w:footer="0" w:header="0"/>
          <w:type w:val="continuous"/>
        </w:sectPr>
      </w:pPr>
    </w:p>
    <w:bookmarkStart w:id="78" w:name="page79"/>
    <w:bookmarkEnd w:id="78"/>
    <w:p>
      <w:pPr>
        <w:ind w:left="500"/>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12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Our success depends on our ability to protect our intellectual property and our proprietary technologies.</w:t>
      </w:r>
    </w:p>
    <w:p>
      <w:pPr>
        <w:spacing w:after="0" w:line="2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spacing w:after="0" w:line="19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9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spacing w:after="0" w:line="193"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7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spacing w:after="0" w:line="73" w:lineRule="exact"/>
        <w:rPr>
          <w:sz w:val="20"/>
          <w:szCs w:val="20"/>
          <w:color w:val="auto"/>
        </w:rPr>
      </w:pPr>
    </w:p>
    <w:p>
      <w:pPr>
        <w:jc w:val="both"/>
        <w:ind w:left="980" w:hanging="491"/>
        <w:spacing w:after="0" w:line="254"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9" w:lineRule="exact"/>
        <w:rPr>
          <w:rFonts w:ascii="Arial" w:cs="Arial" w:eastAsia="Arial" w:hAnsi="Arial"/>
          <w:sz w:val="20"/>
          <w:szCs w:val="20"/>
          <w:color w:val="auto"/>
        </w:rPr>
      </w:pPr>
    </w:p>
    <w:p>
      <w:pPr>
        <w:ind w:left="980" w:hanging="491"/>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patent applications may not result in any patents being issued;</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patents and patent applications may be challenged, invalidated, modified, revoked, circumvented, found to be unenforceable or otherwise may not provide any competitive advantage;</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changes to patent laws in the United States or in other countries may limit the ability to obtain, defend or enforce patents, or may apply retroactively to affect the term or scope of patents;</w:t>
      </w:r>
    </w:p>
    <w:p>
      <w:pPr>
        <w:spacing w:after="0" w:line="52"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spacing w:after="0" w:line="79" w:lineRule="exact"/>
        <w:rPr>
          <w:rFonts w:ascii="Arial" w:cs="Arial" w:eastAsia="Arial" w:hAnsi="Arial"/>
          <w:sz w:val="20"/>
          <w:szCs w:val="20"/>
          <w:color w:val="auto"/>
        </w:rPr>
      </w:pPr>
    </w:p>
    <w:p>
      <w:pPr>
        <w:jc w:val="both"/>
        <w:ind w:left="980" w:hanging="491"/>
        <w:spacing w:after="0" w:line="282"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there may be significant pressure on the U.S. government and international governmental bodies to limit the scope or term of patent protection both inside and outside the United States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2240" w:h="15840" w:orient="portrait"/>
          <w:cols w:equalWidth="0" w:num="1">
            <w:col w:w="9360"/>
          </w:cols>
          <w:pgMar w:left="1440" w:top="1416" w:right="1440" w:bottom="175" w:gutter="0" w:footer="0" w:header="0"/>
          <w:type w:val="continuous"/>
        </w:sectPr>
      </w:pPr>
    </w:p>
    <w:bookmarkStart w:id="79" w:name="page80"/>
    <w:bookmarkEnd w:id="79"/>
    <w:p>
      <w:pPr>
        <w:ind w:left="980"/>
        <w:spacing w:after="0" w:line="282" w:lineRule="auto"/>
        <w:rPr>
          <w:sz w:val="20"/>
          <w:szCs w:val="20"/>
          <w:color w:val="auto"/>
        </w:rPr>
      </w:pPr>
      <w:r>
        <w:rPr>
          <w:rFonts w:ascii="Arial" w:cs="Arial" w:eastAsia="Arial" w:hAnsi="Arial"/>
          <w:sz w:val="20"/>
          <w:szCs w:val="20"/>
          <w:color w:val="auto"/>
        </w:rPr>
        <w:t>for disease treatments that prove successful, as a matter of public policy regarding worldwide health concerns; and</w:t>
      </w:r>
    </w:p>
    <w:p>
      <w:pPr>
        <w:spacing w:after="0" w:line="53" w:lineRule="exact"/>
        <w:rPr>
          <w:sz w:val="20"/>
          <w:szCs w:val="20"/>
          <w:color w:val="auto"/>
        </w:rPr>
      </w:pPr>
    </w:p>
    <w:p>
      <w:pPr>
        <w:jc w:val="both"/>
        <w:ind w:left="980" w:hanging="491"/>
        <w:spacing w:after="0" w:line="261"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8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32"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spacing w:after="0" w:line="19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spacing w:after="0" w:line="310"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p>
    <w:p>
      <w:pPr>
        <w:spacing w:after="0" w:line="4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spacing w:after="0" w:line="19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19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challenging our patent rights. An adverse determination in any such submission, proceeding or litigation could reduce the scope or term</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2240" w:h="15840" w:orient="portrait"/>
          <w:cols w:equalWidth="0" w:num="1">
            <w:col w:w="9360"/>
          </w:cols>
          <w:pgMar w:left="1440" w:top="1420" w:right="1440" w:bottom="175" w:gutter="0" w:footer="0" w:header="0"/>
          <w:type w:val="continuous"/>
        </w:sectPr>
      </w:pPr>
    </w:p>
    <w:bookmarkStart w:id="80" w:name="page81"/>
    <w:bookmarkEnd w:id="80"/>
    <w:p>
      <w:pPr>
        <w:jc w:val="both"/>
        <w:spacing w:after="0" w:line="261" w:lineRule="auto"/>
        <w:rPr>
          <w:sz w:val="20"/>
          <w:szCs w:val="20"/>
          <w:color w:val="auto"/>
        </w:rPr>
      </w:pPr>
      <w:r>
        <w:rPr>
          <w:rFonts w:ascii="Arial" w:cs="Arial" w:eastAsia="Arial" w:hAnsi="Arial"/>
          <w:sz w:val="20"/>
          <w:szCs w:val="20"/>
          <w:color w:val="auto"/>
        </w:rPr>
        <w:t>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p>
    <w:p>
      <w:pPr>
        <w:spacing w:after="0" w:line="180"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spacing w:after="0" w:line="186"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 xml:space="preserve">For example, in view of the lawsuits disclosed elsewhere in this report including in this “Risk Factors” section under the heading “ </w:t>
      </w:r>
      <w:r>
        <w:rPr>
          <w:rFonts w:ascii="Arial" w:cs="Arial" w:eastAsia="Arial" w:hAnsi="Arial"/>
          <w:sz w:val="19"/>
          <w:szCs w:val="19"/>
          <w:i w:val="1"/>
          <w:iCs w:val="1"/>
          <w:color w:val="auto"/>
        </w:rPr>
        <w:t>-We and certain of our directors and executive officers have been, and may in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the future be, named as defendants in lawsuits that could result in substantial costs and divert management’s attention </w:t>
      </w:r>
      <w:r>
        <w:rPr>
          <w:rFonts w:ascii="Arial" w:cs="Arial" w:eastAsia="Arial" w:hAnsi="Arial"/>
          <w:sz w:val="19"/>
          <w:szCs w:val="19"/>
          <w:color w:val="auto"/>
        </w:rPr>
        <w:t>,” and in “Part I, Item 3 – Legal Proceedings,” third parties may challenge the</w:t>
      </w:r>
      <w:r>
        <w:rPr>
          <w:rFonts w:ascii="Arial" w:cs="Arial" w:eastAsia="Arial" w:hAnsi="Arial"/>
          <w:sz w:val="19"/>
          <w:szCs w:val="19"/>
          <w:i w:val="1"/>
          <w:iCs w:val="1"/>
          <w:color w:val="auto"/>
        </w:rPr>
        <w:t xml:space="preserve"> </w:t>
      </w:r>
      <w:r>
        <w:rPr>
          <w:rFonts w:ascii="Arial" w:cs="Arial" w:eastAsia="Arial" w:hAnsi="Arial"/>
          <w:sz w:val="19"/>
          <w:szCs w:val="19"/>
          <w:color w:val="auto"/>
        </w:rPr>
        <w:t>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p>
    <w:p>
      <w:pPr>
        <w:spacing w:after="0" w:line="184"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Even though we own patents and patent applications covering our small molecule drug candidates, our patents and any future patents we obtain may not effectively prevent others from developing or commercializing products similar to our drug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spacing w:after="0" w:line="188"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supplemental 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197" w:lineRule="exact"/>
        <w:rPr>
          <w:sz w:val="20"/>
          <w:szCs w:val="20"/>
          <w:color w:val="auto"/>
        </w:rPr>
      </w:pPr>
    </w:p>
    <w:p>
      <w:pPr>
        <w:jc w:val="both"/>
        <w:ind w:firstLine="490"/>
        <w:spacing w:after="0" w:line="310" w:lineRule="auto"/>
        <w:rPr>
          <w:sz w:val="20"/>
          <w:szCs w:val="20"/>
          <w:color w:val="auto"/>
        </w:rPr>
      </w:pPr>
      <w:r>
        <w:rPr>
          <w:rFonts w:ascii="Arial" w:cs="Arial" w:eastAsia="Arial" w:hAnsi="Arial"/>
          <w:sz w:val="19"/>
          <w:szCs w:val="19"/>
          <w:color w:val="auto"/>
        </w:rPr>
        <w:t>ATH-1105, our small molecule drug candidate currently in development for the potential treatment of ALS, was independently developed by us and is not covered by nor subject to the WSU license agreement.</w:t>
      </w:r>
    </w:p>
    <w:p>
      <w:pPr>
        <w:spacing w:after="0" w:line="260"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Intellectual property rights do not necessarily address all potential threats to our competitive advantage.</w:t>
      </w:r>
    </w:p>
    <w:p>
      <w:pPr>
        <w:spacing w:after="0" w:line="22"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3" w:lineRule="exact"/>
        <w:rPr>
          <w:sz w:val="20"/>
          <w:szCs w:val="20"/>
          <w:color w:val="auto"/>
        </w:rPr>
      </w:pPr>
    </w:p>
    <w:p>
      <w:pPr>
        <w:ind w:left="980" w:hanging="491"/>
        <w:spacing w:after="0" w:line="282" w:lineRule="auto"/>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others may be able to develop products that are similar to our drug candidates but that are not covered by the claims of the patents that we own or license;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2240" w:h="15840" w:orient="portrait"/>
          <w:cols w:equalWidth="0" w:num="1">
            <w:col w:w="9360"/>
          </w:cols>
          <w:pgMar w:left="1440" w:top="1420" w:right="1440" w:bottom="175" w:gutter="0" w:footer="0" w:header="0"/>
          <w:type w:val="continuous"/>
        </w:sectPr>
      </w:pPr>
    </w:p>
    <w:bookmarkStart w:id="81" w:name="page82"/>
    <w:bookmarkEnd w:id="81"/>
    <w:p>
      <w:pPr>
        <w:ind w:left="980" w:hanging="491"/>
        <w:spacing w:after="0" w:line="282"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we or any current or future licensors or collaborators might not have been the first to make the inventions covered by the issued patents or patent application that we own or license;</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we or any current or future licensors or collaborators might not have been the first to file patent applications covering certain of our or their inventions;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our intellectual property rights;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it is possible that the pending patent applications we own or license will not lead to issued patents;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issued patents that we own or license may be held invalid or unenforceable, as a result of legal challenges by our competitors;</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3" w:lineRule="exact"/>
        <w:rPr>
          <w:rFonts w:ascii="Arial" w:cs="Arial" w:eastAsia="Arial" w:hAnsi="Arial"/>
          <w:sz w:val="20"/>
          <w:szCs w:val="20"/>
          <w:color w:val="auto"/>
        </w:rPr>
      </w:pPr>
    </w:p>
    <w:p>
      <w:pPr>
        <w:ind w:left="980" w:hanging="491"/>
        <w:spacing w:after="0"/>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we may not develop additional proprietary technologies that are patentable;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patents of others may have an adverse effect on our business; and</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we may choose not to file a patent application in order to maintain certain trade secrets or know-how, and a third party may subsequently file a patent application covering such intellectual property.</w:t>
      </w:r>
    </w:p>
    <w:p>
      <w:pPr>
        <w:spacing w:after="0" w:line="18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Should any of these events occur, it could significantly harm our business, results of operations and prospects.</w:t>
      </w:r>
    </w:p>
    <w:p>
      <w:pPr>
        <w:spacing w:after="0" w:line="28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5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spacing w:after="0" w:line="20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2240" w:h="15840" w:orient="portrait"/>
          <w:cols w:equalWidth="0" w:num="1">
            <w:col w:w="9360"/>
          </w:cols>
          <w:pgMar w:left="1440" w:top="1434" w:right="1440" w:bottom="175" w:gutter="0" w:footer="0" w:header="0"/>
          <w:type w:val="continuous"/>
        </w:sectPr>
      </w:pPr>
    </w:p>
    <w:bookmarkStart w:id="82" w:name="page83"/>
    <w:bookmarkEnd w:id="82"/>
    <w:p>
      <w:pPr>
        <w:jc w:val="both"/>
        <w:spacing w:after="0" w:line="248" w:lineRule="auto"/>
        <w:rPr>
          <w:sz w:val="20"/>
          <w:szCs w:val="20"/>
          <w:color w:val="auto"/>
        </w:rPr>
      </w:pPr>
      <w:r>
        <w:rPr>
          <w:rFonts w:ascii="Arial" w:cs="Arial" w:eastAsia="Arial" w:hAnsi="Arial"/>
          <w:sz w:val="20"/>
          <w:szCs w:val="20"/>
          <w:color w:val="auto"/>
        </w:rPr>
        <w:t>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spacing w:after="0" w:line="87" w:lineRule="exact"/>
        <w:rPr>
          <w:sz w:val="20"/>
          <w:szCs w:val="20"/>
          <w:color w:val="auto"/>
        </w:rPr>
      </w:pPr>
    </w:p>
    <w:p>
      <w:pPr>
        <w:ind w:left="980" w:hanging="491"/>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result in costly litigation that may cause negative publicity;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divert the time and attention of our technical personnel and management;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cause development delays;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prevent us from commercializing any of our drug candidates until the asserted patent expires or is held finally invalid or not infringed in a court of law;</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require us to develop non-infringing technology, which may not be possible on a cost-effective basis;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subject us to significant liability to third parties; or</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80"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9"/>
          <w:szCs w:val="19"/>
          <w:color w:val="auto"/>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spacing w:after="0" w:line="18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317"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may not be successful in obtaining or maintaining necessary rights to our drug candidates through acquisitions and in-licenses.</w:t>
      </w:r>
    </w:p>
    <w:p>
      <w:pPr>
        <w:spacing w:after="0" w:line="22"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2240" w:h="15840" w:orient="portrait"/>
          <w:cols w:equalWidth="0" w:num="1">
            <w:col w:w="9360"/>
          </w:cols>
          <w:pgMar w:left="1440" w:top="1420" w:right="1440" w:bottom="175" w:gutter="0" w:footer="0" w:header="0"/>
          <w:type w:val="continuous"/>
        </w:sectPr>
      </w:pPr>
    </w:p>
    <w:bookmarkStart w:id="83" w:name="page84"/>
    <w:bookmarkEnd w:id="83"/>
    <w:p>
      <w:pPr>
        <w:jc w:val="both"/>
        <w:spacing w:after="0" w:line="244" w:lineRule="auto"/>
        <w:rPr>
          <w:sz w:val="20"/>
          <w:szCs w:val="20"/>
          <w:color w:val="auto"/>
        </w:rPr>
      </w:pPr>
      <w:r>
        <w:rPr>
          <w:rFonts w:ascii="Arial" w:cs="Arial" w:eastAsia="Arial" w:hAnsi="Arial"/>
          <w:sz w:val="20"/>
          <w:szCs w:val="20"/>
          <w:color w:val="auto"/>
        </w:rPr>
        <w:t>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326"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5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spacing w:after="0" w:line="20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spacing w:after="0" w:line="20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2240" w:h="15840" w:orient="portrait"/>
          <w:cols w:equalWidth="0" w:num="1">
            <w:col w:w="9360"/>
          </w:cols>
          <w:pgMar w:left="1440" w:top="1420" w:right="1440" w:bottom="175" w:gutter="0" w:footer="0" w:header="0"/>
          <w:type w:val="continuous"/>
        </w:sectPr>
      </w:pPr>
    </w:p>
    <w:bookmarkStart w:id="84" w:name="page85"/>
    <w:bookmarkEnd w:id="84"/>
    <w:p>
      <w:pPr>
        <w:jc w:val="both"/>
        <w:ind w:firstLine="490"/>
        <w:spacing w:after="0" w:line="248" w:lineRule="auto"/>
        <w:rPr>
          <w:sz w:val="20"/>
          <w:szCs w:val="20"/>
          <w:color w:val="auto"/>
        </w:rPr>
      </w:pPr>
      <w:r>
        <w:rPr>
          <w:rFonts w:ascii="Arial" w:cs="Arial" w:eastAsia="Arial" w:hAnsi="Arial"/>
          <w:sz w:val="20"/>
          <w:szCs w:val="20"/>
          <w:color w:val="auto"/>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spacing w:after="0" w:line="19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In addition, the issuance of a patent does not give us the right to practice the patented invention. Third parties may have blocking patents that could prevent us from marketing our own patented drug product and practicing our own patented technology.</w:t>
      </w:r>
    </w:p>
    <w:p>
      <w:pPr>
        <w:spacing w:after="0" w:line="304"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Intellectual property litigation or legal proceedings may lead to unfavorable publicity that harms our reputation and causes the market price of our common stock to decline.</w:t>
      </w:r>
    </w:p>
    <w:p>
      <w:pPr>
        <w:spacing w:after="0" w:line="2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spacing w:after="0" w:line="31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47"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2240" w:h="15840" w:orient="portrait"/>
          <w:cols w:equalWidth="0" w:num="1">
            <w:col w:w="9360"/>
          </w:cols>
          <w:pgMar w:left="1440" w:top="1420" w:right="1440" w:bottom="175" w:gutter="0" w:footer="0" w:header="0"/>
          <w:type w:val="continuous"/>
        </w:sectPr>
      </w:pPr>
    </w:p>
    <w:bookmarkStart w:id="85" w:name="page86"/>
    <w:bookmarkEnd w:id="85"/>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47"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spacing w:after="0" w:line="209"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9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pacing w:after="0" w:line="322"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Changes in U.S. patent law, or laws in other countries, could diminish the value of patents in general, thereby impairing our ability to protect our drug candidates.</w:t>
      </w:r>
    </w:p>
    <w:p>
      <w:pPr>
        <w:spacing w:after="0" w:line="22"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7"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For example, the U.S. Supreme Court has ruled on several patent cases in recent years, either narrowing the scope of patent protection available in certain circumstances or weakening the rights of</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2240" w:h="15840" w:orient="portrait"/>
          <w:cols w:equalWidth="0" w:num="1">
            <w:col w:w="9360"/>
          </w:cols>
          <w:pgMar w:left="1440" w:top="1424" w:right="1440" w:bottom="175" w:gutter="0" w:footer="0" w:header="0"/>
          <w:type w:val="continuous"/>
        </w:sectPr>
      </w:pPr>
    </w:p>
    <w:bookmarkStart w:id="86" w:name="page87"/>
    <w:bookmarkEnd w:id="86"/>
    <w:p>
      <w:pPr>
        <w:jc w:val="both"/>
        <w:spacing w:after="0" w:line="242" w:lineRule="auto"/>
        <w:rPr>
          <w:sz w:val="20"/>
          <w:szCs w:val="20"/>
          <w:color w:val="auto"/>
        </w:rPr>
      </w:pPr>
      <w:r>
        <w:rPr>
          <w:rFonts w:ascii="Arial" w:cs="Arial" w:eastAsia="Arial" w:hAnsi="Arial"/>
          <w:sz w:val="20"/>
          <w:szCs w:val="20"/>
          <w:color w:val="auto"/>
        </w:rPr>
        <w:t>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p>
    <w:p>
      <w:pPr>
        <w:spacing w:after="0" w:line="326"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may be subject to claims challenging the inventorship or ownership of our patents and other intellectual property.</w:t>
      </w:r>
    </w:p>
    <w:p>
      <w:pPr>
        <w:spacing w:after="0" w:line="2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31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Patent terms may be inadequate to protect our competitive position on our drug candidates for an adequate amount of time.</w:t>
      </w:r>
    </w:p>
    <w:p>
      <w:pPr>
        <w:spacing w:after="0" w:line="22"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spacing w:after="0" w:line="32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we do not obtain patent term extension for our drug candidates, our business may be materially harmed.</w:t>
      </w:r>
    </w:p>
    <w:p>
      <w:pPr>
        <w:spacing w:after="0" w:line="22"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2240" w:h="15840" w:orient="portrait"/>
          <w:cols w:equalWidth="0" w:num="1">
            <w:col w:w="9360"/>
          </w:cols>
          <w:pgMar w:left="1440" w:top="1420" w:right="1440" w:bottom="175" w:gutter="0" w:footer="0" w:header="0"/>
          <w:type w:val="continuous"/>
        </w:sectPr>
      </w:pPr>
    </w:p>
    <w:bookmarkStart w:id="87" w:name="page88"/>
    <w:bookmarkEnd w:id="87"/>
    <w:p>
      <w:pPr>
        <w:jc w:val="both"/>
        <w:spacing w:after="0" w:line="244" w:lineRule="auto"/>
        <w:rPr>
          <w:sz w:val="20"/>
          <w:szCs w:val="20"/>
          <w:color w:val="auto"/>
        </w:rPr>
      </w:pPr>
      <w:r>
        <w:rPr>
          <w:rFonts w:ascii="Arial" w:cs="Arial" w:eastAsia="Arial" w:hAnsi="Arial"/>
          <w:sz w:val="20"/>
          <w:szCs w:val="20"/>
          <w:color w:val="auto"/>
        </w:rPr>
        <w:t>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spacing w:after="0" w:line="3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We will not be able to protect our intellectual property rights throughout the world.</w:t>
      </w:r>
    </w:p>
    <w:p>
      <w:pPr>
        <w:spacing w:after="0" w:line="116"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spacing w:after="0" w:line="20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3"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8"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2240" w:h="15840" w:orient="portrait"/>
          <w:cols w:equalWidth="0" w:num="1">
            <w:col w:w="9360"/>
          </w:cols>
          <w:pgMar w:left="1440" w:top="1420" w:right="1440" w:bottom="175" w:gutter="0" w:footer="0" w:header="0"/>
          <w:type w:val="continuous"/>
        </w:sectPr>
      </w:pPr>
    </w:p>
    <w:bookmarkStart w:id="88" w:name="page89"/>
    <w:bookmarkEnd w:id="88"/>
    <w:p>
      <w:pPr>
        <w:jc w:val="both"/>
        <w:spacing w:after="0" w:line="246" w:lineRule="auto"/>
        <w:rPr>
          <w:sz w:val="20"/>
          <w:szCs w:val="20"/>
          <w:color w:val="auto"/>
        </w:rPr>
      </w:pPr>
      <w:r>
        <w:rPr>
          <w:rFonts w:ascii="Arial" w:cs="Arial" w:eastAsia="Arial" w:hAnsi="Arial"/>
          <w:sz w:val="20"/>
          <w:szCs w:val="20"/>
          <w:color w:val="auto"/>
        </w:rPr>
        <w:t>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31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55"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330"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2"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9"/>
          <w:szCs w:val="19"/>
          <w:color w:val="auto"/>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spacing w:after="0" w:line="31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22"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2240" w:h="15840" w:orient="portrait"/>
          <w:cols w:equalWidth="0" w:num="1">
            <w:col w:w="9360"/>
          </w:cols>
          <w:pgMar w:left="1440" w:top="1420" w:right="1440" w:bottom="175" w:gutter="0" w:footer="0" w:header="0"/>
          <w:type w:val="continuous"/>
        </w:sectPr>
      </w:pPr>
    </w:p>
    <w:bookmarkStart w:id="89" w:name="page90"/>
    <w:bookmarkEnd w:id="89"/>
    <w:p>
      <w:pPr>
        <w:jc w:val="both"/>
        <w:spacing w:after="0" w:line="261" w:lineRule="auto"/>
        <w:rPr>
          <w:sz w:val="20"/>
          <w:szCs w:val="20"/>
          <w:color w:val="auto"/>
        </w:rPr>
      </w:pPr>
      <w:r>
        <w:rPr>
          <w:rFonts w:ascii="Arial" w:cs="Arial" w:eastAsia="Arial" w:hAnsi="Arial"/>
          <w:sz w:val="20"/>
          <w:szCs w:val="20"/>
          <w:color w:val="auto"/>
        </w:rPr>
        <w:t>party improperly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17"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may be subject to claims that we or our employees have wrongfully used or disclosed alleged confidential information or trade secrets of third parties.</w:t>
      </w:r>
    </w:p>
    <w:p>
      <w:pPr>
        <w:spacing w:after="0" w:line="2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31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47"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2240" w:h="15840" w:orient="portrait"/>
          <w:cols w:equalWidth="0" w:num="1">
            <w:col w:w="9360"/>
          </w:cols>
          <w:pgMar w:left="1440" w:top="1420" w:right="1440" w:bottom="175" w:gutter="0" w:footer="0" w:header="0"/>
          <w:type w:val="continuous"/>
        </w:sectPr>
      </w:pPr>
    </w:p>
    <w:bookmarkStart w:id="90" w:name="page91"/>
    <w:bookmarkEnd w:id="90"/>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Our rights to develop and commercialize our drug candidates may be subject, in part, to the terms and conditions of licenses granted to us by others.</w:t>
      </w:r>
    </w:p>
    <w:p>
      <w:pPr>
        <w:spacing w:after="0" w:line="2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spacing w:after="0" w:line="193"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spacing w:after="0" w:line="19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spacing w:after="0" w:line="193"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spacing w:after="0" w:line="330"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55"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Disputes may arise between us and our current or future licensors regarding intellectual property and other rights subject to a license agreement, including:</w:t>
      </w:r>
    </w:p>
    <w:p>
      <w:pPr>
        <w:spacing w:after="0" w:line="53" w:lineRule="exact"/>
        <w:rPr>
          <w:sz w:val="20"/>
          <w:szCs w:val="20"/>
          <w:color w:val="auto"/>
        </w:rPr>
      </w:pPr>
    </w:p>
    <w:p>
      <w:pPr>
        <w:ind w:left="980" w:hanging="491"/>
        <w:spacing w:after="0"/>
        <w:tabs>
          <w:tab w:leader="none" w:pos="9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scope of rights granted under the license agreement and other interpretation-related issues;</w:t>
      </w:r>
    </w:p>
    <w:p>
      <w:pPr>
        <w:spacing w:after="0" w:line="144" w:lineRule="exact"/>
        <w:rPr>
          <w:rFonts w:ascii="Arial" w:cs="Arial" w:eastAsia="Arial" w:hAnsi="Arial"/>
          <w:sz w:val="19"/>
          <w:szCs w:val="19"/>
          <w:color w:val="auto"/>
        </w:rPr>
      </w:pPr>
    </w:p>
    <w:p>
      <w:pPr>
        <w:ind w:left="980" w:hanging="491"/>
        <w:spacing w:after="0" w:line="282"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whether and the extent to which our drug candidates infringe on intellectual property of the licensor that is not subject to the licensing agreement;</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our right to sublicense to third parties;</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2240" w:h="15840" w:orient="portrait"/>
          <w:cols w:equalWidth="0" w:num="1">
            <w:col w:w="9360"/>
          </w:cols>
          <w:pgMar w:left="1440" w:top="1424" w:right="1440" w:bottom="175" w:gutter="0" w:footer="0" w:header="0"/>
          <w:type w:val="continuous"/>
        </w:sectPr>
      </w:pPr>
    </w:p>
    <w:bookmarkStart w:id="91" w:name="page92"/>
    <w:bookmarkEnd w:id="91"/>
    <w:p>
      <w:pPr>
        <w:ind w:left="980" w:hanging="491"/>
        <w:spacing w:after="0" w:line="282"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diligence obligations under the license agreement and what activities satisfy those diligence obligations;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right to transfer or assign the license;</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inventorship and ownership of inventions and know-how resulting from the joint creation or use of intellectual property by our licensors and us and our partners; and</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priority of invention of patented technology.</w:t>
      </w:r>
    </w:p>
    <w:p>
      <w:pPr>
        <w:spacing w:after="0" w:line="240"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spacing w:after="0" w:line="20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spacing w:after="0" w:line="317"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The patent protection and patent prosecution for some of our drug candidates may be dependent on third parties.</w:t>
      </w:r>
    </w:p>
    <w:p>
      <w:pPr>
        <w:spacing w:after="0" w:line="2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27"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b w:val="1"/>
          <w:bCs w:val="1"/>
          <w:i w:val="1"/>
          <w:iCs w:val="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59"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Pursuant to the Bayh-Dole Act of 1980, or the Bayh-Dole Act, the U.S. government may have certain rights in any invention developed or reduced to practice with government funding. We have in the past, and we may in the future, discovered, developed, acquired, or licensed new intellectual property that has been generated through the use of U.S. government funding or grants in which the U.S. government may have certain rights pursuant to the Bayh-Dole Act. These U.S. government rights include a non-exclusive, non-</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2240" w:h="15840" w:orient="portrait"/>
          <w:cols w:equalWidth="0" w:num="1">
            <w:col w:w="9360"/>
          </w:cols>
          <w:pgMar w:left="1440" w:top="1434" w:right="1440" w:bottom="175" w:gutter="0" w:footer="0" w:header="0"/>
          <w:type w:val="continuous"/>
        </w:sectPr>
      </w:pPr>
    </w:p>
    <w:bookmarkStart w:id="92" w:name="page93"/>
    <w:bookmarkEnd w:id="92"/>
    <w:p>
      <w:pPr>
        <w:jc w:val="both"/>
        <w:spacing w:after="0" w:line="254" w:lineRule="auto"/>
        <w:rPr>
          <w:sz w:val="20"/>
          <w:szCs w:val="20"/>
          <w:color w:val="auto"/>
        </w:rPr>
      </w:pPr>
      <w:r>
        <w:rPr>
          <w:rFonts w:ascii="Arial" w:cs="Arial" w:eastAsia="Arial" w:hAnsi="Arial"/>
          <w:sz w:val="19"/>
          <w:szCs w:val="19"/>
          <w:color w:val="auto"/>
        </w:rPr>
        <w:t>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Risks Related to Cybersecurity</w:t>
      </w:r>
    </w:p>
    <w:p>
      <w:pPr>
        <w:spacing w:after="0" w:line="128"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20"/>
          <w:szCs w:val="20"/>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59"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9"/>
          <w:szCs w:val="19"/>
          <w:color w:val="auto"/>
        </w:rPr>
        <w:t>As discussed in the section of this report titled "Part 1, Item 1.C—Cybersecurity,"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2240" w:h="15840" w:orient="portrait"/>
          <w:cols w:equalWidth="0" w:num="1">
            <w:col w:w="9360"/>
          </w:cols>
          <w:pgMar w:left="1440" w:top="1420" w:right="1440" w:bottom="175" w:gutter="0" w:footer="0" w:header="0"/>
          <w:type w:val="continuous"/>
        </w:sectPr>
      </w:pPr>
    </w:p>
    <w:bookmarkStart w:id="93" w:name="page94"/>
    <w:bookmarkEnd w:id="93"/>
    <w:p>
      <w:pPr>
        <w:jc w:val="both"/>
        <w:spacing w:after="0" w:line="282" w:lineRule="auto"/>
        <w:rPr>
          <w:sz w:val="20"/>
          <w:szCs w:val="20"/>
          <w:color w:val="auto"/>
        </w:rPr>
      </w:pPr>
      <w:r>
        <w:rPr>
          <w:rFonts w:ascii="Arial" w:cs="Arial" w:eastAsia="Arial" w:hAnsi="Arial"/>
          <w:sz w:val="20"/>
          <w:szCs w:val="20"/>
          <w:color w:val="auto"/>
        </w:rPr>
        <w:t>that could materially disrupt our systems and operations, supply chain, and ability to produce, sell and distribute our goods and services.</w:t>
      </w:r>
    </w:p>
    <w:p>
      <w:pPr>
        <w:spacing w:after="0" w:line="160"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0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8"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spacing w:after="0" w:line="203"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2240" w:h="15840" w:orient="portrait"/>
          <w:cols w:equalWidth="0" w:num="1">
            <w:col w:w="9360"/>
          </w:cols>
          <w:pgMar w:left="1440" w:top="1420" w:right="1440" w:bottom="175" w:gutter="0" w:footer="0" w:header="0"/>
          <w:type w:val="continuous"/>
        </w:sectPr>
      </w:pPr>
    </w:p>
    <w:bookmarkStart w:id="94" w:name="page95"/>
    <w:bookmarkEnd w:id="94"/>
    <w:p>
      <w:pPr>
        <w:jc w:val="both"/>
        <w:spacing w:after="0" w:line="244" w:lineRule="auto"/>
        <w:rPr>
          <w:sz w:val="20"/>
          <w:szCs w:val="20"/>
          <w:color w:val="auto"/>
        </w:rPr>
      </w:pPr>
      <w:r>
        <w:rPr>
          <w:rFonts w:ascii="Arial" w:cs="Arial" w:eastAsia="Arial" w:hAnsi="Arial"/>
          <w:sz w:val="20"/>
          <w:szCs w:val="20"/>
          <w:color w:val="auto"/>
        </w:rPr>
        <w:t>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20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31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Data collection is governed by restrictive regulations governing the use, processing and cross-border transfer of personal information.</w:t>
      </w:r>
    </w:p>
    <w:p>
      <w:pPr>
        <w:spacing w:after="0" w:line="22"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p>
    <w:p>
      <w:pPr>
        <w:spacing w:after="0" w:line="198"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2240" w:h="15840" w:orient="portrait"/>
          <w:cols w:equalWidth="0" w:num="1">
            <w:col w:w="9360"/>
          </w:cols>
          <w:pgMar w:left="1440" w:top="1420" w:right="1440" w:bottom="175" w:gutter="0" w:footer="0" w:header="0"/>
          <w:type w:val="continuous"/>
        </w:sectPr>
      </w:pPr>
    </w:p>
    <w:bookmarkStart w:id="95" w:name="page96"/>
    <w:bookmarkEnd w:id="95"/>
    <w:p>
      <w:pPr>
        <w:jc w:val="both"/>
        <w:ind w:firstLine="490"/>
        <w:spacing w:after="0" w:line="242" w:lineRule="auto"/>
        <w:rPr>
          <w:sz w:val="20"/>
          <w:szCs w:val="20"/>
          <w:color w:val="auto"/>
        </w:rPr>
      </w:pPr>
      <w:r>
        <w:rPr>
          <w:rFonts w:ascii="Arial" w:cs="Arial" w:eastAsia="Arial" w:hAnsi="Arial"/>
          <w:sz w:val="20"/>
          <w:szCs w:val="20"/>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spacing w:after="0" w:line="202"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97"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197"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2240" w:h="15840" w:orient="portrait"/>
          <w:cols w:equalWidth="0" w:num="1">
            <w:col w:w="9360"/>
          </w:cols>
          <w:pgMar w:left="1440" w:top="1420" w:right="1440" w:bottom="175" w:gutter="0" w:footer="0" w:header="0"/>
          <w:type w:val="continuous"/>
        </w:sectPr>
      </w:pPr>
    </w:p>
    <w:bookmarkStart w:id="96" w:name="page97"/>
    <w:bookmarkEnd w:id="96"/>
    <w:p>
      <w:pPr>
        <w:ind w:left="500"/>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12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20"/>
          <w:szCs w:val="20"/>
          <w:b w:val="1"/>
          <w:bCs w:val="1"/>
          <w:i w:val="1"/>
          <w:iCs w:val="1"/>
          <w:color w:val="auto"/>
        </w:rPr>
        <w:t>If we do not regain compliance with or continue to satisfy the Nasdaq continued listing requirements, our common stock could be delisted from the Nasdaq, which may make it more difficult for investors to sell shares of our common stock and consequently may negatively impact the price of our common stock.</w:t>
      </w:r>
    </w:p>
    <w:p>
      <w:pPr>
        <w:spacing w:after="0" w:line="55"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9"/>
          <w:szCs w:val="19"/>
          <w:color w:val="auto"/>
        </w:rPr>
        <w:t>We have in the past and we may in the future fail to comply with the Nasdaq listing rules, including, the minimum $1.00 per share closing bid price requirement, the minimum $50.0 million market value of listed securities requirement, and the minimum $15.0 million market value of publicly held shares requirement. From September 4, 2024 to February 26, 2025, our common stock has had a closing bid price below the minimum $1.00 requirement and the market value of our listed securities has been below the minimum $50 million requirement. We received a deficiency notice from Nasdaq with respect to the closing bid price requirement on October 16, 2024. If our common stock ceases to be listed for trading on the Nasdaq for failure to comply with the minimum $1.00 per share closing bid price requirement, the $50 million market value of listed securities requirement, or for any other reason, it may harm our stock price, increase the volatility of our stock price, decrease the level of trading activity and make it more difficult for investors to buy or sell shares of our common stock. If we are not listed on the Nasdaq, our ability to raise capital will be adversely impacted. Trading in our common stock may also be halted or suspended in the future on the Nasdaq due to market or trading conditions at the discretion of the Nasdaq. Any halt or suspension in the trading in our common stock may negatively impact the market price of our common stock.</w:t>
      </w:r>
    </w:p>
    <w:p>
      <w:pPr>
        <w:spacing w:after="0" w:line="30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do not know whether an active market for our common stock will be sustained, and, as a result, it may be difficult for you to sell your shares of our common stock.</w:t>
      </w:r>
    </w:p>
    <w:p>
      <w:pPr>
        <w:spacing w:after="0" w:line="22"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p>
    <w:p>
      <w:pPr>
        <w:spacing w:after="0" w:line="316"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The market price of our common stock has been and may continue to be volatile, which could result in substantial losses for investors.</w:t>
      </w:r>
    </w:p>
    <w:p>
      <w:pPr>
        <w:spacing w:after="0" w:line="22"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73" w:lineRule="exact"/>
        <w:rPr>
          <w:sz w:val="20"/>
          <w:szCs w:val="20"/>
          <w:color w:val="auto"/>
        </w:rPr>
      </w:pPr>
    </w:p>
    <w:p>
      <w:pPr>
        <w:ind w:left="980" w:hanging="491"/>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results of nonclinical studies and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success of existing or new competitive products or technologies;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timing and results of clinical trials for our current drug candidates and any future drug candidates that we may develop;</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commencement or termination of collaborations for our drug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failure or discontinuation of any of our drug candidates;</w:t>
      </w:r>
    </w:p>
    <w:p>
      <w:pPr>
        <w:spacing w:after="0" w:line="13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results of nonclinical studies, clinical trials or regulatory approvals of drug candidates of our competitors, or announcements about new research programs or drug candidates of our competitors;</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investor reactions to other companies’ drug development results, including product failures or negative responses from regulatory authorities;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regulatory or legal developments in the United States and other countries;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developments or disputes concerning patent applications, issued patents or other proprietary rights;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2240" w:h="15840" w:orient="portrait"/>
          <w:cols w:equalWidth="0" w:num="1">
            <w:col w:w="9360"/>
          </w:cols>
          <w:pgMar w:left="1440" w:top="1416" w:right="1440" w:bottom="175" w:gutter="0" w:footer="0" w:header="0"/>
          <w:type w:val="continuous"/>
        </w:sectPr>
      </w:pPr>
    </w:p>
    <w:bookmarkStart w:id="97" w:name="page98"/>
    <w:bookmarkEnd w:id="97"/>
    <w:p>
      <w:pPr>
        <w:ind w:left="980" w:hanging="491"/>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recruitment or departure of key personnel, including in connection with our workforce reduction announced in September 2024;</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negative press coverage;</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status of any litigation and/or government investigations, including the potential commencement of additional litigation or investigations;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results of an investigation into our former CEO, Leen Kawas, by WSU;</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level of expenses related to any of our research programs, drug candidates that we may develop;</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results of our efforts to develop additional drug candidates or drug products;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actual or anticipated changes in estimates as to financial results, development timelines or recommendations by securities analysts;</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announcement or expectation of additional financing efforts, including, but not limited to, under our ATM offering;</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sales of our common stock by us, our insiders, or other stockholders;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variations in our financial results or those of companies that are perceived to be similar to us;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changes in estimates or recommendations by securities analysts, if any, that cover our stock;</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changes in the structure of healthcare payment systems;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market conditions in the pharmaceutical and biotechnology sectors;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volatility with the banking system;</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potential impact of health epidemics on our business;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direct or indirect impacts on our business, our suppliers and other third parties and our clinical sites as a result of geopolitical events, including the Russia-Ukraine war;</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general economic, industry, and market conditions;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other factors described in this “Part I, Item 1A – Risk Factors” section.</w:t>
      </w:r>
    </w:p>
    <w:p>
      <w:pPr>
        <w:spacing w:after="0" w:line="240"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32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and certain of our directors and executive officers have been, and may in the future be, named as defendants in lawsuits that could result in substantial costs and divert management’s attention.</w:t>
      </w:r>
    </w:p>
    <w:p>
      <w:pPr>
        <w:spacing w:after="0" w:line="47"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As described elsewhere in this report in “Part I, Item 3 – Legal Proceedings,” we and certain of our executive officers and directors were named as defendants in a class action lawsuit that generally alleged that we and certain of our officers and directors violated Sections 10(b) and 20(a) of the Exchange Act and Rule 10b-5 promulgated thereunder and Sections 11, 12, and 15 of the Securities Act by making allegedly false or misleading statements and omitting material adverse facts regarding our business. Certain of our executive officers and directors were also named as defendants in derivative actions, which were based on similar allegations, and generally alleged that defendants breached their fiduciary duties to us, among other</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2240" w:h="15840" w:orient="portrait"/>
          <w:cols w:equalWidth="0" w:num="1">
            <w:col w:w="9360"/>
          </w:cols>
          <w:pgMar w:left="1440" w:top="1434" w:right="1440" w:bottom="175" w:gutter="0" w:footer="0" w:header="0"/>
          <w:type w:val="continuous"/>
        </w:sectPr>
      </w:pPr>
    </w:p>
    <w:bookmarkStart w:id="98" w:name="page99"/>
    <w:bookmarkEnd w:id="98"/>
    <w:p>
      <w:pPr>
        <w:jc w:val="both"/>
        <w:spacing w:after="0" w:line="256" w:lineRule="auto"/>
        <w:rPr>
          <w:sz w:val="20"/>
          <w:szCs w:val="20"/>
          <w:color w:val="auto"/>
        </w:rPr>
      </w:pPr>
      <w:r>
        <w:rPr>
          <w:rFonts w:ascii="Arial" w:cs="Arial" w:eastAsia="Arial" w:hAnsi="Arial"/>
          <w:sz w:val="19"/>
          <w:szCs w:val="19"/>
          <w:color w:val="auto"/>
        </w:rPr>
        <w:t>things. We were named as a nominal defendant in these derivative proceedings. These complaints sought unspecified compensatory and punitive damages, and reasonable costs and expenses, including attorneys’ fees, and other relief. Although we have insurance, it provides for a substantial retention of liability and is subject to limitations and may not cover a significant portion, or any, of the expenses or liabilities we may incur or be subject to in connection with any class action lawsuit or other litigation to which we become party. Moreover, any conclusion of such matters in a manner adverse to us and for which we incur substantial costs or damages not covered by our directors’ and officers’ liability insurance would have a material adverse effect on our financial condition and business. In addition, such litigation would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318" w:lineRule="exact"/>
        <w:rPr>
          <w:sz w:val="20"/>
          <w:szCs w:val="20"/>
          <w:color w:val="auto"/>
        </w:rPr>
      </w:pPr>
    </w:p>
    <w:p>
      <w:pPr>
        <w:ind w:right="220" w:firstLine="490"/>
        <w:spacing w:after="0" w:line="289" w:lineRule="auto"/>
        <w:rPr>
          <w:sz w:val="20"/>
          <w:szCs w:val="20"/>
          <w:color w:val="auto"/>
        </w:rPr>
      </w:pPr>
      <w:r>
        <w:rPr>
          <w:rFonts w:ascii="Arial" w:cs="Arial" w:eastAsia="Arial" w:hAnsi="Arial"/>
          <w:sz w:val="20"/>
          <w:szCs w:val="20"/>
          <w:b w:val="1"/>
          <w:bCs w:val="1"/>
          <w:i w:val="1"/>
          <w:iCs w:val="1"/>
          <w:color w:val="auto"/>
        </w:rPr>
        <w:t>Actions by activist stockholders have in the past been, and may in the future be, disruptive and could cause uncertainty about the strategic direction of our business.</w:t>
      </w:r>
    </w:p>
    <w:p>
      <w:pPr>
        <w:spacing w:after="0" w:line="22"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p>
    <w:p>
      <w:pPr>
        <w:spacing w:after="0" w:line="18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73" w:lineRule="exact"/>
        <w:rPr>
          <w:sz w:val="20"/>
          <w:szCs w:val="20"/>
          <w:color w:val="auto"/>
        </w:rPr>
      </w:pPr>
    </w:p>
    <w:p>
      <w:pPr>
        <w:jc w:val="both"/>
        <w:ind w:left="980" w:hanging="491"/>
        <w:spacing w:after="0" w:line="254"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79" w:lineRule="exact"/>
        <w:rPr>
          <w:rFonts w:ascii="Arial" w:cs="Arial" w:eastAsia="Arial" w:hAnsi="Arial"/>
          <w:sz w:val="20"/>
          <w:szCs w:val="20"/>
          <w:color w:val="auto"/>
        </w:rPr>
      </w:pPr>
    </w:p>
    <w:p>
      <w:pPr>
        <w:jc w:val="both"/>
        <w:ind w:left="980" w:hanging="491"/>
        <w:spacing w:after="0" w:line="248"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87"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actions by activist stockholders may interfere with any efforts that we undertake in the future to raise capital;</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73"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18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2240" w:h="15840" w:orient="portrait"/>
          <w:cols w:equalWidth="0" w:num="1">
            <w:col w:w="9360"/>
          </w:cols>
          <w:pgMar w:left="1440" w:top="1420" w:right="1440" w:bottom="175" w:gutter="0" w:footer="0" w:header="0"/>
          <w:type w:val="continuous"/>
        </w:sectPr>
      </w:pPr>
    </w:p>
    <w:bookmarkStart w:id="99" w:name="page100"/>
    <w:bookmarkEnd w:id="99"/>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4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p>
    <w:p>
      <w:pPr>
        <w:spacing w:after="0" w:line="193"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9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4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Our directors, executive officers, significant holders of our outstanding common stock and their respective affiliates beneficially own a substantial amount of our outstanding common stock as of December 31, 2024.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302"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We are an “emerging growth company,” and the reduced disclosure requirements applicable to emerging growth companies may make our common stock less attractive to investors.</w:t>
      </w:r>
    </w:p>
    <w:p>
      <w:pPr>
        <w:spacing w:after="0" w:line="2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the Sarbanes-Oxley Act,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32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Failure to build and maintain our finance infrastructure and improve our accounting systems and controls could impair our ability to comply with the financial reporting and internal controls requirements for publicly traded companies.</w:t>
      </w:r>
    </w:p>
    <w:p>
      <w:pPr>
        <w:spacing w:after="0" w:line="47"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2240" w:h="15840" w:orient="portrait"/>
          <w:cols w:equalWidth="0" w:num="1">
            <w:col w:w="9360"/>
          </w:cols>
          <w:pgMar w:left="1440" w:top="1424" w:right="1440" w:bottom="175" w:gutter="0" w:footer="0" w:header="0"/>
          <w:type w:val="continuous"/>
        </w:sectPr>
      </w:pPr>
    </w:p>
    <w:bookmarkStart w:id="100" w:name="page101"/>
    <w:bookmarkEnd w:id="100"/>
    <w:p>
      <w:pPr>
        <w:jc w:val="both"/>
        <w:spacing w:after="0" w:line="267" w:lineRule="auto"/>
        <w:rPr>
          <w:sz w:val="20"/>
          <w:szCs w:val="20"/>
          <w:color w:val="auto"/>
        </w:rPr>
      </w:pPr>
      <w:r>
        <w:rPr>
          <w:rFonts w:ascii="Arial" w:cs="Arial" w:eastAsia="Arial" w:hAnsi="Arial"/>
          <w:sz w:val="19"/>
          <w:szCs w:val="19"/>
          <w:color w:val="auto"/>
        </w:rPr>
        <w:t>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175"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9"/>
          <w:szCs w:val="19"/>
          <w:color w:val="auto"/>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31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4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87" w:lineRule="exact"/>
        <w:rPr>
          <w:sz w:val="20"/>
          <w:szCs w:val="20"/>
          <w:color w:val="auto"/>
        </w:rPr>
      </w:pPr>
    </w:p>
    <w:p>
      <w:pPr>
        <w:ind w:left="980" w:hanging="491"/>
        <w:spacing w:after="0" w:line="282"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permit the board of directors to issue up to 100,000,000 shares of preferred stock, with any rights, preferences and privileges as they may designate;</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provide that the authorized number of directors may be changed only by resolution of the board of directors;</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provide that all vacancies, including newly-created directorships, may, except as otherwise required by law, be filled by the affirmative vote of a majority of directors then in office, even if less than a quorum;</w:t>
      </w:r>
    </w:p>
    <w:p>
      <w:pPr>
        <w:spacing w:after="0" w:line="73" w:lineRule="exact"/>
        <w:rPr>
          <w:rFonts w:ascii="Arial" w:cs="Arial" w:eastAsia="Arial" w:hAnsi="Arial"/>
          <w:sz w:val="20"/>
          <w:szCs w:val="20"/>
          <w:color w:val="auto"/>
        </w:rPr>
      </w:pPr>
    </w:p>
    <w:p>
      <w:pPr>
        <w:ind w:left="980" w:hanging="491"/>
        <w:spacing w:after="0"/>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divide the board of directors into three classes;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provide that a director may only be removed from the board of directors by the stockholders for cause;</w:t>
      </w:r>
    </w:p>
    <w:p>
      <w:pPr>
        <w:spacing w:after="0" w:line="52"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require that any action to be taken by our stockholders must be effected at a duly called annual or special meeting of stockholders and may not be taken by written consent;</w:t>
      </w:r>
    </w:p>
    <w:p>
      <w:pPr>
        <w:spacing w:after="0" w:line="52" w:lineRule="exact"/>
        <w:rPr>
          <w:rFonts w:ascii="Arial" w:cs="Arial" w:eastAsia="Arial" w:hAnsi="Arial"/>
          <w:sz w:val="20"/>
          <w:szCs w:val="20"/>
          <w:color w:val="auto"/>
        </w:rPr>
      </w:pPr>
    </w:p>
    <w:p>
      <w:pPr>
        <w:jc w:val="both"/>
        <w:ind w:left="980" w:hanging="491"/>
        <w:spacing w:after="0" w:line="254"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2240" w:h="15840" w:orient="portrait"/>
          <w:cols w:equalWidth="0" w:num="1">
            <w:col w:w="9360"/>
          </w:cols>
          <w:pgMar w:left="1440" w:top="1420" w:right="1440" w:bottom="175" w:gutter="0" w:footer="0" w:header="0"/>
          <w:type w:val="continuous"/>
        </w:sectPr>
      </w:pPr>
    </w:p>
    <w:bookmarkStart w:id="101" w:name="page102"/>
    <w:bookmarkEnd w:id="101"/>
    <w:p>
      <w:pPr>
        <w:jc w:val="both"/>
        <w:ind w:left="980" w:hanging="491"/>
        <w:spacing w:after="0" w:line="261"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provide that special meetings of our stockholders may be called only by the chairman of the board, our chief executive officer or by the board of directors; and</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80"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321"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9"/>
          <w:szCs w:val="19"/>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38"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93"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2240" w:h="15840" w:orient="portrait"/>
          <w:cols w:equalWidth="0" w:num="1">
            <w:col w:w="9360"/>
          </w:cols>
          <w:pgMar w:left="1440" w:top="1434" w:right="1440" w:bottom="175" w:gutter="0" w:footer="0" w:header="0"/>
          <w:type w:val="continuous"/>
        </w:sectPr>
      </w:pPr>
    </w:p>
    <w:bookmarkStart w:id="102" w:name="page103"/>
    <w:bookmarkEnd w:id="102"/>
    <w:p>
      <w:pPr>
        <w:ind w:left="500"/>
        <w:spacing w:after="0"/>
        <w:rPr>
          <w:sz w:val="20"/>
          <w:szCs w:val="20"/>
          <w:color w:val="auto"/>
        </w:rPr>
      </w:pPr>
      <w:r>
        <w:rPr>
          <w:rFonts w:ascii="Arial" w:cs="Arial" w:eastAsia="Arial" w:hAnsi="Arial"/>
          <w:sz w:val="20"/>
          <w:szCs w:val="20"/>
          <w:b w:val="1"/>
          <w:bCs w:val="1"/>
          <w:color w:val="auto"/>
        </w:rPr>
        <w:t>General Risk Factors</w:t>
      </w:r>
    </w:p>
    <w:p>
      <w:pPr>
        <w:spacing w:after="0" w:line="36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121212"/>
        </w:rPr>
        <w:t>The loss of any of our key personnel could significantly harm our business, results of operations and competitive position.</w:t>
      </w:r>
    </w:p>
    <w:p>
      <w:pPr>
        <w:spacing w:after="0" w:line="22"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spacing w:after="0" w:line="19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In addition, the organizational restructuring we undertook in September 2024 that significantly reduced our workforce, including the departure of our chief business officer and chief financial officer and our chief operating officer and chief development officer,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key priorities, as well as lead to litigation.</w:t>
      </w:r>
    </w:p>
    <w:p>
      <w:pPr>
        <w:spacing w:after="0" w:line="317"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121212"/>
        </w:rPr>
        <w:t>Our advisors and consultants are classified as independent contractors, and we can face consequences if it is determined that they are misclassified as such.</w:t>
      </w:r>
    </w:p>
    <w:p>
      <w:pPr>
        <w:spacing w:after="0" w:line="22"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121212"/>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20"/>
          <w:szCs w:val="20"/>
          <w:color w:val="000000"/>
        </w:rPr>
        <w:t>divergent</w:t>
      </w:r>
      <w:r>
        <w:rPr>
          <w:rFonts w:ascii="Arial" w:cs="Arial" w:eastAsia="Arial" w:hAnsi="Arial"/>
          <w:sz w:val="20"/>
          <w:szCs w:val="20"/>
          <w:color w:val="121212"/>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32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 xml:space="preserve">If </w:t>
      </w:r>
      <w:r>
        <w:rPr>
          <w:rFonts w:ascii="Arial" w:cs="Arial" w:eastAsia="Arial" w:hAnsi="Arial"/>
          <w:sz w:val="20"/>
          <w:szCs w:val="20"/>
          <w:b w:val="1"/>
          <w:bCs w:val="1"/>
          <w:i w:val="1"/>
          <w:iCs w:val="1"/>
          <w:color w:val="121212"/>
        </w:rPr>
        <w:t>securities</w:t>
      </w:r>
      <w:r>
        <w:rPr>
          <w:rFonts w:ascii="Arial" w:cs="Arial" w:eastAsia="Arial" w:hAnsi="Arial"/>
          <w:sz w:val="20"/>
          <w:szCs w:val="20"/>
          <w:b w:val="1"/>
          <w:bCs w:val="1"/>
          <w:i w:val="1"/>
          <w:iCs w:val="1"/>
          <w:color w:val="auto"/>
        </w:rPr>
        <w:t xml:space="preserve"> analysts do not publish research or reports about our business or if they publish negative evaluations of our stock, the price of our stock could decline.</w:t>
      </w:r>
    </w:p>
    <w:p>
      <w:pPr>
        <w:spacing w:after="0" w:line="2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2240" w:h="15840" w:orient="portrait"/>
          <w:cols w:equalWidth="0" w:num="1">
            <w:col w:w="9360"/>
          </w:cols>
          <w:pgMar w:left="1440" w:top="1416" w:right="1440" w:bottom="175" w:gutter="0" w:footer="0" w:header="0"/>
          <w:type w:val="continuous"/>
        </w:sectPr>
      </w:pPr>
    </w:p>
    <w:bookmarkStart w:id="103" w:name="page104"/>
    <w:bookmarkEnd w:id="103"/>
    <w:p>
      <w:pPr>
        <w:jc w:val="both"/>
        <w:ind w:firstLine="490"/>
        <w:spacing w:after="0" w:line="264" w:lineRule="auto"/>
        <w:rPr>
          <w:sz w:val="20"/>
          <w:szCs w:val="20"/>
          <w:color w:val="auto"/>
        </w:rPr>
      </w:pPr>
      <w:r>
        <w:rPr>
          <w:rFonts w:ascii="Arial" w:cs="Arial" w:eastAsia="Arial" w:hAnsi="Arial"/>
          <w:sz w:val="20"/>
          <w:szCs w:val="20"/>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47"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9"/>
          <w:szCs w:val="19"/>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23"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If we are unable to maintain effective internal controls, our business, financial position and results of operations could be adversely affected.</w:t>
      </w:r>
    </w:p>
    <w:p>
      <w:pPr>
        <w:spacing w:after="0" w:line="22"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p>
    <w:p>
      <w:pPr>
        <w:spacing w:after="0" w:line="180"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spacing w:after="0" w:line="193"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31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The potential effects of health epidemics could adversely impact our business, including our nonclinical studies and clinical trials.</w:t>
      </w:r>
    </w:p>
    <w:p>
      <w:pPr>
        <w:spacing w:after="0" w:line="22"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spacing w:after="0" w:line="73" w:lineRule="exact"/>
        <w:rPr>
          <w:sz w:val="20"/>
          <w:szCs w:val="20"/>
          <w:color w:val="auto"/>
        </w:rPr>
      </w:pPr>
    </w:p>
    <w:p>
      <w:pPr>
        <w:ind w:left="980" w:hanging="491"/>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delays or difficulties in enrolling and retaining patients in our clinical trials;</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difficulties interpreting data from our clinical trials due to the possible effects of such diseases on cognition of the subjects enrolled in our clinical trials;</w:t>
      </w:r>
    </w:p>
    <w:p>
      <w:pPr>
        <w:sectPr>
          <w:pgSz w:w="12240" w:h="15840" w:orient="portrait"/>
          <w:cols w:equalWidth="0" w:num="1">
            <w:col w:w="9360"/>
          </w:cols>
          <w:pgMar w:left="1440" w:top="1424" w:right="1440" w:bottom="175"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2240" w:h="15840" w:orient="portrait"/>
          <w:cols w:equalWidth="0" w:num="1">
            <w:col w:w="9360"/>
          </w:cols>
          <w:pgMar w:left="1440" w:top="1424" w:right="1440" w:bottom="175" w:gutter="0" w:footer="0" w:header="0"/>
          <w:type w:val="continuous"/>
        </w:sectPr>
      </w:pPr>
    </w:p>
    <w:bookmarkStart w:id="104" w:name="page105"/>
    <w:bookmarkEnd w:id="104"/>
    <w:p>
      <w:pPr>
        <w:ind w:left="980" w:hanging="491"/>
        <w:spacing w:after="0" w:line="282"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delays or difficulties in clinical site initiation, including difficulties in recruiting clinical site investigators and clinical site staff;</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diversion of healthcare resources away from the conduct of clinical trials, including the diversion of hospitals serving as our clinical trial sites and hospital staff supporting the conduct of our clinical trials;</w:t>
      </w:r>
    </w:p>
    <w:p>
      <w:pPr>
        <w:spacing w:after="0" w:line="73" w:lineRule="exact"/>
        <w:rPr>
          <w:rFonts w:ascii="Arial" w:cs="Arial" w:eastAsia="Arial" w:hAnsi="Arial"/>
          <w:sz w:val="20"/>
          <w:szCs w:val="20"/>
          <w:color w:val="auto"/>
        </w:rPr>
      </w:pPr>
    </w:p>
    <w:p>
      <w:pPr>
        <w:jc w:val="both"/>
        <w:ind w:left="980" w:hanging="491"/>
        <w:spacing w:after="0" w:line="250"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85"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interruption or delays in the operations of the FDA or other regulatory authorities, which may impact review and approval timelines;</w:t>
      </w:r>
    </w:p>
    <w:p>
      <w:pPr>
        <w:spacing w:after="0" w:line="52" w:lineRule="exact"/>
        <w:rPr>
          <w:rFonts w:ascii="Arial" w:cs="Arial" w:eastAsia="Arial" w:hAnsi="Arial"/>
          <w:sz w:val="20"/>
          <w:szCs w:val="20"/>
          <w:color w:val="auto"/>
        </w:rPr>
      </w:pPr>
    </w:p>
    <w:p>
      <w:pPr>
        <w:jc w:val="both"/>
        <w:ind w:left="980" w:hanging="491"/>
        <w:spacing w:after="0" w:line="261"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interruption of, or delays in receiving, supplies of our drug candidates from our contract manufacturing organizations due to staffing shortages, production slowdowns or stoppages and disruptions in delivery systems;</w:t>
      </w:r>
    </w:p>
    <w:p>
      <w:pPr>
        <w:spacing w:after="0" w:line="73" w:lineRule="exact"/>
        <w:rPr>
          <w:rFonts w:ascii="Arial" w:cs="Arial" w:eastAsia="Arial" w:hAnsi="Arial"/>
          <w:sz w:val="20"/>
          <w:szCs w:val="20"/>
          <w:color w:val="auto"/>
        </w:rPr>
      </w:pPr>
    </w:p>
    <w:p>
      <w:pPr>
        <w:ind w:left="980" w:hanging="491"/>
        <w:spacing w:after="0"/>
        <w:tabs>
          <w:tab w:leader="none" w:pos="9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interruptions in nonclinical studies due to restricted or limited operations at our laboratory facility;</w:t>
      </w:r>
    </w:p>
    <w:p>
      <w:pPr>
        <w:spacing w:after="0" w:line="144" w:lineRule="exact"/>
        <w:rPr>
          <w:rFonts w:ascii="Arial" w:cs="Arial" w:eastAsia="Arial" w:hAnsi="Arial"/>
          <w:sz w:val="19"/>
          <w:szCs w:val="19"/>
          <w:color w:val="auto"/>
        </w:rPr>
      </w:pPr>
    </w:p>
    <w:p>
      <w:pPr>
        <w:jc w:val="both"/>
        <w:ind w:left="980" w:hanging="491"/>
        <w:spacing w:after="0" w:line="261"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7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interruptions, difficulties or delays arising in our existing operations and company culture as a result of some or all of our employees working remotely;</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interruption or delays to our sourced discovery and clinical activities; and</w:t>
      </w:r>
    </w:p>
    <w:p>
      <w:pPr>
        <w:spacing w:after="0" w:line="133" w:lineRule="exact"/>
        <w:rPr>
          <w:rFonts w:ascii="Arial" w:cs="Arial" w:eastAsia="Arial" w:hAnsi="Arial"/>
          <w:sz w:val="20"/>
          <w:szCs w:val="20"/>
          <w:color w:val="auto"/>
        </w:rPr>
      </w:pPr>
    </w:p>
    <w:p>
      <w:pPr>
        <w:ind w:left="980" w:hanging="491"/>
        <w:spacing w:after="0" w:line="282"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changes in clinical site procedures and requirements as well as regulatory requirements for conducting clinical trials during the pandemic.</w:t>
      </w:r>
    </w:p>
    <w:p>
      <w:pPr>
        <w:spacing w:after="0" w:line="160"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spacing w:after="0" w:line="180"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2240" w:h="15840" w:orient="portrait"/>
          <w:cols w:equalWidth="0" w:num="1">
            <w:col w:w="9360"/>
          </w:cols>
          <w:pgMar w:left="1440" w:top="1434" w:right="1440" w:bottom="175" w:gutter="0" w:footer="0" w:header="0"/>
          <w:type w:val="continuous"/>
        </w:sectPr>
      </w:pPr>
    </w:p>
    <w:bookmarkStart w:id="105" w:name="page106"/>
    <w:bookmarkEnd w:id="105"/>
    <w:p>
      <w:pPr>
        <w:jc w:val="both"/>
        <w:ind w:firstLine="490"/>
        <w:spacing w:after="0" w:line="289" w:lineRule="auto"/>
        <w:rPr>
          <w:sz w:val="20"/>
          <w:szCs w:val="20"/>
          <w:color w:val="auto"/>
        </w:rPr>
      </w:pPr>
      <w:r>
        <w:rPr>
          <w:rFonts w:ascii="Arial" w:cs="Arial" w:eastAsia="Arial" w:hAnsi="Arial"/>
          <w:sz w:val="20"/>
          <w:szCs w:val="20"/>
          <w:b w:val="1"/>
          <w:bCs w:val="1"/>
          <w:i w:val="1"/>
          <w:iCs w:val="1"/>
          <w:color w:val="auto"/>
        </w:rPr>
        <w:t>Attention to ESG (environmental, social and governance) matters may cause us to incur additional costs or expose us to additional risks.</w:t>
      </w:r>
    </w:p>
    <w:p>
      <w:pPr>
        <w:spacing w:after="0" w:line="22"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sectPr>
          <w:pgSz w:w="12240" w:h="15840" w:orient="portrait"/>
          <w:cols w:equalWidth="0" w:num="1">
            <w:col w:w="9360"/>
          </w:cols>
          <w:pgMar w:left="1440" w:top="1424"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2240" w:h="15840" w:orient="portrait"/>
          <w:cols w:equalWidth="0" w:num="1">
            <w:col w:w="9360"/>
          </w:cols>
          <w:pgMar w:left="1440" w:top="1424" w:right="1440" w:bottom="186" w:gutter="0" w:footer="0" w:header="0"/>
          <w:type w:val="continuous"/>
        </w:sectPr>
      </w:pPr>
    </w:p>
    <w:bookmarkStart w:id="106" w:name="page107"/>
    <w:bookmarkEnd w:id="106"/>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Risk Management Strategy</w:t>
      </w:r>
    </w:p>
    <w:p>
      <w:pPr>
        <w:spacing w:after="0" w:line="124"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20"/>
          <w:szCs w:val="20"/>
          <w:color w:val="auto"/>
        </w:rPr>
        <w:t>We have implemented various processes and policies for identifying, assessing, and managing material risks from cybersecurity threats. Our cybersecurity risk management strategy is designed following the Cybersecurity Framework set by the National Institute of Standard and Technology, or NIST.</w:t>
      </w:r>
    </w:p>
    <w:p>
      <w:pPr>
        <w:spacing w:after="0" w:line="60"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assess our information technology, or IT, environment against the NIST Cybersecurity Framework, as well as various cyber-attack vectors, working to identify and remediate risks. We implement reasonable administrative, technical and procedural safeguards to manage cybersecurity risks, for example, by enforcing single sign-on or multi-factor authentication where supported, and the use of mobile device management to secure company resources on employee personal devices. Additionally, we engage third-party cybersecurity experts to assess the security of our network and perform continuous system monitoring, and we engage a third party to perform internal audits of our IT General Controls, or ITGCs. We have implemented certain processes to oversee and identify risks from cybersecurity threats associated with our use of third-party service providers, for example, by evaluating such service providers’ own cybersecurity processes and reviewing available certification and audit reports, including International Organization for Standardization, or ISO, certifications for information security management systems, and System and Organization Controls, or SOC, reports.</w:t>
      </w:r>
    </w:p>
    <w:p>
      <w:pPr>
        <w:spacing w:after="0" w:line="8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At this time, we have not experienced cybersecurity incidents, or are aware of any risks from cybersecurity threats, that have materially affected or are reasonably likely to materially affect us, including our business strategy, results of operations, or financial condition.</w:t>
      </w:r>
    </w:p>
    <w:p>
      <w:pPr>
        <w:spacing w:after="0" w:line="296" w:lineRule="exact"/>
        <w:rPr>
          <w:sz w:val="20"/>
          <w:szCs w:val="20"/>
          <w:color w:val="auto"/>
        </w:rPr>
      </w:pPr>
    </w:p>
    <w:p>
      <w:pPr>
        <w:jc w:val="center"/>
        <w:ind w:right="6820"/>
        <w:spacing w:after="0"/>
        <w:rPr>
          <w:sz w:val="20"/>
          <w:szCs w:val="20"/>
          <w:color w:val="auto"/>
        </w:rPr>
      </w:pPr>
      <w:r>
        <w:rPr>
          <w:rFonts w:ascii="Arial" w:cs="Arial" w:eastAsia="Arial" w:hAnsi="Arial"/>
          <w:sz w:val="19"/>
          <w:szCs w:val="19"/>
          <w:b w:val="1"/>
          <w:bCs w:val="1"/>
          <w:color w:val="auto"/>
        </w:rPr>
        <w:t>Cybersecurity Governance</w:t>
      </w:r>
    </w:p>
    <w:p>
      <w:pPr>
        <w:spacing w:after="0" w:line="143" w:lineRule="exact"/>
        <w:rPr>
          <w:sz w:val="20"/>
          <w:szCs w:val="20"/>
          <w:color w:val="auto"/>
        </w:rPr>
      </w:pPr>
    </w:p>
    <w:p>
      <w:pPr>
        <w:jc w:val="center"/>
        <w:ind w:right="6760"/>
        <w:spacing w:after="0"/>
        <w:rPr>
          <w:sz w:val="20"/>
          <w:szCs w:val="20"/>
          <w:color w:val="auto"/>
        </w:rPr>
      </w:pPr>
      <w:r>
        <w:rPr>
          <w:rFonts w:ascii="Arial" w:cs="Arial" w:eastAsia="Arial" w:hAnsi="Arial"/>
          <w:sz w:val="20"/>
          <w:szCs w:val="20"/>
          <w:i w:val="1"/>
          <w:iCs w:val="1"/>
          <w:color w:val="auto"/>
        </w:rPr>
        <w:t>Board of Directors</w:t>
      </w:r>
    </w:p>
    <w:p>
      <w:pPr>
        <w:spacing w:after="0" w:line="112"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Our board of directors is responsible for general oversight and regular review of information regarding our risks, including cybersecurity risks. Members of management communicate an overview of our current cybersecurity environment to our board of directors at least annually and provide updates to our board of directors regarding cybersecurity matters periodically throughout the year. Additionally, our third-party auditors inform the audit committee of our board of directors of our ITGC framework and control testing results, which include controls related to cybersecurity risks. Further, management has established cybersecurity incident response processes for escalating the communication of cybersecurity incidents up to the board of directors, as appropriate.</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Management</w:t>
      </w:r>
    </w:p>
    <w:p>
      <w:pPr>
        <w:spacing w:after="0" w:line="112"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Material risks from cybersecurity threats are assessed and managed by a dedicated team comprised of internal and external IT professionals experienced in cybersecurity threat risk management, who ultimately report to our senior vice president, finance and accounting. Our senior vice president, finance and accounting has extensive operational and leadership experience overseeing accounting and finance functions at various organizations, including oversight of critical accounting and finance IT systems. Our senior IT consultant has over 20 years of experience with IT and cybersecurity risk management, having served in senior executive-level IT positions at multiple Fortune 500 companies and companies within the life sciences industry.</w:t>
      </w:r>
    </w:p>
    <w:p>
      <w:pPr>
        <w:spacing w:after="0" w:line="7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Our team of IT professionals, which continuously monitors our IT environment for cybersecurity threats and incidents, routinely reports on cybersecurity incident prevention, detection, mitigation, and remediation efforts to our senior vice president, finance and accounting and chief compliance officer. Additionally, we have established policies addressing processes for responding to potential cybersecurity</w:t>
      </w:r>
    </w:p>
    <w:p>
      <w:pPr>
        <w:sectPr>
          <w:pgSz w:w="12240" w:h="15840" w:orient="portrait"/>
          <w:cols w:equalWidth="0" w:num="1">
            <w:col w:w="9360"/>
          </w:cols>
          <w:pgMar w:left="1440" w:top="1440" w:right="1440" w:bottom="186"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2240" w:h="15840" w:orient="portrait"/>
          <w:cols w:equalWidth="0" w:num="1">
            <w:col w:w="9360"/>
          </w:cols>
          <w:pgMar w:left="1440" w:top="1440" w:right="1440" w:bottom="186" w:gutter="0" w:footer="0" w:header="0"/>
          <w:type w:val="continuous"/>
        </w:sectPr>
      </w:pPr>
    </w:p>
    <w:bookmarkStart w:id="107" w:name="page108"/>
    <w:bookmarkEnd w:id="107"/>
    <w:p>
      <w:pPr>
        <w:jc w:val="both"/>
        <w:spacing w:after="0" w:line="261" w:lineRule="auto"/>
        <w:rPr>
          <w:sz w:val="20"/>
          <w:szCs w:val="20"/>
          <w:color w:val="auto"/>
        </w:rPr>
      </w:pPr>
      <w:r>
        <w:rPr>
          <w:rFonts w:ascii="Arial" w:cs="Arial" w:eastAsia="Arial" w:hAnsi="Arial"/>
          <w:sz w:val="20"/>
          <w:szCs w:val="20"/>
          <w:color w:val="auto"/>
        </w:rPr>
        <w:t>incidents, including assessment, communication, and remediation protocols. Our incident response processes further provide for the escalation of cybersecurity incidents to our executive management team and board of directors, as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2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Our corporate headquarters is located in Bothell, Washington, where we currently lease approximately 19,326 square feet of laboratory and office space, which leases expire in August 2027. We believe these facilities will be adequate for the foreseeable future and that suitable additional or substitute space will be available as and when needed.</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2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From time to time, we are subject to various legal proceedings or claims that arise in the ordinary course of business. The following is a brief description of the more significant legal proceedings in which we have been involved.</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Class Actions</w:t>
      </w:r>
    </w:p>
    <w:p>
      <w:pPr>
        <w:spacing w:after="0" w:line="12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9"/>
          <w:szCs w:val="19"/>
          <w:color w:val="auto"/>
        </w:rPr>
        <w:t>Starting in June 2021, putative securities class action lawsuits were filed in the U.S. District Court for the Western District of Washington against us and certain of our current and former members of management and the board of directors. After these lawsuits were consolidated and lead plaintiffs were appointed to represent the putative class, lead plaintiffs filed a consolidated amended complaint on January 7, 2022, which asserted violations of Sections 10(b) and 20(a) of the Exchange Act and SEC Rule 10b-5 and Sections 11, 12, and 15 of the Securities Act. The consolidated amended complaint alleged that our initial public offering, or IPO, and secondary public offering, or SPO, registration statements and/or other public statements were materially false and misleading because they omitted to state that certain of our former CEO’s published doctoral research papers at Washington State University, or WSU, contained allegedly improperly altered images. Lead plaintiffs sought unspecified compensatory damages, as well as equitable and injunctive relief on behalf of themselves and the purported class. On July 29, 2022, the court issued an order granting in part and denying in part the defendant’s motion to dismiss. The order dismissed the Section 10(b) and Section 20(a) claims arising under the Exchange Act, dismissed the Section 11 claim arising under the Securities Act as to all defendants other than the Company and our former CEO, dismissed the Section 12(a)(2) claim arising under the Securities Act as to the lead plaintiffs, and dismissed the Section 15 claim arising under the Securities Act against all defendants other than our former CEO. On November 4, 2022, we and our former CEO filed our individual answers to the consolidated amended complaint. In mid-November 2022, the parties began conducting fact discovery.</w:t>
      </w:r>
    </w:p>
    <w:p>
      <w:pPr>
        <w:spacing w:after="0" w:line="185"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On March 29, 2024, following a mediation and the parties’ agreement in the fourth quarter of 2022 to settle the securities class action for $10 million subject to the court’s approval, the court entered an order preliminarily approving a settlement of the securities class action.</w:t>
      </w:r>
    </w:p>
    <w:p>
      <w:pPr>
        <w:spacing w:after="0" w:line="18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On November 1, 2024, following class notice and a final approval hearing, the court entered a final written judgment and order granting final approval of the settlement and closed the case.</w:t>
      </w:r>
    </w:p>
    <w:p>
      <w:pPr>
        <w:spacing w:after="0" w:line="160"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As a result of the foregoing, we recorded a legal settlement expense of $10.0 million in operating expenses in the fourth quarter of 2022. An accrued liability of $10.0 million was recorded on the accompanying condensed consolidated balance sheets as of December 31, 2023. Additionally, we recorded an insurance recovery of $1.6 million in operating expenses in the fourth quarter of 2023 and an insurance recovery receivable of $1.6 million on the accompanying condensed consolidated balance sheets as of December 31, 2023. This insurance recovery represents the amount of the settlement covered by our insurers. We and our insurance providers paid the settlement fee during 2024 and no further liability exists following the court granting final approval of the settlement and closing the case in November 2024.</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2240" w:h="15840" w:orient="portrait"/>
          <w:cols w:equalWidth="0" w:num="1">
            <w:col w:w="9360"/>
          </w:cols>
          <w:pgMar w:left="1440" w:top="1420" w:right="1440" w:bottom="186"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Shareholder Derivative Actions</w:t>
      </w:r>
    </w:p>
    <w:p>
      <w:pPr>
        <w:spacing w:after="0" w:line="24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Starting in April 2022, shareholder derivative actions were filed in the U.S. District Court for the Western District of Washington against certain current and former members of our board of directors. The derivative complaints alleged that our board of directors breached its fiduciary duties by failing to prevent alleged misstatements in our public filings, failing to discover altered images in certain research papers, and failing to take appropriate action. The derivative complaints asserted claims for violations of Section 14(a) of the Exchange Act as well as claims for breach of fiduciary duty, contribution and indemnification, aiding and abetting, and waste of corporate assets.</w:t>
      </w:r>
    </w:p>
    <w:p>
      <w:pPr>
        <w:spacing w:after="0" w:line="193"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On May 26, 2022, the court issued an order consolidating the derivative cases and staying them until further order of the court. On March 18, 2024, following a mediation and the parties entering into a stipulation of settlement to settle the consolidated derivative action for certain corporate governance reforms and the payment of a fee and expense award to plaintiffs’ counsel, plaintiffs filed an unopposed motion for preliminary approval of a settlement of the derivative action. On July 18, 2024, the court entered an order and judgment granting plaintiffs’ motion for final approval of derivative settlement, finding the settlement to be fair, reasonable, and adequate to the settling parties and our shareholders, and dismissing the derivative action with prejudice.</w:t>
      </w:r>
    </w:p>
    <w:p>
      <w:pPr>
        <w:spacing w:after="0" w:line="19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We paid the fee and expense award related to this shareholder derivative action settlement during the third quarter of 2024.</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Investigation</w:t>
      </w:r>
    </w:p>
    <w:p>
      <w:pPr>
        <w:spacing w:after="0" w:line="24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November 2022, we received a Civil Investigative Demand from the Civil Division of the Department of Justice, or the Demand. The Demand sought documents and information relating to our relationship with WSU, certain of our grant applications in 2016 and 2019 with the NIH and our receipt of a NIH grant in 2020. We cooperated with the Department of Justice with respect to the Demand.</w:t>
      </w:r>
    </w:p>
    <w:p>
      <w:pPr>
        <w:spacing w:after="0" w:line="18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 xml:space="preserve">In September 2024, we reached an agreement in principle (subject to approvals within the Department of Justice and the Office of Inspector General of the U.S. Department of Health and Humans Service) to settle the Department of Justice’s claims, including alleged violations of the False Claims Act in connection with the NIH grant applications and our receipt of an NIH grant in connection with one of those applications. This agreement also included the same claims alleged in a confidential, sealed </w:t>
      </w:r>
      <w:r>
        <w:rPr>
          <w:rFonts w:ascii="Arial" w:cs="Arial" w:eastAsia="Arial" w:hAnsi="Arial"/>
          <w:sz w:val="20"/>
          <w:szCs w:val="20"/>
          <w:i w:val="1"/>
          <w:iCs w:val="1"/>
          <w:color w:val="auto"/>
        </w:rPr>
        <w:t>qui tam</w:t>
      </w:r>
      <w:r>
        <w:rPr>
          <w:rFonts w:ascii="Arial" w:cs="Arial" w:eastAsia="Arial" w:hAnsi="Arial"/>
          <w:sz w:val="20"/>
          <w:szCs w:val="20"/>
          <w:color w:val="auto"/>
        </w:rPr>
        <w:t xml:space="preserve"> complaint. On December 31, 2024, we entered into a settlement agreement with the Department of Justice, OIG-HHS, and the </w:t>
      </w:r>
      <w:r>
        <w:rPr>
          <w:rFonts w:ascii="Arial" w:cs="Arial" w:eastAsia="Arial" w:hAnsi="Arial"/>
          <w:sz w:val="20"/>
          <w:szCs w:val="20"/>
          <w:i w:val="1"/>
          <w:iCs w:val="1"/>
          <w:color w:val="auto"/>
        </w:rPr>
        <w:t>qui tam</w:t>
      </w:r>
      <w:r>
        <w:rPr>
          <w:rFonts w:ascii="Arial" w:cs="Arial" w:eastAsia="Arial" w:hAnsi="Arial"/>
          <w:sz w:val="20"/>
          <w:szCs w:val="20"/>
          <w:color w:val="auto"/>
        </w:rPr>
        <w:t xml:space="preserve"> lawsuit relator in which we agreed to pay approximately $4.1 million.</w:t>
      </w:r>
    </w:p>
    <w:p>
      <w:pPr>
        <w:spacing w:after="0" w:line="19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recorded a legal expense of $4.1 million based on developments in the third quarter of 2024 and a corresponding accrued liability on the accompanying consolidated balance sheets as of December 31, 2024. We paid the $4.1 million settlement in January 2025.</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9360"/>
          </w:cols>
          <w:pgMar w:left="1440" w:top="1416" w:right="1440" w:bottom="186"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auto"/>
        </w:rPr>
        <w:t>PART II</w:t>
      </w:r>
    </w:p>
    <w:p>
      <w:pPr>
        <w:spacing w:after="0" w:line="240" w:lineRule="exact"/>
        <w:rPr>
          <w:sz w:val="20"/>
          <w:szCs w:val="20"/>
          <w:color w:val="auto"/>
        </w:rPr>
      </w:pPr>
    </w:p>
    <w:p>
      <w:pPr>
        <w:jc w:val="both"/>
        <w:spacing w:after="0" w:line="29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Our common stock began trading on The Nasdaq Global Select Market under the symbol “ATHA” on September 18, 2020. Prior to that date, there was no public trading market for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2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As of February 20, 2025, there were approximately 41 holders of record of our common stock. Because many of our shares are held by brokers and other institutions on behalf of shareholders, we are unable to estimate the total number of shareholders represented by these record holders.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We currently intend to retain all available funds and future earnings to fund the development and growth of our business and we do not anticipate paying any cash dividends in the foreseeable future.</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As a smaller reporting company, we are not required to provide the information requested by this item pursuant to Item 201(e) of Regulation S-K.</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Repurchases of Equity Securities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9360"/>
          </w:cols>
          <w:pgMar w:left="1440" w:top="1416" w:right="1440" w:bottom="186"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32"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i w:val="1"/>
          <w:iCs w:val="1"/>
          <w:color w:val="auto"/>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are a clinical-stage biopharmaceutical company focused on developing small molecules engineered to restore neuronal health and slow neurodegeneration. Our approach is designed to modulate the neurotrophic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CNS, by crossing the BBB, or the PNS.</w:t>
      </w:r>
    </w:p>
    <w:p>
      <w:pPr>
        <w:spacing w:after="0" w:line="20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Athira is actively reviewing options for partnerships or arrangements that will allow it to realize the potential of its drug candidates. Our lead drug candidate is ATH-1105. ATH-1105 is a novel, orally available, brain-penetrant, next-generation small molecule drug candidate designed to positively modulate the neurotrophic HGF system for potential treatment of neurodegenerative diseases, including amyotrophic lateral sclerosis, or ALS, and Alzheimer's disease, or AD, and Parkinson’s disease, or PD. ATH-1105 is currently in development for the potential treatment of ALS. We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198"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previous lead drug candidate, fosgonimeton, is a small molecule drug candidate designed to positively modulate the neurotrophic HGF system for potential treatment of neurodegenerative diseases. In September 2024, we announced the topline results for LIFT-AD, a randomized, double-blind, placebo-controlled, parallel-group 26-week Phase 2/3 clinical trial with fosgonimeton in mild-to-moderate AD. The primary and key secondary endpoints of the LIFT-AD trial did not reach statistical significance compared with placebo at 26 weeks. Based on these results, we decided to pause further development of fosgonimeton and to shift our focus to the clinical development of ATH-1105.</w:t>
      </w:r>
    </w:p>
    <w:p>
      <w:pPr>
        <w:spacing w:after="0" w:line="193"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The following figure illustrates the current development stage of our proprietary drug candidates and early discovery and development programs, of which only ATH-1105 is currently in clinical development, for the potential treatment of ALS. We have also explored the use of our drug candidates in other indications in the CNS and PNS with the goal of improving neuronal health in multiple neurodegenerative diseases. In</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9360"/>
          </w:cols>
          <w:pgMar w:left="1440" w:top="1416" w:right="1440" w:bottom="186" w:gutter="0" w:footer="0" w:header="0"/>
          <w:type w:val="continuous"/>
        </w:sectPr>
      </w:pPr>
    </w:p>
    <w:bookmarkStart w:id="111" w:name="page112"/>
    <w:bookmarkEnd w:id="111"/>
    <w:p>
      <w:pPr>
        <w:jc w:val="both"/>
        <w:spacing w:after="0" w:line="282" w:lineRule="auto"/>
        <w:rPr>
          <w:sz w:val="20"/>
          <w:szCs w:val="20"/>
          <w:color w:val="auto"/>
        </w:rPr>
      </w:pPr>
      <w:r>
        <w:rPr>
          <w:rFonts w:ascii="Arial" w:cs="Arial" w:eastAsia="Arial" w:hAnsi="Arial"/>
          <w:sz w:val="20"/>
          <w:szCs w:val="20"/>
          <w:color w:val="auto"/>
        </w:rPr>
        <w:t>addition, our drug discovery efforts have focused on designing and testing new early compounds to enhance the neurotrophic HGF system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5943600" cy="2533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5943600" cy="253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p>
    <w:p>
      <w:pPr>
        <w:spacing w:after="0" w:line="194"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contract manufacturing organizations, or CMOs, to manufacture and supply our preclinical and clinical materials during the development of our drug candidates. We believe the synthesis of ATH-1105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that may be needed.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spacing w:after="0" w:line="20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Following our receipt of the topline results of LIFT-AD, we made the determination to explore strategic alternatives focused on maximizing stockholder value. As part of that effort, we have paused further development of fosgonimeton while continuing our ongoing development of ATH-1105 and are exploring partnering options. Despite devoting significant effort to identifying and evaluating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9360"/>
          </w:cols>
          <w:pgMar w:left="1440" w:top="1420" w:right="1440" w:bottom="186" w:gutter="0" w:footer="0" w:header="0"/>
          <w:type w:val="continuous"/>
        </w:sectPr>
      </w:pPr>
    </w:p>
    <w:bookmarkStart w:id="112" w:name="page113"/>
    <w:bookmarkEnd w:id="112"/>
    <w:p>
      <w:pPr>
        <w:jc w:val="both"/>
        <w:ind w:firstLine="490"/>
        <w:spacing w:after="0" w:line="248" w:lineRule="auto"/>
        <w:rPr>
          <w:sz w:val="20"/>
          <w:szCs w:val="20"/>
          <w:color w:val="auto"/>
        </w:rPr>
      </w:pPr>
      <w:r>
        <w:rPr>
          <w:rFonts w:ascii="Arial" w:cs="Arial" w:eastAsia="Arial" w:hAnsi="Arial"/>
          <w:sz w:val="20"/>
          <w:szCs w:val="20"/>
          <w:color w:val="auto"/>
        </w:rPr>
        <w:t>Given our stage of development, we have not yet established a commercial organization or distribution capabilities. To the extent that we successfully develop our drug candidates, we intend to build a commercial infrastructure to support future sales.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9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December 31, 2024,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$96.9 million and $117.7 million for the years ended December 31, 2024 and 2023, respectively. As of December 31, 2024, we had an accumulated deficit of $406.1 million and cash, cash equivalents and investments of $51.3 million.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We expect to continue to incur operating losses for the foreseeable future as we:</w:t>
      </w:r>
    </w:p>
    <w:p>
      <w:pPr>
        <w:spacing w:after="0" w:line="133" w:lineRule="exact"/>
        <w:rPr>
          <w:sz w:val="20"/>
          <w:szCs w:val="20"/>
          <w:color w:val="auto"/>
        </w:rPr>
      </w:pPr>
    </w:p>
    <w:p>
      <w:pPr>
        <w:ind w:left="360" w:hanging="360"/>
        <w:spacing w:after="0" w:line="282" w:lineRule="auto"/>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continue to advance ATH-1105 and any other drug candidates through preclinical studies and clinical trials;</w:t>
      </w:r>
    </w:p>
    <w:p>
      <w:pPr>
        <w:spacing w:after="0" w:line="52"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advance our pipeline of drug candidates;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continue to invest in our drug development programs;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continue manufacturing activities;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attract, hire and retain personnel;</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obtain, maintain, expand and protect our intellectual property portfolio;</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operate as a public company;</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maintain our laboratory and office facilities;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implement and maintain operational, financial and management information systems; and</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seek regulatory approval for any drug candidates that successfully complete clinical trials.</w:t>
      </w:r>
    </w:p>
    <w:p>
      <w:pPr>
        <w:spacing w:after="0" w:line="24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Our net losses may fluctuate significantly from quarter-to-quarter and year-to-year, depending on the timing of our clinical trials and our expenditures on other research and development activities.</w:t>
      </w:r>
    </w:p>
    <w:p>
      <w:pPr>
        <w:spacing w:after="0" w:line="160"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9"/>
          <w:szCs w:val="19"/>
          <w:color w:val="auto"/>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or other operations.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9360"/>
          </w:cols>
          <w:pgMar w:left="1440" w:top="1420" w:right="1440" w:bottom="186"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National Institutes of Health Grant</w:t>
      </w:r>
    </w:p>
    <w:p>
      <w:pPr>
        <w:spacing w:after="0" w:line="124"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December 2020, we accepted a grant from the National Institutes of Health, or NIH, to support our ACT-AD Phase 2 clinical trial for fosgonimeton. Under the terms of the agreement and approval received from the NIH, we were awarded an aggregate of $15.2 million, all of which had been received as of December 31, 2024. Grant income recognized during the year ended December 31, 2023 of $0.2 million represented the remaining balance of the total $15.2 million approved grant amount available at the beginning of that year. During the year ended December 31, 2023, we received cash of $1.4 million in connection with the NIH grant. There was no grant income recognized or cash received in connection with the NIH grant during the year ended December 31, 2024. We will not recognize any additional grant income in connection with the NIH grant in the future.</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Process to Evaluate Strategic Alternatives</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Following our receipt of the topline results of LIFT-AD, we made the determination to explore strategic alternatives focused on maximizing stockholder value. As part of that effort, we have paused further development of fosgonimeton and concluded our related open label extension clinical trial while continuing our ongoing development of ATH-1105 and are exploring partnering options.</w:t>
      </w:r>
    </w:p>
    <w:p>
      <w:pPr>
        <w:spacing w:after="0" w:line="6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We have engaged Cantor Fitzgerald &amp; Co. to act as an advisor in exploring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There can be no assurance that these efforts will result in the pursuit of a transaction or that any transaction, if pursued, will be completed on attractive terms, if at all. We have not set a timetable for completion of this evaluation process and do not intend to disclose further developments unless and until it is determined that further disclosure is appropriate or necessary.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Workforce Reduction</w:t>
      </w:r>
    </w:p>
    <w:p>
      <w:pPr>
        <w:spacing w:after="0" w:line="116"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On September 15, 2024, we committed to a workforce reduction that resulted in the termination of approximately 70% of our workforce. We took this step to decrease our costs, extend our cash runway, and create a more streamlined organization to support our strategic priorities, including the continued development of ATH-1105. We substantially completed the Restructuring by December 31, 2024. See Note 13 to our consolidated financial statements included elsewhere in this report for 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Research and Development</w:t>
      </w:r>
    </w:p>
    <w:p>
      <w:pPr>
        <w:spacing w:after="0" w:line="112"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Research and development expenses consist primarily of direct and indirect costs incurred for our research activities, including our drug discovery efforts and the development of our drug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94"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2240" w:h="15840" w:orient="portrait"/>
          <w:cols w:equalWidth="0" w:num="1">
            <w:col w:w="9360"/>
          </w:cols>
          <w:pgMar w:left="1440" w:top="1416" w:right="1440" w:bottom="186" w:gutter="0" w:footer="0" w:header="0"/>
          <w:type w:val="continuous"/>
        </w:sectPr>
      </w:pPr>
    </w:p>
    <w:bookmarkStart w:id="114" w:name="page115"/>
    <w:bookmarkEnd w:id="114"/>
    <w:p>
      <w:pPr>
        <w:jc w:val="both"/>
        <w:spacing w:after="0" w:line="310" w:lineRule="auto"/>
        <w:rPr>
          <w:sz w:val="20"/>
          <w:szCs w:val="20"/>
          <w:color w:val="auto"/>
        </w:rPr>
      </w:pPr>
      <w:r>
        <w:rPr>
          <w:rFonts w:ascii="Arial" w:cs="Arial" w:eastAsia="Arial" w:hAnsi="Arial"/>
          <w:sz w:val="19"/>
          <w:szCs w:val="19"/>
          <w:color w:val="auto"/>
        </w:rPr>
        <w:t>stage of program, clinical or preclinical. However, we do not track indirect costs on a program specific basis because these costs are deployed across multiple programs and, as such, are not separately classified.</w:t>
      </w:r>
    </w:p>
    <w:p>
      <w:pPr>
        <w:spacing w:after="0" w:line="136"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to continue to incur research and development expenses for the foreseeable future as we continue to engage in research and development activities related to developing our drug candidates,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 We also expect our research and development expenses to decrease in the near term as a result of our decision to pause further development of fosgonimeton and to shift our focus to the clinical development of ATH-1105.</w:t>
      </w:r>
    </w:p>
    <w:p>
      <w:pPr>
        <w:spacing w:after="0" w:line="20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p>
    <w:p>
      <w:pPr>
        <w:spacing w:after="0" w:line="73" w:lineRule="exact"/>
        <w:rPr>
          <w:sz w:val="20"/>
          <w:szCs w:val="20"/>
          <w:color w:val="auto"/>
        </w:rPr>
      </w:pPr>
    </w:p>
    <w:p>
      <w:pPr>
        <w:ind w:left="360" w:hanging="360"/>
        <w:spacing w:after="0" w:line="282" w:lineRule="auto"/>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impact of our strategic alternative review process and the consummation of any resulting strategic transaction or partnership;</w:t>
      </w:r>
    </w:p>
    <w:p>
      <w:pPr>
        <w:spacing w:after="0" w:line="52"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number and scope of preclinical and IND-enabling studies;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phases of development of our drug candidates;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progress and results of our research and development activities;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per subject trial costs;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number of trials required for regulatory approval;</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number of sites included in the trials;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countries in which the trials are conducted;</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length of time required to enroll eligible subjects and initiate clinical trials;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number of subjects that participate in the trials;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drop-out and discontinuation rate of subjects;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potential additional safety monitoring requested by regulatory agencies;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duration of subject participation in the trials and follow-up;</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cost and timing of manufacturing of our drug candidates;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receipt of regulatory approvals from applicable regulatory authorities;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timing, receipt and terms of any marketing approvals from applicable regulatory authorities;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hiring and retention of research and development personnel;</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degree to which we obtain, maintain, defend and enforce our intellectual property rights;</w:t>
      </w:r>
    </w:p>
    <w:p>
      <w:pPr>
        <w:spacing w:after="0" w:line="133" w:lineRule="exact"/>
        <w:rPr>
          <w:rFonts w:ascii="Arial" w:cs="Arial" w:eastAsia="Arial" w:hAnsi="Arial"/>
          <w:sz w:val="20"/>
          <w:szCs w:val="20"/>
          <w:color w:val="auto"/>
        </w:rPr>
      </w:pPr>
    </w:p>
    <w:p>
      <w:pPr>
        <w:ind w:left="360" w:hanging="360"/>
        <w:spacing w:after="0" w:line="282" w:lineRule="auto"/>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impact of health epidemics on timelines and clinical operations, which may lead to increased costs; and</w:t>
      </w:r>
    </w:p>
    <w:p>
      <w:pPr>
        <w:spacing w:after="0" w:line="52" w:lineRule="exact"/>
        <w:rPr>
          <w:rFonts w:ascii="Arial" w:cs="Arial" w:eastAsia="Arial" w:hAnsi="Arial"/>
          <w:sz w:val="20"/>
          <w:szCs w:val="20"/>
          <w:color w:val="auto"/>
        </w:rPr>
      </w:pPr>
    </w:p>
    <w:p>
      <w:pPr>
        <w:ind w:left="360" w:hanging="360"/>
        <w:spacing w:after="0" w:line="282" w:lineRule="auto"/>
        <w:tabs>
          <w:tab w:leader="none" w:pos="3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extent to which we establish collaborations, licensing or similar arrangements and the performance of any related third parties.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9360"/>
          </w:cols>
          <w:pgMar w:left="1440" w:top="1420" w:right="1440" w:bottom="186" w:gutter="0" w:footer="0" w:header="0"/>
          <w:type w:val="continuous"/>
        </w:sectPr>
      </w:pPr>
    </w:p>
    <w:bookmarkStart w:id="115" w:name="page116"/>
    <w:bookmarkEnd w:id="115"/>
    <w:p>
      <w:pPr>
        <w:jc w:val="both"/>
        <w:ind w:firstLine="490"/>
        <w:spacing w:after="0" w:line="261" w:lineRule="auto"/>
        <w:rPr>
          <w:sz w:val="20"/>
          <w:szCs w:val="20"/>
          <w:color w:val="auto"/>
        </w:rPr>
      </w:pPr>
      <w:r>
        <w:rPr>
          <w:rFonts w:ascii="Arial" w:cs="Arial" w:eastAsia="Arial" w:hAnsi="Arial"/>
          <w:sz w:val="20"/>
          <w:szCs w:val="20"/>
          <w:color w:val="auto"/>
        </w:rPr>
        <w:t>A change in the outcome of any of these variables with respect to the development of any of our drug candidates could significantly change the costs and timing associated with the development of that drug candidate.</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112"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spacing w:after="0" w:line="193"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We expect to continue to incur general and administrative expenses for the foreseeable future as we maintain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to incur additional costs in connection with our strategic alternative review process and in the event we consummate any strategic transaction or partnership as a result. We also expect these additional general and administrative expenses to be offset, at least in part, in the near term as a result of the Restructuring and related cost savings.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Insurance Recovery Related to Legal Settlement</w:t>
      </w:r>
    </w:p>
    <w:p>
      <w:pPr>
        <w:spacing w:after="0" w:line="232"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Insurance recovery related to legal settlement consists of the settlement of the securities class action litigation and the amount covered by our insurers. For more information see Part I, Item 3 “Legal Proceedings—Securities Class Actions".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 Income</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Grant income consists of income related to the NIH grant and is recognized as qualifying expenses under the grant agreement are incurred. As of December 31, 2024, we had recognized aggregate grant income of $15.2 million in connection with the NIH grant, equal to the total grant amount approved. We will not recognize additional grant income in connection with the NIH grant in the future.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2240" w:h="15840" w:orient="portrait"/>
          <w:cols w:equalWidth="0" w:num="1">
            <w:col w:w="9360"/>
          </w:cols>
          <w:pgMar w:left="1440" w:top="1420" w:right="1440" w:bottom="186"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the Years Ended December 31, 2024 and 2023</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our results of operations for the periods presented: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55"/>
        </w:trPr>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6"/>
                <w:szCs w:val="16"/>
                <w:b w:val="1"/>
                <w:bCs w:val="1"/>
                <w:color w:val="auto"/>
              </w:rPr>
              <w:t>Dollar</w:t>
            </w:r>
          </w:p>
        </w:tc>
        <w:tc>
          <w:tcPr>
            <w:tcW w:w="780" w:type="dxa"/>
            <w:vAlign w:val="bottom"/>
          </w:tcPr>
          <w:p>
            <w:pPr>
              <w:jc w:val="right"/>
              <w:ind w:right="224"/>
              <w:spacing w:after="0" w:line="155" w:lineRule="exact"/>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3"/>
                <w:szCs w:val="13"/>
                <w:color w:val="auto"/>
              </w:rPr>
            </w:pPr>
          </w:p>
        </w:tc>
      </w:tr>
      <w:tr>
        <w:trPr>
          <w:trHeight w:val="203"/>
        </w:trPr>
        <w:tc>
          <w:tcPr>
            <w:tcW w:w="4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7"/>
                <w:szCs w:val="17"/>
                <w:color w:val="auto"/>
              </w:rPr>
            </w:pPr>
          </w:p>
        </w:tc>
      </w:tr>
      <w:tr>
        <w:trPr>
          <w:trHeight w:val="174"/>
        </w:trPr>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gridSpan w:val="3"/>
          </w:tcPr>
          <w:p>
            <w:pPr>
              <w:spacing w:after="0" w:line="174" w:lineRule="exact"/>
              <w:rPr>
                <w:sz w:val="20"/>
                <w:szCs w:val="20"/>
                <w:color w:val="auto"/>
              </w:rPr>
            </w:pPr>
            <w:r>
              <w:rPr>
                <w:rFonts w:ascii="Arial" w:cs="Arial" w:eastAsia="Arial" w:hAnsi="Arial"/>
                <w:sz w:val="16"/>
                <w:szCs w:val="16"/>
                <w:b w:val="1"/>
                <w:bCs w:val="1"/>
                <w:color w:val="auto"/>
                <w:w w:val="94"/>
              </w:rPr>
              <w:t>(in thousands)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30"/>
        </w:trPr>
        <w:tc>
          <w:tcPr>
            <w:tcW w:w="4240" w:type="dxa"/>
            <w:vAlign w:val="bottom"/>
            <w:shd w:val="clear" w:color="auto" w:fill="E0E0E0"/>
          </w:tcPr>
          <w:p>
            <w:pPr>
              <w:spacing w:after="0"/>
              <w:rPr>
                <w:sz w:val="20"/>
                <w:szCs w:val="20"/>
                <w:color w:val="auto"/>
              </w:rPr>
            </w:pPr>
            <w:r>
              <w:rPr>
                <w:rFonts w:ascii="Arial" w:cs="Arial" w:eastAsia="Arial" w:hAnsi="Arial"/>
                <w:sz w:val="20"/>
                <w:szCs w:val="20"/>
                <w:color w:val="auto"/>
              </w:rPr>
              <w:t>Operating expenses:</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20"/>
                <w:szCs w:val="20"/>
                <w:color w:val="auto"/>
              </w:rPr>
              <w:t>Research and development</w:t>
            </w:r>
          </w:p>
        </w:tc>
        <w:tc>
          <w:tcPr>
            <w:tcW w:w="1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70,682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93,790</w:t>
            </w:r>
          </w:p>
        </w:tc>
        <w:tc>
          <w:tcPr>
            <w:tcW w:w="1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20"/>
                <w:szCs w:val="20"/>
                <w:color w:val="auto"/>
              </w:rPr>
              <w:t>$ (23,108)</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42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General and administrative</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26,093</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33,304</w:t>
            </w:r>
          </w:p>
        </w:tc>
        <w:tc>
          <w:tcPr>
            <w:tcW w:w="100" w:type="dxa"/>
            <w:vAlign w:val="bottom"/>
            <w:shd w:val="clear" w:color="auto" w:fill="E0E0E0"/>
          </w:tcPr>
          <w:p>
            <w:pPr>
              <w:spacing w:after="0"/>
              <w:rPr>
                <w:sz w:val="19"/>
                <w:szCs w:val="19"/>
                <w:color w:val="auto"/>
              </w:rPr>
            </w:pPr>
          </w:p>
        </w:tc>
        <w:tc>
          <w:tcPr>
            <w:tcW w:w="1000" w:type="dxa"/>
            <w:vAlign w:val="bottom"/>
            <w:gridSpan w:val="3"/>
            <w:shd w:val="clear" w:color="auto" w:fill="E0E0E0"/>
          </w:tcPr>
          <w:p>
            <w:pPr>
              <w:jc w:val="right"/>
              <w:ind w:right="60"/>
              <w:spacing w:after="0"/>
              <w:rPr>
                <w:sz w:val="20"/>
                <w:szCs w:val="20"/>
                <w:color w:val="auto"/>
              </w:rPr>
            </w:pPr>
            <w:r>
              <w:rPr>
                <w:rFonts w:ascii="Arial" w:cs="Arial" w:eastAsia="Arial" w:hAnsi="Arial"/>
                <w:sz w:val="20"/>
                <w:szCs w:val="20"/>
                <w:color w:val="auto"/>
              </w:rPr>
              <w:t>(7,211)</w:t>
            </w:r>
          </w:p>
        </w:tc>
        <w:tc>
          <w:tcPr>
            <w:tcW w:w="104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(22)</w:t>
            </w:r>
          </w:p>
        </w:tc>
      </w:tr>
      <w:tr>
        <w:trPr>
          <w:trHeight w:val="230"/>
        </w:trPr>
        <w:tc>
          <w:tcPr>
            <w:tcW w:w="4240" w:type="dxa"/>
            <w:vAlign w:val="bottom"/>
          </w:tcPr>
          <w:p>
            <w:pPr>
              <w:ind w:left="280"/>
              <w:spacing w:after="0"/>
              <w:rPr>
                <w:sz w:val="20"/>
                <w:szCs w:val="20"/>
                <w:color w:val="auto"/>
              </w:rPr>
            </w:pPr>
            <w:r>
              <w:rPr>
                <w:rFonts w:ascii="Arial" w:cs="Arial" w:eastAsia="Arial" w:hAnsi="Arial"/>
                <w:sz w:val="20"/>
                <w:szCs w:val="20"/>
                <w:color w:val="auto"/>
              </w:rPr>
              <w:t>Legal expense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4,127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4,127</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100</w:t>
            </w:r>
          </w:p>
        </w:tc>
        <w:tc>
          <w:tcPr>
            <w:tcW w:w="260" w:type="dxa"/>
            <w:vAlign w:val="bottom"/>
          </w:tcPr>
          <w:p>
            <w:pPr>
              <w:spacing w:after="0"/>
              <w:rPr>
                <w:sz w:val="19"/>
                <w:szCs w:val="19"/>
                <w:color w:val="auto"/>
              </w:rPr>
            </w:pPr>
          </w:p>
        </w:tc>
      </w:tr>
      <w:tr>
        <w:trPr>
          <w:trHeight w:val="211"/>
        </w:trPr>
        <w:tc>
          <w:tcPr>
            <w:tcW w:w="4240" w:type="dxa"/>
            <w:vAlign w:val="bottom"/>
            <w:shd w:val="clear" w:color="auto" w:fill="E0E0E0"/>
          </w:tcPr>
          <w:p>
            <w:pPr>
              <w:ind w:left="280"/>
              <w:spacing w:after="0" w:line="210" w:lineRule="exact"/>
              <w:rPr>
                <w:sz w:val="20"/>
                <w:szCs w:val="20"/>
                <w:color w:val="auto"/>
              </w:rPr>
            </w:pPr>
            <w:r>
              <w:rPr>
                <w:rFonts w:ascii="Arial" w:cs="Arial" w:eastAsia="Arial" w:hAnsi="Arial"/>
                <w:sz w:val="20"/>
                <w:szCs w:val="20"/>
                <w:color w:val="auto"/>
              </w:rPr>
              <w:t>Insurance recovery related to legal</w:t>
            </w:r>
          </w:p>
        </w:tc>
        <w:tc>
          <w:tcPr>
            <w:tcW w:w="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r>
      <w:tr>
        <w:trPr>
          <w:trHeight w:val="249"/>
        </w:trPr>
        <w:tc>
          <w:tcPr>
            <w:tcW w:w="42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settlement</w:t>
            </w:r>
          </w:p>
        </w:tc>
        <w:tc>
          <w:tcPr>
            <w:tcW w:w="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8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(1,628)</w:t>
            </w:r>
          </w:p>
        </w:tc>
        <w:tc>
          <w:tcPr>
            <w:tcW w:w="88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1,628</w:t>
            </w:r>
          </w:p>
        </w:tc>
        <w:tc>
          <w:tcPr>
            <w:tcW w:w="120" w:type="dxa"/>
            <w:vAlign w:val="bottom"/>
            <w:shd w:val="clear" w:color="auto" w:fill="E0E0E0"/>
          </w:tcPr>
          <w:p>
            <w:pPr>
              <w:spacing w:after="0"/>
              <w:rPr>
                <w:sz w:val="21"/>
                <w:szCs w:val="21"/>
                <w:color w:val="auto"/>
              </w:rPr>
            </w:pPr>
          </w:p>
        </w:tc>
        <w:tc>
          <w:tcPr>
            <w:tcW w:w="104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(100)</w:t>
            </w:r>
          </w:p>
        </w:tc>
      </w:tr>
      <w:tr>
        <w:trPr>
          <w:trHeight w:val="220"/>
        </w:trPr>
        <w:tc>
          <w:tcPr>
            <w:tcW w:w="4240" w:type="dxa"/>
            <w:vAlign w:val="bottom"/>
            <w:tcBorders>
              <w:bottom w:val="single" w:sz="8" w:color="E0E0E0"/>
            </w:tcBorders>
          </w:tcPr>
          <w:p>
            <w:pPr>
              <w:ind w:left="560"/>
              <w:spacing w:after="0" w:line="220" w:lineRule="exact"/>
              <w:rPr>
                <w:sz w:val="20"/>
                <w:szCs w:val="20"/>
                <w:color w:val="auto"/>
              </w:rPr>
            </w:pPr>
            <w:r>
              <w:rPr>
                <w:rFonts w:ascii="Arial" w:cs="Arial" w:eastAsia="Arial" w:hAnsi="Arial"/>
                <w:sz w:val="20"/>
                <w:szCs w:val="20"/>
                <w:color w:val="auto"/>
              </w:rPr>
              <w:t>Total operating expenses</w:t>
            </w:r>
          </w:p>
        </w:tc>
        <w:tc>
          <w:tcPr>
            <w:tcW w:w="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100,902</w:t>
            </w:r>
          </w:p>
        </w:tc>
        <w:tc>
          <w:tcPr>
            <w:tcW w:w="140" w:type="dxa"/>
            <w:vAlign w:val="bottom"/>
            <w:tcBorders>
              <w:bottom w:val="single" w:sz="8" w:color="E0E0E0"/>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125,466</w:t>
            </w:r>
          </w:p>
        </w:tc>
        <w:tc>
          <w:tcPr>
            <w:tcW w:w="100" w:type="dxa"/>
            <w:vAlign w:val="bottom"/>
            <w:tcBorders>
              <w:bottom w:val="single" w:sz="8" w:color="E0E0E0"/>
            </w:tcBorders>
          </w:tcPr>
          <w:p>
            <w:pPr>
              <w:spacing w:after="0"/>
              <w:rPr>
                <w:sz w:val="19"/>
                <w:szCs w:val="19"/>
                <w:color w:val="auto"/>
              </w:rPr>
            </w:pPr>
          </w:p>
        </w:tc>
        <w:tc>
          <w:tcPr>
            <w:tcW w:w="40" w:type="dxa"/>
            <w:vAlign w:val="bottom"/>
            <w:tcBorders>
              <w:bottom w:val="single" w:sz="8" w:color="E0E0E0"/>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(24,564)</w:t>
            </w:r>
          </w:p>
        </w:tc>
        <w:tc>
          <w:tcPr>
            <w:tcW w:w="120" w:type="dxa"/>
            <w:vAlign w:val="bottom"/>
            <w:tcBorders>
              <w:bottom w:val="single" w:sz="8" w:color="E0E0E0"/>
            </w:tcBorders>
          </w:tcPr>
          <w:p>
            <w:pPr>
              <w:spacing w:after="0"/>
              <w:rPr>
                <w:sz w:val="19"/>
                <w:szCs w:val="19"/>
                <w:color w:val="auto"/>
              </w:rPr>
            </w:pPr>
          </w:p>
        </w:tc>
        <w:tc>
          <w:tcPr>
            <w:tcW w:w="1040" w:type="dxa"/>
            <w:vAlign w:val="bottom"/>
            <w:tcBorders>
              <w:bottom w:val="single" w:sz="8" w:color="E0E0E0"/>
            </w:tcBorders>
            <w:gridSpan w:val="2"/>
          </w:tcPr>
          <w:p>
            <w:pPr>
              <w:jc w:val="right"/>
              <w:ind w:right="180"/>
              <w:spacing w:after="0" w:line="220" w:lineRule="exact"/>
              <w:rPr>
                <w:sz w:val="20"/>
                <w:szCs w:val="20"/>
                <w:color w:val="auto"/>
              </w:rPr>
            </w:pPr>
            <w:r>
              <w:rPr>
                <w:rFonts w:ascii="Arial" w:cs="Arial" w:eastAsia="Arial" w:hAnsi="Arial"/>
                <w:sz w:val="20"/>
                <w:szCs w:val="20"/>
                <w:color w:val="auto"/>
              </w:rPr>
              <w:t>(20)</w:t>
            </w:r>
          </w:p>
        </w:tc>
      </w:tr>
      <w:tr>
        <w:trPr>
          <w:trHeight w:val="220"/>
        </w:trPr>
        <w:tc>
          <w:tcPr>
            <w:tcW w:w="42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Loss from operations</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93"/>
                <w:shd w:val="clear" w:color="auto" w:fill="E0E0E0"/>
              </w:rPr>
              <w:t>(100,902)</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93"/>
                <w:shd w:val="clear" w:color="auto" w:fill="E0E0E0"/>
              </w:rPr>
              <w:t>(125,466)</w:t>
            </w:r>
          </w:p>
        </w:tc>
        <w:tc>
          <w:tcPr>
            <w:tcW w:w="10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24,564</w:t>
            </w:r>
          </w:p>
        </w:tc>
        <w:tc>
          <w:tcPr>
            <w:tcW w:w="12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180"/>
              <w:spacing w:after="0" w:line="220" w:lineRule="exact"/>
              <w:rPr>
                <w:sz w:val="20"/>
                <w:szCs w:val="20"/>
                <w:color w:val="auto"/>
              </w:rPr>
            </w:pPr>
            <w:r>
              <w:rPr>
                <w:rFonts w:ascii="Arial" w:cs="Arial" w:eastAsia="Arial" w:hAnsi="Arial"/>
                <w:sz w:val="20"/>
                <w:szCs w:val="20"/>
                <w:color w:val="auto"/>
              </w:rPr>
              <w:t>(20)</w:t>
            </w: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Grant income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(157)</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(100)</w:t>
            </w:r>
          </w:p>
        </w:tc>
      </w:tr>
      <w:tr>
        <w:trPr>
          <w:trHeight w:val="250"/>
        </w:trPr>
        <w:tc>
          <w:tcPr>
            <w:tcW w:w="4240" w:type="dxa"/>
            <w:vAlign w:val="bottom"/>
            <w:shd w:val="clear" w:color="auto" w:fill="E0E0E0"/>
          </w:tcPr>
          <w:p>
            <w:pPr>
              <w:spacing w:after="0"/>
              <w:rPr>
                <w:sz w:val="20"/>
                <w:szCs w:val="20"/>
                <w:color w:val="auto"/>
              </w:rPr>
            </w:pPr>
            <w:r>
              <w:rPr>
                <w:rFonts w:ascii="Arial" w:cs="Arial" w:eastAsia="Arial" w:hAnsi="Arial"/>
                <w:sz w:val="20"/>
                <w:szCs w:val="20"/>
                <w:color w:val="auto"/>
              </w:rPr>
              <w:t>Other income, net</w:t>
            </w:r>
          </w:p>
        </w:tc>
        <w:tc>
          <w:tcPr>
            <w:tcW w:w="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8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3,962</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7,637</w:t>
            </w:r>
          </w:p>
        </w:tc>
        <w:tc>
          <w:tcPr>
            <w:tcW w:w="100" w:type="dxa"/>
            <w:vAlign w:val="bottom"/>
            <w:shd w:val="clear" w:color="auto" w:fill="E0E0E0"/>
          </w:tcPr>
          <w:p>
            <w:pPr>
              <w:spacing w:after="0"/>
              <w:rPr>
                <w:sz w:val="21"/>
                <w:szCs w:val="21"/>
                <w:color w:val="auto"/>
              </w:rPr>
            </w:pPr>
          </w:p>
        </w:tc>
        <w:tc>
          <w:tcPr>
            <w:tcW w:w="1000" w:type="dxa"/>
            <w:vAlign w:val="bottom"/>
            <w:gridSpan w:val="3"/>
            <w:shd w:val="clear" w:color="auto" w:fill="E0E0E0"/>
          </w:tcPr>
          <w:p>
            <w:pPr>
              <w:jc w:val="right"/>
              <w:ind w:right="60"/>
              <w:spacing w:after="0"/>
              <w:rPr>
                <w:sz w:val="20"/>
                <w:szCs w:val="20"/>
                <w:color w:val="auto"/>
              </w:rPr>
            </w:pPr>
            <w:r>
              <w:rPr>
                <w:rFonts w:ascii="Arial" w:cs="Arial" w:eastAsia="Arial" w:hAnsi="Arial"/>
                <w:sz w:val="20"/>
                <w:szCs w:val="20"/>
                <w:color w:val="auto"/>
              </w:rPr>
              <w:t>(3,675)</w:t>
            </w:r>
          </w:p>
        </w:tc>
        <w:tc>
          <w:tcPr>
            <w:tcW w:w="104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(48)</w:t>
            </w:r>
          </w:p>
        </w:tc>
      </w:tr>
      <w:tr>
        <w:trPr>
          <w:trHeight w:val="200"/>
        </w:trPr>
        <w:tc>
          <w:tcPr>
            <w:tcW w:w="4240" w:type="dxa"/>
            <w:vAlign w:val="bottom"/>
            <w:tcBorders>
              <w:top w:val="single" w:sz="8" w:color="E0E0E0"/>
            </w:tcBorders>
          </w:tcPr>
          <w:p>
            <w:pPr>
              <w:spacing w:after="0" w:line="200" w:lineRule="exact"/>
              <w:rPr>
                <w:sz w:val="20"/>
                <w:szCs w:val="20"/>
                <w:color w:val="auto"/>
              </w:rPr>
            </w:pPr>
            <w:r>
              <w:rPr>
                <w:rFonts w:ascii="Arial" w:cs="Arial" w:eastAsia="Arial" w:hAnsi="Arial"/>
                <w:sz w:val="20"/>
                <w:szCs w:val="20"/>
                <w:color w:val="auto"/>
              </w:rPr>
              <w:t>Net loss</w:t>
            </w:r>
          </w:p>
        </w:tc>
        <w:tc>
          <w:tcPr>
            <w:tcW w:w="80" w:type="dxa"/>
            <w:vAlign w:val="bottom"/>
            <w:tcBorders>
              <w:top w:val="single" w:sz="8" w:color="E0E0E0"/>
            </w:tcBorders>
          </w:tcPr>
          <w:p>
            <w:pPr>
              <w:spacing w:after="0"/>
              <w:rPr>
                <w:sz w:val="17"/>
                <w:szCs w:val="17"/>
                <w:color w:val="auto"/>
              </w:rPr>
            </w:pPr>
          </w:p>
        </w:tc>
        <w:tc>
          <w:tcPr>
            <w:tcW w:w="20" w:type="dxa"/>
            <w:vAlign w:val="bottom"/>
            <w:tcBorders>
              <w:top w:val="single" w:sz="8" w:color="E0E0E0"/>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(96,940</w:t>
            </w:r>
          </w:p>
        </w:tc>
        <w:tc>
          <w:tcPr>
            <w:tcW w:w="140" w:type="dxa"/>
            <w:vAlign w:val="bottom"/>
            <w:tcBorders>
              <w:top w:val="single" w:sz="8" w:color="E0E0E0"/>
            </w:tcBorders>
          </w:tcPr>
          <w:p>
            <w:pPr>
              <w:spacing w:after="0" w:line="200"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u w:val="single" w:color="auto"/>
                <w:color w:val="auto"/>
                <w:w w:val="71"/>
              </w:rPr>
              <w:t>$</w:t>
            </w:r>
          </w:p>
        </w:tc>
        <w:tc>
          <w:tcPr>
            <w:tcW w:w="82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w w:val="98"/>
              </w:rPr>
              <w:t>(117,672</w:t>
            </w:r>
          </w:p>
        </w:tc>
        <w:tc>
          <w:tcPr>
            <w:tcW w:w="140" w:type="dxa"/>
            <w:vAlign w:val="bottom"/>
            <w:tcBorders>
              <w:top w:val="single" w:sz="8" w:color="E0E0E0"/>
            </w:tcBorders>
            <w:gridSpan w:val="2"/>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$ 20,732</w:t>
            </w:r>
          </w:p>
        </w:tc>
        <w:tc>
          <w:tcPr>
            <w:tcW w:w="120" w:type="dxa"/>
            <w:vAlign w:val="bottom"/>
            <w:tcBorders>
              <w:top w:val="single" w:sz="8" w:color="E0E0E0"/>
            </w:tcBorders>
          </w:tcPr>
          <w:p>
            <w:pPr>
              <w:spacing w:after="0"/>
              <w:rPr>
                <w:sz w:val="17"/>
                <w:szCs w:val="17"/>
                <w:color w:val="auto"/>
              </w:rPr>
            </w:pPr>
          </w:p>
        </w:tc>
        <w:tc>
          <w:tcPr>
            <w:tcW w:w="1040" w:type="dxa"/>
            <w:vAlign w:val="bottom"/>
            <w:tcBorders>
              <w:top w:val="single" w:sz="8" w:color="E0E0E0"/>
            </w:tcBorders>
            <w:gridSpan w:val="2"/>
          </w:tcPr>
          <w:p>
            <w:pPr>
              <w:jc w:val="right"/>
              <w:ind w:right="180"/>
              <w:spacing w:after="0" w:line="200" w:lineRule="exact"/>
              <w:rPr>
                <w:sz w:val="20"/>
                <w:szCs w:val="20"/>
                <w:color w:val="auto"/>
              </w:rPr>
            </w:pPr>
            <w:r>
              <w:rPr>
                <w:rFonts w:ascii="Arial" w:cs="Arial" w:eastAsia="Arial" w:hAnsi="Arial"/>
                <w:sz w:val="20"/>
                <w:szCs w:val="20"/>
                <w:color w:val="auto"/>
              </w:rPr>
              <w:t>(18)</w:t>
            </w: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16"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following table shows the primary components of our research and development expenses for the periods presented: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500"/>
              <w:spacing w:after="0" w:line="155" w:lineRule="exact"/>
              <w:rPr>
                <w:sz w:val="20"/>
                <w:szCs w:val="20"/>
                <w:color w:val="auto"/>
              </w:rPr>
            </w:pPr>
            <w:r>
              <w:rPr>
                <w:rFonts w:ascii="Arial" w:cs="Arial" w:eastAsia="Arial" w:hAnsi="Arial"/>
                <w:sz w:val="16"/>
                <w:szCs w:val="16"/>
                <w:b w:val="1"/>
                <w:bCs w:val="1"/>
                <w:color w:val="auto"/>
              </w:rPr>
              <w:t>Dollar</w:t>
            </w:r>
          </w:p>
        </w:tc>
        <w:tc>
          <w:tcPr>
            <w:tcW w:w="800" w:type="dxa"/>
            <w:vAlign w:val="bottom"/>
          </w:tcPr>
          <w:p>
            <w:pPr>
              <w:jc w:val="right"/>
              <w:ind w:right="244"/>
              <w:spacing w:after="0" w:line="155"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3"/>
                <w:szCs w:val="13"/>
                <w:color w:val="auto"/>
              </w:rPr>
            </w:pP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6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Change</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Change</w:t>
            </w:r>
          </w:p>
        </w:tc>
      </w:tr>
      <w:tr>
        <w:trPr>
          <w:trHeight w:val="174"/>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top w:val="single" w:sz="8" w:color="auto"/>
            </w:tcBorders>
            <w:gridSpan w:val="2"/>
          </w:tcPr>
          <w:p>
            <w:pPr>
              <w:jc w:val="right"/>
              <w:spacing w:after="0" w:line="174" w:lineRule="exact"/>
              <w:rPr>
                <w:sz w:val="20"/>
                <w:szCs w:val="20"/>
                <w:color w:val="auto"/>
              </w:rPr>
            </w:pPr>
            <w:r>
              <w:rPr>
                <w:rFonts w:ascii="Arial" w:cs="Arial" w:eastAsia="Arial" w:hAnsi="Arial"/>
                <w:sz w:val="16"/>
                <w:szCs w:val="16"/>
                <w:b w:val="1"/>
                <w:bCs w:val="1"/>
                <w:color w:val="auto"/>
                <w:w w:val="96"/>
              </w:rPr>
              <w:t>(in thousands)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3740" w:type="dxa"/>
            <w:vAlign w:val="bottom"/>
            <w:shd w:val="clear" w:color="auto" w:fill="E0E0E0"/>
          </w:tcPr>
          <w:p>
            <w:pPr>
              <w:spacing w:after="0"/>
              <w:rPr>
                <w:sz w:val="20"/>
                <w:szCs w:val="20"/>
                <w:color w:val="auto"/>
              </w:rPr>
            </w:pPr>
            <w:r>
              <w:rPr>
                <w:rFonts w:ascii="Arial" w:cs="Arial" w:eastAsia="Arial" w:hAnsi="Arial"/>
                <w:sz w:val="20"/>
                <w:szCs w:val="20"/>
                <w:color w:val="auto"/>
              </w:rPr>
              <w:t>Direct costs:</w:t>
            </w: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r>
      <w:tr>
        <w:trPr>
          <w:trHeight w:val="230"/>
        </w:trPr>
        <w:tc>
          <w:tcPr>
            <w:tcW w:w="3740" w:type="dxa"/>
            <w:vAlign w:val="bottom"/>
          </w:tcPr>
          <w:p>
            <w:pPr>
              <w:ind w:left="280"/>
              <w:spacing w:after="0"/>
              <w:rPr>
                <w:sz w:val="20"/>
                <w:szCs w:val="20"/>
                <w:color w:val="auto"/>
              </w:rPr>
            </w:pPr>
            <w:r>
              <w:rPr>
                <w:rFonts w:ascii="Arial" w:cs="Arial" w:eastAsia="Arial" w:hAnsi="Arial"/>
                <w:sz w:val="20"/>
                <w:szCs w:val="20"/>
                <w:color w:val="auto"/>
              </w:rPr>
              <w:t>Fosgonimeton (ATH-1017)</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41,510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66,524</w:t>
            </w:r>
          </w:p>
        </w:tc>
        <w:tc>
          <w:tcPr>
            <w:tcW w:w="1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20"/>
                <w:szCs w:val="20"/>
                <w:color w:val="auto"/>
              </w:rPr>
              <w:t>(25,014)</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37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ATH-1105</w:t>
            </w: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8,567</w:t>
            </w:r>
          </w:p>
        </w:tc>
        <w:tc>
          <w:tcPr>
            <w:tcW w:w="2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2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w:t>
            </w:r>
          </w:p>
        </w:tc>
        <w:tc>
          <w:tcPr>
            <w:tcW w:w="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9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8,567</w:t>
            </w:r>
          </w:p>
        </w:tc>
        <w:tc>
          <w:tcPr>
            <w:tcW w:w="180" w:type="dxa"/>
            <w:vAlign w:val="bottom"/>
            <w:shd w:val="clear" w:color="auto" w:fill="E0E0E0"/>
          </w:tcPr>
          <w:p>
            <w:pPr>
              <w:spacing w:after="0"/>
              <w:rPr>
                <w:sz w:val="19"/>
                <w:szCs w:val="19"/>
                <w:color w:val="auto"/>
              </w:rPr>
            </w:pPr>
          </w:p>
        </w:tc>
        <w:tc>
          <w:tcPr>
            <w:tcW w:w="8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100</w:t>
            </w:r>
          </w:p>
        </w:tc>
        <w:tc>
          <w:tcPr>
            <w:tcW w:w="180" w:type="dxa"/>
            <w:vAlign w:val="bottom"/>
            <w:shd w:val="clear" w:color="auto" w:fill="E0E0E0"/>
          </w:tcPr>
          <w:p>
            <w:pPr>
              <w:spacing w:after="0"/>
              <w:rPr>
                <w:sz w:val="19"/>
                <w:szCs w:val="19"/>
                <w:color w:val="auto"/>
              </w:rPr>
            </w:pPr>
          </w:p>
        </w:tc>
      </w:tr>
      <w:tr>
        <w:trPr>
          <w:trHeight w:val="230"/>
        </w:trPr>
        <w:tc>
          <w:tcPr>
            <w:tcW w:w="3740" w:type="dxa"/>
            <w:vAlign w:val="bottom"/>
          </w:tcPr>
          <w:p>
            <w:pPr>
              <w:ind w:left="280"/>
              <w:spacing w:after="0"/>
              <w:rPr>
                <w:sz w:val="20"/>
                <w:szCs w:val="20"/>
                <w:color w:val="auto"/>
              </w:rPr>
            </w:pPr>
            <w:r>
              <w:rPr>
                <w:rFonts w:ascii="Arial" w:cs="Arial" w:eastAsia="Arial" w:hAnsi="Arial"/>
                <w:sz w:val="20"/>
                <w:szCs w:val="20"/>
                <w:color w:val="auto"/>
              </w:rPr>
              <w:t>ATH-1020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704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20"/>
                <w:szCs w:val="20"/>
                <w:color w:val="auto"/>
              </w:rPr>
              <w:t>(209)</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(30)</w:t>
            </w:r>
          </w:p>
        </w:tc>
      </w:tr>
      <w:tr>
        <w:trPr>
          <w:trHeight w:val="211"/>
        </w:trPr>
        <w:tc>
          <w:tcPr>
            <w:tcW w:w="3740" w:type="dxa"/>
            <w:vAlign w:val="bottom"/>
            <w:shd w:val="clear" w:color="auto" w:fill="E0E0E0"/>
          </w:tcPr>
          <w:p>
            <w:pPr>
              <w:ind w:left="280"/>
              <w:spacing w:after="0" w:line="210" w:lineRule="exact"/>
              <w:rPr>
                <w:sz w:val="20"/>
                <w:szCs w:val="20"/>
                <w:color w:val="auto"/>
              </w:rPr>
            </w:pPr>
            <w:r>
              <w:rPr>
                <w:rFonts w:ascii="Arial" w:cs="Arial" w:eastAsia="Arial" w:hAnsi="Arial"/>
                <w:sz w:val="20"/>
                <w:szCs w:val="20"/>
                <w:color w:val="auto"/>
              </w:rPr>
              <w:t>Preclinical programs and other direct</w:t>
            </w:r>
          </w:p>
        </w:tc>
        <w:tc>
          <w:tcPr>
            <w:tcW w:w="1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r>
      <w:tr>
        <w:trPr>
          <w:trHeight w:val="249"/>
        </w:trPr>
        <w:tc>
          <w:tcPr>
            <w:tcW w:w="37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costs</w:t>
            </w:r>
          </w:p>
        </w:tc>
        <w:tc>
          <w:tcPr>
            <w:tcW w:w="1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7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1,580</w:t>
            </w:r>
          </w:p>
        </w:tc>
        <w:tc>
          <w:tcPr>
            <w:tcW w:w="2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6,619</w:t>
            </w:r>
          </w:p>
        </w:tc>
        <w:tc>
          <w:tcPr>
            <w:tcW w:w="16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1080" w:type="dxa"/>
            <w:vAlign w:val="bottom"/>
            <w:gridSpan w:val="2"/>
            <w:shd w:val="clear" w:color="auto" w:fill="E0E0E0"/>
          </w:tcPr>
          <w:p>
            <w:pPr>
              <w:jc w:val="right"/>
              <w:ind w:right="120"/>
              <w:spacing w:after="0"/>
              <w:rPr>
                <w:sz w:val="20"/>
                <w:szCs w:val="20"/>
                <w:color w:val="auto"/>
              </w:rPr>
            </w:pPr>
            <w:r>
              <w:rPr>
                <w:rFonts w:ascii="Arial" w:cs="Arial" w:eastAsia="Arial" w:hAnsi="Arial"/>
                <w:sz w:val="20"/>
                <w:szCs w:val="20"/>
                <w:color w:val="auto"/>
              </w:rPr>
              <w:t>(5,039)</w:t>
            </w:r>
          </w:p>
        </w:tc>
        <w:tc>
          <w:tcPr>
            <w:tcW w:w="980" w:type="dxa"/>
            <w:vAlign w:val="bottom"/>
            <w:gridSpan w:val="2"/>
            <w:shd w:val="clear" w:color="auto" w:fill="E0E0E0"/>
          </w:tcPr>
          <w:p>
            <w:pPr>
              <w:jc w:val="right"/>
              <w:ind w:right="120"/>
              <w:spacing w:after="0"/>
              <w:rPr>
                <w:sz w:val="20"/>
                <w:szCs w:val="20"/>
                <w:color w:val="auto"/>
              </w:rPr>
            </w:pPr>
            <w:r>
              <w:rPr>
                <w:rFonts w:ascii="Arial" w:cs="Arial" w:eastAsia="Arial" w:hAnsi="Arial"/>
                <w:sz w:val="20"/>
                <w:szCs w:val="20"/>
                <w:color w:val="auto"/>
              </w:rPr>
              <w:t>(76)</w:t>
            </w:r>
          </w:p>
        </w:tc>
      </w:tr>
      <w:tr>
        <w:trPr>
          <w:trHeight w:val="220"/>
        </w:trPr>
        <w:tc>
          <w:tcPr>
            <w:tcW w:w="3740" w:type="dxa"/>
            <w:vAlign w:val="bottom"/>
            <w:tcBorders>
              <w:bottom w:val="single" w:sz="8" w:color="E0E0E0"/>
            </w:tcBorders>
          </w:tcPr>
          <w:p>
            <w:pPr>
              <w:spacing w:after="0" w:line="220" w:lineRule="exact"/>
              <w:rPr>
                <w:sz w:val="20"/>
                <w:szCs w:val="20"/>
                <w:color w:val="auto"/>
              </w:rPr>
            </w:pPr>
            <w:r>
              <w:rPr>
                <w:rFonts w:ascii="Arial" w:cs="Arial" w:eastAsia="Arial" w:hAnsi="Arial"/>
                <w:sz w:val="20"/>
                <w:szCs w:val="20"/>
                <w:color w:val="auto"/>
              </w:rPr>
              <w:t>Total direct costs</w:t>
            </w:r>
          </w:p>
        </w:tc>
        <w:tc>
          <w:tcPr>
            <w:tcW w:w="120" w:type="dxa"/>
            <w:vAlign w:val="bottom"/>
            <w:tcBorders>
              <w:bottom w:val="single" w:sz="8" w:color="E0E0E0"/>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52,152</w:t>
            </w:r>
          </w:p>
        </w:tc>
        <w:tc>
          <w:tcPr>
            <w:tcW w:w="200" w:type="dxa"/>
            <w:vAlign w:val="bottom"/>
            <w:tcBorders>
              <w:bottom w:val="single" w:sz="8" w:color="E0E0E0"/>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73,847</w:t>
            </w:r>
          </w:p>
        </w:tc>
        <w:tc>
          <w:tcPr>
            <w:tcW w:w="160" w:type="dxa"/>
            <w:vAlign w:val="bottom"/>
            <w:tcBorders>
              <w:bottom w:val="single" w:sz="8" w:color="E0E0E0"/>
            </w:tcBorders>
          </w:tcPr>
          <w:p>
            <w:pPr>
              <w:spacing w:after="0"/>
              <w:rPr>
                <w:sz w:val="19"/>
                <w:szCs w:val="19"/>
                <w:color w:val="auto"/>
              </w:rPr>
            </w:pPr>
          </w:p>
        </w:tc>
        <w:tc>
          <w:tcPr>
            <w:tcW w:w="40" w:type="dxa"/>
            <w:vAlign w:val="bottom"/>
            <w:tcBorders>
              <w:bottom w:val="single" w:sz="8" w:color="E0E0E0"/>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(21,695)</w:t>
            </w:r>
          </w:p>
        </w:tc>
        <w:tc>
          <w:tcPr>
            <w:tcW w:w="180" w:type="dxa"/>
            <w:vAlign w:val="bottom"/>
            <w:tcBorders>
              <w:bottom w:val="single" w:sz="8" w:color="E0E0E0"/>
            </w:tcBorders>
          </w:tcPr>
          <w:p>
            <w:pPr>
              <w:spacing w:after="0"/>
              <w:rPr>
                <w:sz w:val="19"/>
                <w:szCs w:val="19"/>
                <w:color w:val="auto"/>
              </w:rPr>
            </w:pPr>
          </w:p>
        </w:tc>
        <w:tc>
          <w:tcPr>
            <w:tcW w:w="980" w:type="dxa"/>
            <w:vAlign w:val="bottom"/>
            <w:tcBorders>
              <w:bottom w:val="single" w:sz="8" w:color="E0E0E0"/>
            </w:tcBorders>
            <w:gridSpan w:val="2"/>
          </w:tcPr>
          <w:p>
            <w:pPr>
              <w:jc w:val="right"/>
              <w:ind w:right="120"/>
              <w:spacing w:after="0" w:line="220" w:lineRule="exact"/>
              <w:rPr>
                <w:sz w:val="20"/>
                <w:szCs w:val="20"/>
                <w:color w:val="auto"/>
              </w:rPr>
            </w:pPr>
            <w:r>
              <w:rPr>
                <w:rFonts w:ascii="Arial" w:cs="Arial" w:eastAsia="Arial" w:hAnsi="Arial"/>
                <w:sz w:val="20"/>
                <w:szCs w:val="20"/>
                <w:color w:val="auto"/>
              </w:rPr>
              <w:t>(28)</w:t>
            </w:r>
          </w:p>
        </w:tc>
      </w:tr>
      <w:tr>
        <w:trPr>
          <w:trHeight w:val="220"/>
        </w:trPr>
        <w:tc>
          <w:tcPr>
            <w:tcW w:w="37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Indirect costs:</w:t>
            </w: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r>
      <w:tr>
        <w:trPr>
          <w:trHeight w:val="211"/>
        </w:trPr>
        <w:tc>
          <w:tcPr>
            <w:tcW w:w="3740" w:type="dxa"/>
            <w:vAlign w:val="bottom"/>
          </w:tcPr>
          <w:p>
            <w:pPr>
              <w:ind w:left="280"/>
              <w:spacing w:after="0" w:line="210" w:lineRule="exact"/>
              <w:rPr>
                <w:sz w:val="20"/>
                <w:szCs w:val="20"/>
                <w:color w:val="auto"/>
              </w:rPr>
            </w:pPr>
            <w:r>
              <w:rPr>
                <w:rFonts w:ascii="Arial" w:cs="Arial" w:eastAsia="Arial" w:hAnsi="Arial"/>
                <w:sz w:val="20"/>
                <w:szCs w:val="20"/>
                <w:color w:val="auto"/>
              </w:rPr>
              <w:t>Personnel-related costs, including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740" w:type="dxa"/>
            <w:vAlign w:val="bottom"/>
          </w:tcPr>
          <w:p>
            <w:pPr>
              <w:ind w:left="280"/>
              <w:spacing w:after="0"/>
              <w:rPr>
                <w:sz w:val="20"/>
                <w:szCs w:val="20"/>
                <w:color w:val="auto"/>
              </w:rPr>
            </w:pPr>
            <w:r>
              <w:rPr>
                <w:rFonts w:ascii="Arial" w:cs="Arial" w:eastAsia="Arial" w:hAnsi="Arial"/>
                <w:sz w:val="20"/>
                <w:szCs w:val="20"/>
                <w:color w:val="auto"/>
              </w:rPr>
              <w:t>stock-</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9"/>
        </w:trPr>
        <w:tc>
          <w:tcPr>
            <w:tcW w:w="3740" w:type="dxa"/>
            <w:vAlign w:val="bottom"/>
          </w:tcPr>
          <w:p>
            <w:pPr>
              <w:ind w:left="460"/>
              <w:spacing w:after="0"/>
              <w:rPr>
                <w:sz w:val="20"/>
                <w:szCs w:val="20"/>
                <w:color w:val="auto"/>
              </w:rPr>
            </w:pPr>
            <w:r>
              <w:rPr>
                <w:rFonts w:ascii="Arial" w:cs="Arial" w:eastAsia="Arial" w:hAnsi="Arial"/>
                <w:sz w:val="20"/>
                <w:szCs w:val="20"/>
                <w:color w:val="auto"/>
              </w:rPr>
              <w:t>based compensation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16,332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17,955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20"/>
                <w:szCs w:val="20"/>
                <w:color w:val="auto"/>
              </w:rPr>
              <w:t>(1,623)</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(9)</w:t>
            </w:r>
          </w:p>
        </w:tc>
      </w:tr>
      <w:tr>
        <w:trPr>
          <w:trHeight w:val="230"/>
        </w:trPr>
        <w:tc>
          <w:tcPr>
            <w:tcW w:w="3740" w:type="dxa"/>
            <w:vAlign w:val="bottom"/>
            <w:shd w:val="clear" w:color="auto" w:fill="E0E0E0"/>
          </w:tcPr>
          <w:p>
            <w:pPr>
              <w:ind w:left="280"/>
              <w:spacing w:after="0"/>
              <w:rPr>
                <w:sz w:val="20"/>
                <w:szCs w:val="20"/>
                <w:color w:val="auto"/>
              </w:rPr>
            </w:pPr>
            <w:r>
              <w:rPr>
                <w:rFonts w:ascii="Arial" w:cs="Arial" w:eastAsia="Arial" w:hAnsi="Arial"/>
                <w:sz w:val="20"/>
                <w:szCs w:val="20"/>
                <w:color w:val="auto"/>
              </w:rPr>
              <w:t>Facilities and other costs</w:t>
            </w:r>
          </w:p>
        </w:tc>
        <w:tc>
          <w:tcPr>
            <w:tcW w:w="12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7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2,198</w:t>
            </w:r>
          </w:p>
        </w:tc>
        <w:tc>
          <w:tcPr>
            <w:tcW w:w="20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1,988</w:t>
            </w:r>
          </w:p>
        </w:tc>
        <w:tc>
          <w:tcPr>
            <w:tcW w:w="16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18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210</w:t>
            </w:r>
          </w:p>
        </w:tc>
        <w:tc>
          <w:tcPr>
            <w:tcW w:w="180" w:type="dxa"/>
            <w:vAlign w:val="bottom"/>
            <w:shd w:val="clear" w:color="auto" w:fill="E0E0E0"/>
          </w:tcPr>
          <w:p>
            <w:pPr>
              <w:spacing w:after="0"/>
              <w:rPr>
                <w:sz w:val="19"/>
                <w:szCs w:val="19"/>
                <w:color w:val="auto"/>
              </w:rPr>
            </w:pPr>
          </w:p>
        </w:tc>
        <w:tc>
          <w:tcPr>
            <w:tcW w:w="8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11</w:t>
            </w:r>
          </w:p>
        </w:tc>
        <w:tc>
          <w:tcPr>
            <w:tcW w:w="180" w:type="dxa"/>
            <w:vAlign w:val="bottom"/>
            <w:shd w:val="clear" w:color="auto" w:fill="E0E0E0"/>
          </w:tcPr>
          <w:p>
            <w:pPr>
              <w:spacing w:after="0"/>
              <w:rPr>
                <w:sz w:val="19"/>
                <w:szCs w:val="19"/>
                <w:color w:val="auto"/>
              </w:rPr>
            </w:pPr>
          </w:p>
        </w:tc>
      </w:tr>
      <w:tr>
        <w:trPr>
          <w:trHeight w:val="201"/>
        </w:trPr>
        <w:tc>
          <w:tcPr>
            <w:tcW w:w="3740" w:type="dxa"/>
            <w:vAlign w:val="bottom"/>
          </w:tcPr>
          <w:p>
            <w:pPr>
              <w:spacing w:after="0" w:line="201" w:lineRule="exact"/>
              <w:rPr>
                <w:sz w:val="20"/>
                <w:szCs w:val="20"/>
                <w:color w:val="auto"/>
              </w:rPr>
            </w:pPr>
            <w:r>
              <w:rPr>
                <w:rFonts w:ascii="Arial" w:cs="Arial" w:eastAsia="Arial" w:hAnsi="Arial"/>
                <w:sz w:val="20"/>
                <w:szCs w:val="20"/>
                <w:color w:val="auto"/>
              </w:rPr>
              <w:t>Total research and development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9"/>
        </w:trPr>
        <w:tc>
          <w:tcPr>
            <w:tcW w:w="3740" w:type="dxa"/>
            <w:vAlign w:val="bottom"/>
          </w:tcPr>
          <w:p>
            <w:pPr>
              <w:spacing w:after="0"/>
              <w:rPr>
                <w:sz w:val="20"/>
                <w:szCs w:val="20"/>
                <w:color w:val="auto"/>
              </w:rPr>
            </w:pPr>
            <w:r>
              <w:rPr>
                <w:rFonts w:ascii="Arial" w:cs="Arial" w:eastAsia="Arial" w:hAnsi="Arial"/>
                <w:sz w:val="20"/>
                <w:szCs w:val="20"/>
                <w:color w:val="auto"/>
              </w:rPr>
              <w:t>expenses</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70,682</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93,790</w:t>
            </w:r>
          </w:p>
        </w:tc>
        <w:tc>
          <w:tcPr>
            <w:tcW w:w="16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20"/>
                <w:szCs w:val="20"/>
                <w:color w:val="auto"/>
              </w:rPr>
              <w:t>(23,108)</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(24)</w:t>
            </w: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2240" w:h="15840" w:orient="portrait"/>
          <w:cols w:equalWidth="0" w:num="1">
            <w:col w:w="9360"/>
          </w:cols>
          <w:pgMar w:left="1440" w:top="1416" w:right="1440" w:bottom="186" w:gutter="0" w:footer="0" w:header="0"/>
          <w:type w:val="continuous"/>
        </w:sectPr>
      </w:pPr>
    </w:p>
    <w:bookmarkStart w:id="117" w:name="page118"/>
    <w:bookmarkEnd w:id="117"/>
    <w:p>
      <w:pPr>
        <w:jc w:val="both"/>
        <w:ind w:firstLine="490"/>
        <w:spacing w:after="0" w:line="258" w:lineRule="auto"/>
        <w:rPr>
          <w:sz w:val="20"/>
          <w:szCs w:val="20"/>
          <w:color w:val="auto"/>
        </w:rPr>
      </w:pPr>
      <w:r>
        <w:rPr>
          <w:rFonts w:ascii="Arial" w:cs="Arial" w:eastAsia="Arial" w:hAnsi="Arial"/>
          <w:sz w:val="19"/>
          <w:szCs w:val="19"/>
          <w:color w:val="auto"/>
        </w:rPr>
        <w:t>Research and development expenses decreased by $23.1 million, from $93.8 million for the year ended December 31, 2023 to $70.7 million for the year ended December 31, 2024. The decrease was driven primarily by decreases in fosgonimeton program costs of $25.0 million, preclinical and other direct costs of $5.0 million, personnel-related expenses of $1.6 million, and ATH-1020 program costs of $0.2 million. The decrease in fosgonimeton program costs of $25.0 million was driven by decreases in contract research organization and clinical site visit costs for our Phase 2/3 LIFT-AD clinical trial and the corresponding open-label extension for our Phase 2 ACT-AD and Phase 2/3 LIFT-AD clinical trials of $16.4 million and a decrease in contract manufacturing costs of $9.8 million, partially offset by an increase in program consulting costs of $1.5 million. These decreases were partially offset by an increase in ATH-1105 program costs of $8.6 million associated with the ATH-1105 Phase 1 clinical trial, which commenced in the second quarter of 2024, and to a lesser extent, an increase in facilities and other indirect costs.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11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General and administrative expenses decreased by $7.2 million, from $33.3 million for the year ended December 31, 2023 to $26.1 million for the year ended December 31, 2024. The decrease was primarily due to a decrease in business development expenses of $2.2 million, a decrease in general corporate expenses of $1.4 million, a decrease in professional services expenses of $0.9 million, and a decrease in personnel-related expenses of $0.6 million. Additionally, legal expenses, excluding expenses recognized in connection with the Department of Justice investigation, decreased by $2.4 million.</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Expense</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In connection with the Department of Justice investigation, we recorded a legal expense of $4.1 million during the year ended December 31, 2024. For more information, see the section of this report titled "Legal Proceedings—Government Investigation".</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Insurance Recovery Related to Legal Settlement</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connection with the settlement of the securities class action litigation, we recorded an insurance recovery of $1.6 million for the year ended December 31, 2023, representing the amount of the settlement covered by our insurers. For more information see the section of this report titled “Legal Proceedings— Securities Class Actions".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 Income</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Grant income recognized during the year ended December 31, 2023 of $0.2 million represented the remaining balance of the total $15.2 million approved grant amount available at the beginning of the year. There was no grant income recognized during the year ended December 31, 2024.</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16"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auto"/>
        </w:rPr>
        <w:t>Other income, net, decreased by $3.6 million, from $7.6 million for the year ended December 31, 2023 to $4.0 million for the year ended December 31, 2024 due to lower income from accretion of discounts on debt securities purchased below par value and held to maturity and lower interest income earned on our available-for-sale securities. These decreases resulted from lower balances of available-for-sale securities held during the year ended December 31, 2024 compared to the year ended December 31, 2023.</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2240" w:h="15840" w:orient="portrait"/>
          <w:cols w:equalWidth="0" w:num="1">
            <w:col w:w="9360"/>
          </w:cols>
          <w:pgMar w:left="1440" w:top="1420" w:right="1440" w:bottom="186"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11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December 31, 2024, we have raised aggregate net cash proceeds of $407.4 million primarily from the issuance of our common stock (excluding option exercises), convertible preferred stock, common stock warrants, and convertible notes.</w:t>
      </w:r>
    </w:p>
    <w:p>
      <w:pPr>
        <w:spacing w:after="0" w:line="22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As of December 31, 2024, we had $51.3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Cash and Future Funding Requirements</w:t>
      </w:r>
    </w:p>
    <w:p>
      <w:pPr>
        <w:spacing w:after="0" w:line="11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Our material cash requirements include our operating leases for laboratory and office facilities. As of December 31, 2024, we had lease payment obligations of $1.3 million, with $0.5 million payable within 12 months. For additional information regarding our lease commitments, see Note 7 to our consolidated financial statements included elsewhere in this report.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anticipate that our research and development expenses and our general and administrative expenses will decrease in the near-term as a result of our decision to pause further development of fosgonimeton and to shift our focus to the clinical development of ATH-1105, and our decrease in headcount as a result of the Restructuring.</w:t>
      </w:r>
    </w:p>
    <w:p>
      <w:pPr>
        <w:spacing w:after="0" w:line="8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color w:val="auto"/>
        </w:rPr>
        <w:t>Based upon our current operating plan, we estimate that our $51.3 million of cash, cash equivalents and investments at December 31, 2024 will be sufficient to fund our operating expenses and capital expenditure requirements through at least the next 12 months following the date of this report. However, our resource requirements could materially change depending on the outcome of our ongoing strategic alternative review process, including to the extent we identify and enter into any potential strategic transaction.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2240" w:h="15840" w:orient="portrait"/>
          <w:cols w:equalWidth="0" w:num="1">
            <w:col w:w="9360"/>
          </w:cols>
          <w:pgMar w:left="1440" w:top="1416" w:right="1440" w:bottom="186" w:gutter="0" w:footer="0" w:header="0"/>
          <w:type w:val="continuous"/>
        </w:sectPr>
      </w:pPr>
    </w:p>
    <w:bookmarkStart w:id="119" w:name="page120"/>
    <w:bookmarkEnd w:id="119"/>
    <w:p>
      <w:pPr>
        <w:jc w:val="both"/>
        <w:spacing w:after="0" w:line="254" w:lineRule="auto"/>
        <w:rPr>
          <w:sz w:val="20"/>
          <w:szCs w:val="20"/>
          <w:color w:val="auto"/>
        </w:rPr>
      </w:pPr>
      <w:r>
        <w:rPr>
          <w:rFonts w:ascii="Arial" w:cs="Arial" w:eastAsia="Arial" w:hAnsi="Arial"/>
          <w:sz w:val="20"/>
          <w:szCs w:val="20"/>
          <w:color w:val="auto"/>
        </w:rPr>
        <w:t>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spacing w:after="0" w:line="186"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86" w:lineRule="exact"/>
        <w:rPr>
          <w:sz w:val="20"/>
          <w:szCs w:val="20"/>
          <w:color w:val="auto"/>
        </w:rPr>
      </w:pPr>
    </w:p>
    <w:p>
      <w:pPr>
        <w:ind w:left="360" w:hanging="360"/>
        <w:spacing w:after="0" w:line="282" w:lineRule="auto"/>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scope, timing, progress and results of our ongoing preclinical studies and clinical trials of our drug candidates;</w:t>
      </w:r>
    </w:p>
    <w:p>
      <w:pPr>
        <w:spacing w:after="0" w:line="52" w:lineRule="exact"/>
        <w:rPr>
          <w:rFonts w:ascii="Arial" w:cs="Arial" w:eastAsia="Arial" w:hAnsi="Arial"/>
          <w:sz w:val="20"/>
          <w:szCs w:val="20"/>
          <w:color w:val="auto"/>
        </w:rPr>
      </w:pPr>
    </w:p>
    <w:p>
      <w:pPr>
        <w:ind w:left="360" w:hanging="360"/>
        <w:spacing w:after="0"/>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number of trials required for regulatory approval;</w:t>
      </w:r>
    </w:p>
    <w:p>
      <w:pPr>
        <w:spacing w:after="0" w:line="133" w:lineRule="exact"/>
        <w:rPr>
          <w:rFonts w:ascii="Arial" w:cs="Arial" w:eastAsia="Arial" w:hAnsi="Arial"/>
          <w:sz w:val="20"/>
          <w:szCs w:val="20"/>
          <w:color w:val="auto"/>
        </w:rPr>
      </w:pPr>
    </w:p>
    <w:p>
      <w:pPr>
        <w:ind w:left="360" w:hanging="360"/>
        <w:spacing w:after="0" w:line="282" w:lineRule="auto"/>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scope, progress, results and costs of preclinical development, laboratory testing and clinical trials of other drug candidates that we may pursue;</w:t>
      </w:r>
    </w:p>
    <w:p>
      <w:pPr>
        <w:spacing w:after="0" w:line="52" w:lineRule="exact"/>
        <w:rPr>
          <w:rFonts w:ascii="Arial" w:cs="Arial" w:eastAsia="Arial" w:hAnsi="Arial"/>
          <w:sz w:val="20"/>
          <w:szCs w:val="20"/>
          <w:color w:val="auto"/>
        </w:rPr>
      </w:pPr>
    </w:p>
    <w:p>
      <w:pPr>
        <w:jc w:val="both"/>
        <w:ind w:left="360" w:hanging="360"/>
        <w:spacing w:after="0" w:line="261" w:lineRule="auto"/>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our ability to establish and maintain collaborations, licensing or other similar arrangements, and the financial terms of any such arrangements, including the timing and amount of any future milestone, royalty or other payments due thereunder;</w:t>
      </w:r>
    </w:p>
    <w:p>
      <w:pPr>
        <w:spacing w:after="0" w:line="73" w:lineRule="exact"/>
        <w:rPr>
          <w:rFonts w:ascii="Arial" w:cs="Arial" w:eastAsia="Arial" w:hAnsi="Arial"/>
          <w:sz w:val="20"/>
          <w:szCs w:val="20"/>
          <w:color w:val="auto"/>
        </w:rPr>
      </w:pPr>
    </w:p>
    <w:p>
      <w:pPr>
        <w:ind w:left="360" w:hanging="360"/>
        <w:spacing w:after="0"/>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costs, timing and outcome of regulatory review of our drug candidates;</w:t>
      </w:r>
    </w:p>
    <w:p>
      <w:pPr>
        <w:spacing w:after="0" w:line="133" w:lineRule="exact"/>
        <w:rPr>
          <w:rFonts w:ascii="Arial" w:cs="Arial" w:eastAsia="Arial" w:hAnsi="Arial"/>
          <w:sz w:val="20"/>
          <w:szCs w:val="20"/>
          <w:color w:val="auto"/>
        </w:rPr>
      </w:pPr>
    </w:p>
    <w:p>
      <w:pPr>
        <w:jc w:val="both"/>
        <w:ind w:left="360" w:hanging="360"/>
        <w:spacing w:after="0" w:line="261" w:lineRule="auto"/>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costs and timing of future commercialization activities, including drug product manufacturing, marketing, sales and distribution, for any of our drug candidates for which we receive marketing approval;</w:t>
      </w:r>
    </w:p>
    <w:p>
      <w:pPr>
        <w:spacing w:after="0" w:line="73" w:lineRule="exact"/>
        <w:rPr>
          <w:rFonts w:ascii="Arial" w:cs="Arial" w:eastAsia="Arial" w:hAnsi="Arial"/>
          <w:sz w:val="20"/>
          <w:szCs w:val="20"/>
          <w:color w:val="auto"/>
        </w:rPr>
      </w:pPr>
    </w:p>
    <w:p>
      <w:pPr>
        <w:ind w:left="360" w:hanging="360"/>
        <w:spacing w:after="0" w:line="282" w:lineRule="auto"/>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revenue, if any, received from commercial sales of our drug candidates for which we receive marketing approval;</w:t>
      </w:r>
    </w:p>
    <w:p>
      <w:pPr>
        <w:spacing w:after="0" w:line="52" w:lineRule="exact"/>
        <w:rPr>
          <w:rFonts w:ascii="Arial" w:cs="Arial" w:eastAsia="Arial" w:hAnsi="Arial"/>
          <w:sz w:val="20"/>
          <w:szCs w:val="20"/>
          <w:color w:val="auto"/>
        </w:rPr>
      </w:pPr>
    </w:p>
    <w:p>
      <w:pPr>
        <w:ind w:left="360" w:hanging="360"/>
        <w:spacing w:after="0" w:line="282" w:lineRule="auto"/>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costs and timing of preparing, filing and prosecuting patent applications, maintaining and enforcing our intellectual property rights and defending any intellectual property-related claims;</w:t>
      </w:r>
    </w:p>
    <w:p>
      <w:pPr>
        <w:spacing w:after="0" w:line="52" w:lineRule="exact"/>
        <w:rPr>
          <w:rFonts w:ascii="Arial" w:cs="Arial" w:eastAsia="Arial" w:hAnsi="Arial"/>
          <w:sz w:val="20"/>
          <w:szCs w:val="20"/>
          <w:color w:val="auto"/>
        </w:rPr>
      </w:pPr>
    </w:p>
    <w:p>
      <w:pPr>
        <w:ind w:left="360" w:hanging="360"/>
        <w:spacing w:after="0"/>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costs related to legal proceedings;</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expenses needed to attract, hire and retain skilled personnel;</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costs of operating as a public company;</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costs associated with any expansion of our laboratory and office facilities; and</w:t>
      </w:r>
    </w:p>
    <w:p>
      <w:pPr>
        <w:spacing w:after="0" w:line="133" w:lineRule="exact"/>
        <w:rPr>
          <w:rFonts w:ascii="Arial" w:cs="Arial" w:eastAsia="Arial" w:hAnsi="Arial"/>
          <w:sz w:val="20"/>
          <w:szCs w:val="20"/>
          <w:color w:val="auto"/>
        </w:rPr>
      </w:pPr>
    </w:p>
    <w:p>
      <w:pPr>
        <w:ind w:left="360" w:hanging="360"/>
        <w:spacing w:after="0" w:line="282" w:lineRule="auto"/>
        <w:tabs>
          <w:tab w:leader="none" w:pos="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extent to which we acquire or in-license other companies’ product candidates and technologies or engage in other strategic transactions.</w:t>
      </w:r>
    </w:p>
    <w:p>
      <w:pPr>
        <w:spacing w:after="0" w:line="160"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9360"/>
          </w:cols>
          <w:pgMar w:left="1440" w:top="1420" w:right="1440" w:bottom="186"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our cash flows for the periods indicated:</w:t>
      </w:r>
    </w:p>
    <w:p>
      <w:pPr>
        <w:spacing w:after="0" w:line="231"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w w:val="99"/>
              </w:rPr>
              <w:t>Year Ended December 31,</w:t>
            </w:r>
          </w:p>
        </w:tc>
      </w:t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69"/>
              <w:spacing w:after="0" w:line="174"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64"/>
              <w:spacing w:after="0" w:line="174"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6"/>
          </w:tcPr>
          <w:p>
            <w:pPr>
              <w:jc w:val="right"/>
              <w:ind w:right="580"/>
              <w:spacing w:after="0" w:line="174" w:lineRule="exact"/>
              <w:rPr>
                <w:sz w:val="20"/>
                <w:szCs w:val="20"/>
                <w:color w:val="auto"/>
              </w:rPr>
            </w:pPr>
            <w:r>
              <w:rPr>
                <w:rFonts w:ascii="Arial" w:cs="Arial" w:eastAsia="Arial" w:hAnsi="Arial"/>
                <w:sz w:val="16"/>
                <w:szCs w:val="16"/>
                <w:b w:val="1"/>
                <w:bCs w:val="1"/>
                <w:color w:val="auto"/>
              </w:rPr>
              <w:t>(in thousands)</w:t>
            </w:r>
          </w:p>
        </w:tc>
      </w:tr>
      <w:tr>
        <w:trPr>
          <w:trHeight w:val="230"/>
        </w:trPr>
        <w:tc>
          <w:tcPr>
            <w:tcW w:w="5000" w:type="dxa"/>
            <w:vAlign w:val="bottom"/>
            <w:shd w:val="clear" w:color="auto" w:fill="E0E0E0"/>
          </w:tcPr>
          <w:p>
            <w:pPr>
              <w:spacing w:after="0"/>
              <w:rPr>
                <w:sz w:val="20"/>
                <w:szCs w:val="20"/>
                <w:color w:val="auto"/>
              </w:rPr>
            </w:pPr>
            <w:r>
              <w:rPr>
                <w:rFonts w:ascii="Arial" w:cs="Arial" w:eastAsia="Arial" w:hAnsi="Arial"/>
                <w:sz w:val="20"/>
                <w:szCs w:val="20"/>
                <w:color w:val="auto"/>
              </w:rPr>
              <w:t>Net cash (used in) provided by:</w:t>
            </w:r>
          </w:p>
        </w:tc>
        <w:tc>
          <w:tcPr>
            <w:tcW w:w="1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30"/>
        </w:trPr>
        <w:tc>
          <w:tcPr>
            <w:tcW w:w="5000" w:type="dxa"/>
            <w:vAlign w:val="bottom"/>
          </w:tcPr>
          <w:p>
            <w:pPr>
              <w:ind w:left="280"/>
              <w:spacing w:after="0"/>
              <w:rPr>
                <w:sz w:val="20"/>
                <w:szCs w:val="20"/>
                <w:color w:val="auto"/>
              </w:rPr>
            </w:pPr>
            <w:r>
              <w:rPr>
                <w:rFonts w:ascii="Arial" w:cs="Arial" w:eastAsia="Arial" w:hAnsi="Arial"/>
                <w:sz w:val="20"/>
                <w:szCs w:val="20"/>
                <w:color w:val="auto"/>
              </w:rPr>
              <w:t>Operating activities</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(97,170)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(100,753)</w:t>
            </w:r>
          </w:p>
        </w:tc>
      </w:tr>
      <w:tr>
        <w:trPr>
          <w:trHeight w:val="230"/>
        </w:trPr>
        <w:tc>
          <w:tcPr>
            <w:tcW w:w="50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Investing activities</w:t>
            </w:r>
          </w:p>
        </w:tc>
        <w:tc>
          <w:tcPr>
            <w:tcW w:w="1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54,830</w:t>
            </w:r>
          </w:p>
        </w:tc>
        <w:tc>
          <w:tcPr>
            <w:tcW w:w="1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95,089</w:t>
            </w:r>
          </w:p>
        </w:tc>
        <w:tc>
          <w:tcPr>
            <w:tcW w:w="60" w:type="dxa"/>
            <w:vAlign w:val="bottom"/>
            <w:shd w:val="clear" w:color="auto" w:fill="E0E0E0"/>
          </w:tcPr>
          <w:p>
            <w:pPr>
              <w:spacing w:after="0"/>
              <w:rPr>
                <w:sz w:val="19"/>
                <w:szCs w:val="19"/>
                <w:color w:val="auto"/>
              </w:rPr>
            </w:pPr>
          </w:p>
        </w:tc>
      </w:tr>
      <w:tr>
        <w:trPr>
          <w:trHeight w:val="230"/>
        </w:trPr>
        <w:tc>
          <w:tcPr>
            <w:tcW w:w="500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Financing activities</w:t>
            </w:r>
          </w:p>
        </w:tc>
        <w:tc>
          <w:tcPr>
            <w:tcW w:w="12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w:t>
            </w:r>
          </w:p>
        </w:tc>
        <w:tc>
          <w:tcPr>
            <w:tcW w:w="12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493</w:t>
            </w:r>
          </w:p>
        </w:tc>
        <w:tc>
          <w:tcPr>
            <w:tcW w:w="60" w:type="dxa"/>
            <w:vAlign w:val="bottom"/>
            <w:tcBorders>
              <w:bottom w:val="single" w:sz="8" w:color="E0E0E0"/>
            </w:tcBorders>
          </w:tcPr>
          <w:p>
            <w:pPr>
              <w:spacing w:after="0"/>
              <w:rPr>
                <w:sz w:val="19"/>
                <w:szCs w:val="19"/>
                <w:color w:val="auto"/>
              </w:rPr>
            </w:pPr>
          </w:p>
        </w:tc>
      </w:tr>
      <w:tr>
        <w:trPr>
          <w:trHeight w:val="201"/>
        </w:trPr>
        <w:tc>
          <w:tcPr>
            <w:tcW w:w="5000" w:type="dxa"/>
            <w:vAlign w:val="bottom"/>
            <w:shd w:val="clear" w:color="auto" w:fill="E0E0E0"/>
          </w:tcPr>
          <w:p>
            <w:pPr>
              <w:spacing w:after="0" w:line="201" w:lineRule="exact"/>
              <w:rPr>
                <w:sz w:val="20"/>
                <w:szCs w:val="20"/>
                <w:color w:val="auto"/>
              </w:rPr>
            </w:pPr>
            <w:r>
              <w:rPr>
                <w:rFonts w:ascii="Arial" w:cs="Arial" w:eastAsia="Arial" w:hAnsi="Arial"/>
                <w:sz w:val="20"/>
                <w:szCs w:val="20"/>
                <w:color w:val="auto"/>
              </w:rPr>
              <w:t>Net decrease in cash, cash equivalents and restricted</w:t>
            </w:r>
          </w:p>
        </w:tc>
        <w:tc>
          <w:tcPr>
            <w:tcW w:w="1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9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18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r>
      <w:tr>
        <w:trPr>
          <w:trHeight w:val="249"/>
        </w:trPr>
        <w:tc>
          <w:tcPr>
            <w:tcW w:w="5000" w:type="dxa"/>
            <w:vAlign w:val="bottom"/>
            <w:shd w:val="clear" w:color="auto" w:fill="E0E0E0"/>
          </w:tcPr>
          <w:p>
            <w:pPr>
              <w:spacing w:after="0"/>
              <w:rPr>
                <w:sz w:val="20"/>
                <w:szCs w:val="20"/>
                <w:color w:val="auto"/>
              </w:rPr>
            </w:pPr>
            <w:r>
              <w:rPr>
                <w:rFonts w:ascii="Arial" w:cs="Arial" w:eastAsia="Arial" w:hAnsi="Arial"/>
                <w:sz w:val="20"/>
                <w:szCs w:val="20"/>
                <w:color w:val="auto"/>
              </w:rPr>
              <w:t>cash</w:t>
            </w:r>
          </w:p>
        </w:tc>
        <w:tc>
          <w:tcPr>
            <w:tcW w:w="120" w:type="dxa"/>
            <w:vAlign w:val="bottom"/>
            <w:shd w:val="clear" w:color="auto" w:fill="E0E0E0"/>
          </w:tcPr>
          <w:p>
            <w:pPr>
              <w:spacing w:after="0"/>
              <w:rPr>
                <w:sz w:val="21"/>
                <w:szCs w:val="21"/>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(42,146</w:t>
            </w:r>
          </w:p>
        </w:tc>
        <w:tc>
          <w:tcPr>
            <w:tcW w:w="120" w:type="dxa"/>
            <w:vAlign w:val="bottom"/>
            <w:shd w:val="clear" w:color="auto" w:fill="E0E0E0"/>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(5,171</w:t>
            </w:r>
          </w:p>
        </w:tc>
        <w:tc>
          <w:tcPr>
            <w:tcW w:w="60" w:type="dxa"/>
            <w:vAlign w:val="bottom"/>
            <w:shd w:val="clear" w:color="auto" w:fill="E0E0E0"/>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16"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During the year ended December 31, 2024, net cash used in operating activities was $97.2 million. This consisted primarily of a net loss of $96.9 million, partially offset by non-cash charges of $11.7 million and an increase in our net operating assets of $12.0 million. The non-cash charges primarily consisted of stock-based compensation expense, depreciation expense, and amortization of premiums and accretion of discounts on our available-for-sale securities. The increase in our net operating assets was primarily due to a decrease in the accrual for legal settlement expenses related to the securities class action litigation and a net decrease in accounts payable and accrued expenses, partially offset by decreases in prepaid expenses and other current and long-term assets, and the insurance recovery receivable related to the securities class action litigation.</w:t>
      </w:r>
    </w:p>
    <w:p>
      <w:pPr>
        <w:spacing w:after="0" w:line="197"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During the year ended December 31, 2023, net cash used in operating activities was $100.8 million. This consisted primarily of a net loss of $117.7 million, partially offset by non-cash charges of $10.4 million and a decrease in our net operating assets of $6.5 million. The non-cash charges primarily consisted of stock-based compensation expense, depreciation expense, and amortization of premiums and accretion of discounts on our available-for-sale securities. The decrease in our net operating assets was primarily due to a decrease in unbilled grant receivable and an increase in accounts payable and accrued expenses, partially offset by the recognition of an insurance recovery receivable related to the securities class action litigation.</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During the year ended December 31, 2024, net cash provided by investing was $54.8 million. This consisted of maturities of available-for-sale securities of $69.0 million, partially offset by purchases of available-for-sale securities of $14.1 million and property and equipment of less than $0.1 million.</w:t>
      </w:r>
    </w:p>
    <w:p>
      <w:pPr>
        <w:spacing w:after="0" w:line="18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During the year ended December 31, 2023, net cash provided by investing was $95.1 million. This consisted of maturities of available-for-sale securities of $123.1 million, partially offset by purchases of available-for-sale securities of $27.7 million and property and equipment of $0.3 million.</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During the year ended December 31, 2024, net cash provided by financing activities was $0.2 million, consisting of proceeds received from participation in the Company's employee stock purchase plan and exercises of stock options.</w:t>
      </w:r>
    </w:p>
    <w:p>
      <w:pPr>
        <w:spacing w:after="0" w:line="18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During the year ended December 31, 2023, net cash provided by financing activities was $0.5 million, consisting of proceeds received from participation in the Company's employee stock purchase plan and exercises of stock options.</w:t>
      </w:r>
    </w:p>
    <w:p>
      <w:pPr>
        <w:sectPr>
          <w:pgSz w:w="12240" w:h="15840" w:orient="portrait"/>
          <w:cols w:equalWidth="0" w:num="1">
            <w:col w:w="9360"/>
          </w:cols>
          <w:pgMar w:left="1440" w:top="1424"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9360"/>
          </w:cols>
          <w:pgMar w:left="1440" w:top="1424" w:right="1440" w:bottom="186"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Critical Accounting Policies, Significant Judgments and Use of Estimates</w:t>
      </w:r>
    </w:p>
    <w:p>
      <w:pPr>
        <w:spacing w:after="0" w:line="12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116"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Research and development costs, including costs associated with our clinical trials,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80"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We recognize stock-based compensation expense for stock options on a straight-line basis over the requisite service period and account for forfeitures as they occur. Our stock-based compensation costs for stock options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8"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Black-Scholes option pricing model utilizes inputs which are highly subjective assumptions and generally require significant judgment. These assumptions include:</w:t>
      </w:r>
    </w:p>
    <w:p>
      <w:pPr>
        <w:spacing w:after="0" w:line="53" w:lineRule="exact"/>
        <w:rPr>
          <w:sz w:val="20"/>
          <w:szCs w:val="20"/>
          <w:color w:val="auto"/>
        </w:rPr>
      </w:pPr>
    </w:p>
    <w:p>
      <w:pPr>
        <w:jc w:val="both"/>
        <w:ind w:left="980" w:hanging="490"/>
        <w:spacing w:after="0" w:line="261" w:lineRule="auto"/>
        <w:tabs>
          <w:tab w:leader="none" w:pos="980"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Fair Value of Common Stock</w:t>
      </w:r>
      <w:r>
        <w:rPr>
          <w:rFonts w:ascii="Arial" w:cs="Arial" w:eastAsia="Arial" w:hAnsi="Arial"/>
          <w:sz w:val="20"/>
          <w:szCs w:val="20"/>
          <w:color w:val="auto"/>
        </w:rPr>
        <w:t>. The fair value of each share of common stock is based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closing price of the Company’s common stock on the date of grant, or other relevant determination date, as reported on The Nasdaq Global Select Market.</w:t>
      </w:r>
    </w:p>
    <w:p>
      <w:pPr>
        <w:spacing w:after="0" w:line="73" w:lineRule="exact"/>
        <w:rPr>
          <w:rFonts w:ascii="Arial" w:cs="Arial" w:eastAsia="Arial" w:hAnsi="Arial"/>
          <w:sz w:val="20"/>
          <w:szCs w:val="20"/>
          <w:color w:val="auto"/>
        </w:rPr>
      </w:pPr>
    </w:p>
    <w:p>
      <w:pPr>
        <w:jc w:val="both"/>
        <w:ind w:left="980" w:hanging="490"/>
        <w:spacing w:after="0" w:line="261" w:lineRule="auto"/>
        <w:tabs>
          <w:tab w:leader="none" w:pos="980"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w:t>
      </w:r>
      <w:r>
        <w:rPr>
          <w:rFonts w:ascii="Arial" w:cs="Arial" w:eastAsia="Arial" w:hAnsi="Arial"/>
          <w:sz w:val="20"/>
          <w:szCs w:val="20"/>
          <w:i w:val="1"/>
          <w:iCs w:val="1"/>
          <w:color w:val="auto"/>
        </w:rPr>
        <w:t xml:space="preserve"> </w:t>
      </w:r>
      <w:r>
        <w:rPr>
          <w:rFonts w:ascii="Arial" w:cs="Arial" w:eastAsia="Arial" w:hAnsi="Arial"/>
          <w:sz w:val="20"/>
          <w:szCs w:val="20"/>
          <w:color w:val="auto"/>
        </w:rPr>
        <w:t>issues in effect at the time of grant for periods corresponding with the expected term of the option.</w:t>
      </w:r>
    </w:p>
    <w:p>
      <w:pPr>
        <w:spacing w:after="0" w:line="73" w:lineRule="exact"/>
        <w:rPr>
          <w:rFonts w:ascii="Arial" w:cs="Arial" w:eastAsia="Arial" w:hAnsi="Arial"/>
          <w:sz w:val="20"/>
          <w:szCs w:val="20"/>
          <w:color w:val="auto"/>
        </w:rPr>
      </w:pPr>
    </w:p>
    <w:p>
      <w:pPr>
        <w:jc w:val="both"/>
        <w:ind w:left="980" w:hanging="490"/>
        <w:spacing w:after="0" w:line="247" w:lineRule="auto"/>
        <w:tabs>
          <w:tab w:leader="none" w:pos="980"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 Because we were privately held prior to September 2020 and do not yet</w:t>
      </w:r>
      <w:r>
        <w:rPr>
          <w:rFonts w:ascii="Arial" w:cs="Arial" w:eastAsia="Arial" w:hAnsi="Arial"/>
          <w:sz w:val="20"/>
          <w:szCs w:val="20"/>
          <w:i w:val="1"/>
          <w:iCs w:val="1"/>
          <w:color w:val="auto"/>
        </w:rPr>
        <w:t xml:space="preserve"> </w:t>
      </w:r>
      <w:r>
        <w:rPr>
          <w:rFonts w:ascii="Arial" w:cs="Arial" w:eastAsia="Arial" w:hAnsi="Arial"/>
          <w:sz w:val="20"/>
          <w:szCs w:val="20"/>
          <w:color w:val="auto"/>
        </w:rPr>
        <w:t>have sufficient trading history for 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9360"/>
          </w:cols>
          <w:pgMar w:left="1440" w:top="1416" w:right="1440" w:bottom="186" w:gutter="0" w:footer="0" w:header="0"/>
          <w:type w:val="continuous"/>
        </w:sectPr>
      </w:pPr>
    </w:p>
    <w:bookmarkStart w:id="122" w:name="page123"/>
    <w:bookmarkEnd w:id="122"/>
    <w:p>
      <w:pPr>
        <w:jc w:val="both"/>
        <w:ind w:left="980" w:hanging="490"/>
        <w:spacing w:after="0" w:line="254" w:lineRule="auto"/>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 The expected term represents the period that the stock-based awards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to be outstanding and is determined using the simplified method (based on the mid-point between the vesting date and the end of the contractual term), as we do not have sufficient historical data to use any other method to estimate expected term.</w:t>
      </w:r>
    </w:p>
    <w:p>
      <w:pPr>
        <w:spacing w:after="0" w:line="79" w:lineRule="exact"/>
        <w:rPr>
          <w:rFonts w:ascii="Arial" w:cs="Arial" w:eastAsia="Arial" w:hAnsi="Arial"/>
          <w:sz w:val="20"/>
          <w:szCs w:val="20"/>
          <w:color w:val="auto"/>
        </w:rPr>
      </w:pPr>
    </w:p>
    <w:p>
      <w:pPr>
        <w:jc w:val="both"/>
        <w:ind w:left="980" w:hanging="490"/>
        <w:spacing w:after="0" w:line="261" w:lineRule="auto"/>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i w:val="1"/>
          <w:iCs w:val="1"/>
          <w:color w:val="auto"/>
        </w:rPr>
        <w:t>Expected Dividend Yield</w:t>
      </w:r>
      <w:r>
        <w:rPr>
          <w:rFonts w:ascii="Arial" w:cs="Arial" w:eastAsia="Arial" w:hAnsi="Arial"/>
          <w:sz w:val="20"/>
          <w:szCs w:val="20"/>
          <w:color w:val="auto"/>
        </w:rPr>
        <w:t>. We have never paid dividends on our common stock and have no</w:t>
      </w:r>
      <w:r>
        <w:rPr>
          <w:rFonts w:ascii="Arial" w:cs="Arial" w:eastAsia="Arial" w:hAnsi="Arial"/>
          <w:sz w:val="20"/>
          <w:szCs w:val="20"/>
          <w:i w:val="1"/>
          <w:iCs w:val="1"/>
          <w:color w:val="auto"/>
        </w:rPr>
        <w:t xml:space="preserve"> </w:t>
      </w:r>
      <w:r>
        <w:rPr>
          <w:rFonts w:ascii="Arial" w:cs="Arial" w:eastAsia="Arial" w:hAnsi="Arial"/>
          <w:sz w:val="20"/>
          <w:szCs w:val="20"/>
          <w:color w:val="auto"/>
        </w:rPr>
        <w:t>plans to pay dividends on our common stock. Therefore, we used an expected dividend yield of zero.</w:t>
      </w:r>
    </w:p>
    <w:p>
      <w:pPr>
        <w:spacing w:after="0" w:line="180"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See Note 9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recorded stock-based compensation expense of $11.0 million and $10.6 million for the years ended December 31, 2024 and 2023, respectively. As of December 31, 2024, there was $9.8 million of total unrecognized stock-based compensation expense related to non-vested stock options which we expect to recognize over a remaining weighted-average period of 1.99 years. We expect to continue to grant stock options and other equity-based awards in the future, and to the extent that we do, our stock-based compensation expense recognized in future periods will likely increase.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1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9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As of December 31, 2024, we had $9.5 million of federal NOL carryforwards and $16.5 million of tax credit carryforwards which expire over a period of 7 to 13 years. As of December 31, 2024, we had $196.0 million of such NOLs that do not expire. As of December 31, 2024, we also had state net operating loss carryforwards of $3.9 million, which expire over a period of 17 to 20 years.</w:t>
      </w:r>
    </w:p>
    <w:p>
      <w:pPr>
        <w:spacing w:after="0" w:line="18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9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ectPr>
          <w:pgSz w:w="12240" w:h="15840" w:orient="portrait"/>
          <w:cols w:equalWidth="0" w:num="1">
            <w:col w:w="9360"/>
          </w:cols>
          <w:pgMar w:left="1440" w:top="1434"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2240" w:h="15840" w:orient="portrait"/>
          <w:cols w:equalWidth="0" w:num="1">
            <w:col w:w="9360"/>
          </w:cols>
          <w:pgMar w:left="1440" w:top="1434" w:right="1440" w:bottom="186"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See Note 2 to our consolidated financial statements included elsewhere in this report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Growth Company Status</w:t>
      </w:r>
    </w:p>
    <w:p>
      <w:pPr>
        <w:spacing w:after="0" w:line="124"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9"/>
          <w:szCs w:val="19"/>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8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As a smaller reporting company, we are not required to provide the information requested by this item pursuant to Item 305 of Regulation S-K.</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3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 </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2240" w:h="15840" w:orient="portrait"/>
          <w:cols w:equalWidth="0" w:num="1">
            <w:col w:w="9360"/>
          </w:cols>
          <w:pgMar w:left="1440" w:top="1416" w:right="1440" w:bottom="186" w:gutter="0" w:footer="0" w:header="0"/>
          <w:type w:val="continuous"/>
        </w:sectPr>
      </w:pPr>
    </w:p>
    <w:bookmarkStart w:id="124" w:name="page125"/>
    <w:bookmarkEnd w:id="124"/>
    <w:p>
      <w:pPr>
        <w:jc w:val="center"/>
        <w:ind w:right="-499"/>
        <w:spacing w:after="0"/>
        <w:rPr>
          <w:sz w:val="20"/>
          <w:szCs w:val="20"/>
          <w:color w:val="auto"/>
        </w:rPr>
      </w:pPr>
      <w:r>
        <w:rPr>
          <w:rFonts w:ascii="Arial" w:cs="Arial" w:eastAsia="Arial" w:hAnsi="Arial"/>
          <w:sz w:val="20"/>
          <w:szCs w:val="20"/>
          <w:b w:val="1"/>
          <w:bCs w:val="1"/>
          <w:color w:val="auto"/>
        </w:rPr>
        <w:t>Athira Pharma, Inc.</w:t>
      </w:r>
    </w:p>
    <w:p>
      <w:pPr>
        <w:spacing w:after="0" w:line="120" w:lineRule="exact"/>
        <w:rPr>
          <w:sz w:val="20"/>
          <w:szCs w:val="20"/>
          <w:color w:val="auto"/>
        </w:rPr>
      </w:pPr>
    </w:p>
    <w:p>
      <w:pPr>
        <w:jc w:val="center"/>
        <w:ind w:right="-499"/>
        <w:spacing w:after="0"/>
        <w:rPr>
          <w:sz w:val="20"/>
          <w:szCs w:val="20"/>
          <w:color w:val="auto"/>
        </w:rPr>
      </w:pPr>
      <w:r>
        <w:rPr>
          <w:rFonts w:ascii="Arial" w:cs="Arial" w:eastAsia="Arial" w:hAnsi="Arial"/>
          <w:sz w:val="20"/>
          <w:szCs w:val="20"/>
          <w:b w:val="1"/>
          <w:bCs w:val="1"/>
          <w:color w:val="auto"/>
        </w:rPr>
        <w:t>Index to Financial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80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 (PCAOB ID: 42)</w:t>
            </w:r>
          </w:p>
        </w:tc>
        <w:tc>
          <w:tcPr>
            <w:tcW w:w="154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44"/>
        </w:trPr>
        <w:tc>
          <w:tcPr>
            <w:tcW w:w="7800" w:type="dxa"/>
            <w:vAlign w:val="bottom"/>
          </w:tcPr>
          <w:p>
            <w:pPr>
              <w:spacing w:after="0"/>
              <w:rPr>
                <w:sz w:val="20"/>
                <w:szCs w:val="20"/>
                <w:color w:val="auto"/>
              </w:rPr>
            </w:pPr>
            <w:r>
              <w:rPr>
                <w:rFonts w:ascii="Arial" w:cs="Arial" w:eastAsia="Arial" w:hAnsi="Arial"/>
                <w:sz w:val="20"/>
                <w:szCs w:val="20"/>
                <w:color w:val="auto"/>
              </w:rPr>
              <w:t>Consolidated Balance Sheets</w:t>
            </w:r>
          </w:p>
        </w:tc>
        <w:tc>
          <w:tcPr>
            <w:tcW w:w="154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44"/>
        </w:trPr>
        <w:tc>
          <w:tcPr>
            <w:tcW w:w="7800" w:type="dxa"/>
            <w:vAlign w:val="bottom"/>
          </w:tcPr>
          <w:p>
            <w:pPr>
              <w:spacing w:after="0"/>
              <w:rPr>
                <w:sz w:val="20"/>
                <w:szCs w:val="20"/>
                <w:color w:val="auto"/>
              </w:rPr>
            </w:pPr>
            <w:r>
              <w:rPr>
                <w:rFonts w:ascii="Arial" w:cs="Arial" w:eastAsia="Arial" w:hAnsi="Arial"/>
                <w:sz w:val="20"/>
                <w:szCs w:val="20"/>
                <w:color w:val="auto"/>
              </w:rPr>
              <w:t>Consolidated Statements of Operations and Comprehensive Loss</w:t>
            </w:r>
          </w:p>
        </w:tc>
        <w:tc>
          <w:tcPr>
            <w:tcW w:w="154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44"/>
        </w:trPr>
        <w:tc>
          <w:tcPr>
            <w:tcW w:w="7800" w:type="dxa"/>
            <w:vAlign w:val="bottom"/>
          </w:tcPr>
          <w:p>
            <w:pPr>
              <w:spacing w:after="0"/>
              <w:rPr>
                <w:sz w:val="20"/>
                <w:szCs w:val="20"/>
                <w:color w:val="auto"/>
              </w:rPr>
            </w:pPr>
            <w:r>
              <w:rPr>
                <w:rFonts w:ascii="Arial" w:cs="Arial" w:eastAsia="Arial" w:hAnsi="Arial"/>
                <w:sz w:val="20"/>
                <w:szCs w:val="20"/>
                <w:color w:val="auto"/>
              </w:rPr>
              <w:t>Consolidated Statements of Stockholders' Equity</w:t>
            </w:r>
          </w:p>
        </w:tc>
        <w:tc>
          <w:tcPr>
            <w:tcW w:w="154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44"/>
        </w:trPr>
        <w:tc>
          <w:tcPr>
            <w:tcW w:w="7800" w:type="dxa"/>
            <w:vAlign w:val="bottom"/>
          </w:tcPr>
          <w:p>
            <w:pPr>
              <w:spacing w:after="0"/>
              <w:rPr>
                <w:sz w:val="20"/>
                <w:szCs w:val="20"/>
                <w:color w:val="auto"/>
              </w:rPr>
            </w:pPr>
            <w:r>
              <w:rPr>
                <w:rFonts w:ascii="Arial" w:cs="Arial" w:eastAsia="Arial" w:hAnsi="Arial"/>
                <w:sz w:val="20"/>
                <w:szCs w:val="20"/>
                <w:color w:val="auto"/>
              </w:rPr>
              <w:t>Consolidated Statements of Cash Flows</w:t>
            </w:r>
          </w:p>
        </w:tc>
        <w:tc>
          <w:tcPr>
            <w:tcW w:w="154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26"/>
        </w:trPr>
        <w:tc>
          <w:tcPr>
            <w:tcW w:w="7800" w:type="dxa"/>
            <w:vAlign w:val="bottom"/>
          </w:tcPr>
          <w:p>
            <w:pPr>
              <w:spacing w:after="0" w:line="226" w:lineRule="exact"/>
              <w:rPr>
                <w:sz w:val="20"/>
                <w:szCs w:val="20"/>
                <w:color w:val="auto"/>
              </w:rPr>
            </w:pPr>
            <w:r>
              <w:rPr>
                <w:rFonts w:ascii="Arial" w:cs="Arial" w:eastAsia="Arial" w:hAnsi="Arial"/>
                <w:sz w:val="20"/>
                <w:szCs w:val="20"/>
                <w:color w:val="auto"/>
              </w:rPr>
              <w:t>Notes to Consolidated Financial Statements</w:t>
            </w:r>
          </w:p>
        </w:tc>
        <w:tc>
          <w:tcPr>
            <w:tcW w:w="1540" w:type="dxa"/>
            <w:vAlign w:val="bottom"/>
          </w:tcPr>
          <w:p>
            <w:pPr>
              <w:jc w:val="right"/>
              <w:spacing w:after="0" w:line="226" w:lineRule="exact"/>
              <w:rPr>
                <w:sz w:val="20"/>
                <w:szCs w:val="20"/>
                <w:color w:val="auto"/>
              </w:rPr>
            </w:pPr>
            <w:r>
              <w:rPr>
                <w:rFonts w:ascii="Arial" w:cs="Arial" w:eastAsia="Arial" w:hAnsi="Arial"/>
                <w:sz w:val="20"/>
                <w:szCs w:val="20"/>
                <w:color w:val="auto"/>
              </w:rPr>
              <w:t>125</w:t>
            </w:r>
          </w:p>
        </w:tc>
      </w:tr>
      <w:tr>
        <w:trPr>
          <w:trHeight w:val="285"/>
        </w:trPr>
        <w:tc>
          <w:tcPr>
            <w:tcW w:w="7800" w:type="dxa"/>
            <w:vAlign w:val="bottom"/>
          </w:tcPr>
          <w:p>
            <w:pPr>
              <w:spacing w:after="0"/>
              <w:rPr>
                <w:sz w:val="20"/>
                <w:szCs w:val="20"/>
                <w:color w:val="auto"/>
              </w:rPr>
            </w:pPr>
            <w:r>
              <w:rPr>
                <w:rFonts w:ascii="Arial" w:cs="Arial" w:eastAsia="Arial" w:hAnsi="Arial"/>
                <w:sz w:val="20"/>
                <w:szCs w:val="20"/>
                <w:b w:val="1"/>
                <w:bCs w:val="1"/>
                <w:color w:val="auto"/>
              </w:rPr>
              <w:t> </w:t>
            </w:r>
          </w:p>
        </w:tc>
        <w:tc>
          <w:tcPr>
            <w:tcW w:w="154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9360"/>
          </w:cols>
          <w:pgMar w:left="1440" w:top="1416" w:right="1440" w:bottom="186" w:gutter="0" w:footer="0" w:header="0"/>
          <w:type w:val="continuous"/>
        </w:sectPr>
      </w:pPr>
    </w:p>
    <w:bookmarkStart w:id="125" w:name="page126"/>
    <w:bookmarkEnd w:id="125"/>
    <w:p>
      <w:pPr>
        <w:ind w:right="1920" w:firstLine="1919"/>
        <w:spacing w:after="0" w:line="470"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Stockholders and the Board of Directors of Athira Pharma,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4"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We have audited the accompanying consolidated balance sheets of Athira Pharma, Inc.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4"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2025</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2240" w:h="15840" w:orient="portrait"/>
          <w:cols w:equalWidth="0" w:num="1">
            <w:col w:w="9360"/>
          </w:cols>
          <w:pgMar w:left="1440" w:top="1416" w:right="1440" w:bottom="186"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4"/>
        </w:trPr>
        <w:tc>
          <w:tcPr>
            <w:tcW w:w="59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2"/>
              <w:spacing w:after="0" w:line="174"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1"/>
              <w:spacing w:after="0" w:line="174"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E0E0E0"/>
            </w:tcBorders>
          </w:tcPr>
          <w:p>
            <w:pPr>
              <w:spacing w:after="0"/>
              <w:rPr>
                <w:sz w:val="15"/>
                <w:szCs w:val="15"/>
                <w:color w:val="auto"/>
              </w:rPr>
            </w:pPr>
          </w:p>
        </w:tc>
      </w:tr>
      <w:tr>
        <w:trPr>
          <w:trHeight w:val="220"/>
        </w:trPr>
        <w:tc>
          <w:tcPr>
            <w:tcW w:w="5900" w:type="dxa"/>
            <w:vAlign w:val="bottom"/>
            <w:shd w:val="clear" w:color="auto" w:fill="E0E0E0"/>
          </w:tcPr>
          <w:p>
            <w:pPr>
              <w:spacing w:after="0" w:line="220" w:lineRule="exact"/>
              <w:rPr>
                <w:sz w:val="20"/>
                <w:szCs w:val="20"/>
                <w:color w:val="auto"/>
              </w:rPr>
            </w:pPr>
            <w:r>
              <w:rPr>
                <w:rFonts w:ascii="Arial" w:cs="Arial" w:eastAsia="Arial" w:hAnsi="Arial"/>
                <w:sz w:val="20"/>
                <w:szCs w:val="20"/>
                <w:b w:val="1"/>
                <w:bCs w:val="1"/>
                <w:color w:val="auto"/>
              </w:rPr>
              <w:t>Assets</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Current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Cash and cash equivalents</w:t>
            </w:r>
          </w:p>
        </w:tc>
        <w:tc>
          <w:tcPr>
            <w:tcW w:w="32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48,438</w:t>
            </w:r>
          </w:p>
        </w:tc>
        <w:tc>
          <w:tcPr>
            <w:tcW w:w="160" w:type="dxa"/>
            <w:vAlign w:val="bottom"/>
            <w:shd w:val="clear" w:color="auto" w:fill="E0E0E0"/>
          </w:tcPr>
          <w:p>
            <w:pPr>
              <w:spacing w:after="0"/>
              <w:rPr>
                <w:sz w:val="19"/>
                <w:szCs w:val="19"/>
                <w:color w:val="auto"/>
              </w:rPr>
            </w:pPr>
          </w:p>
        </w:tc>
        <w:tc>
          <w:tcPr>
            <w:tcW w:w="680" w:type="dxa"/>
            <w:vAlign w:val="bottom"/>
            <w:gridSpan w:val="2"/>
            <w:shd w:val="clear" w:color="auto" w:fill="E0E0E0"/>
          </w:tcPr>
          <w:p>
            <w:pPr>
              <w:jc w:val="right"/>
              <w:ind w:right="3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90,584</w:t>
            </w:r>
          </w:p>
        </w:tc>
        <w:tc>
          <w:tcPr>
            <w:tcW w:w="100" w:type="dxa"/>
            <w:vAlign w:val="bottom"/>
            <w:shd w:val="clear" w:color="auto" w:fill="E0E0E0"/>
          </w:tcPr>
          <w:p>
            <w:pPr>
              <w:spacing w:after="0"/>
              <w:rPr>
                <w:sz w:val="19"/>
                <w:szCs w:val="19"/>
                <w:color w:val="auto"/>
              </w:rPr>
            </w:pPr>
          </w:p>
        </w:tc>
      </w:tr>
      <w:tr>
        <w:trPr>
          <w:trHeight w:val="230"/>
        </w:trPr>
        <w:tc>
          <w:tcPr>
            <w:tcW w:w="5900" w:type="dxa"/>
            <w:vAlign w:val="bottom"/>
          </w:tcPr>
          <w:p>
            <w:pPr>
              <w:ind w:left="280"/>
              <w:spacing w:after="0"/>
              <w:rPr>
                <w:sz w:val="20"/>
                <w:szCs w:val="20"/>
                <w:color w:val="auto"/>
              </w:rPr>
            </w:pPr>
            <w:r>
              <w:rPr>
                <w:rFonts w:ascii="Arial" w:cs="Arial" w:eastAsia="Arial" w:hAnsi="Arial"/>
                <w:sz w:val="20"/>
                <w:szCs w:val="20"/>
                <w:color w:val="auto"/>
              </w:rPr>
              <w:t>Short-term investments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56,835</w:t>
            </w:r>
          </w:p>
        </w:tc>
        <w:tc>
          <w:tcPr>
            <w:tcW w:w="100" w:type="dxa"/>
            <w:vAlign w:val="bottom"/>
          </w:tcPr>
          <w:p>
            <w:pPr>
              <w:spacing w:after="0"/>
              <w:rPr>
                <w:sz w:val="19"/>
                <w:szCs w:val="19"/>
                <w:color w:val="auto"/>
              </w:rPr>
            </w:pPr>
          </w:p>
        </w:tc>
      </w:tr>
      <w:tr>
        <w:trPr>
          <w:trHeight w:val="230"/>
        </w:trPr>
        <w:tc>
          <w:tcPr>
            <w:tcW w:w="59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Prepaid expenses and other current assets</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3,566</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5,682</w:t>
            </w:r>
          </w:p>
        </w:tc>
        <w:tc>
          <w:tcPr>
            <w:tcW w:w="100" w:type="dxa"/>
            <w:vAlign w:val="bottom"/>
            <w:shd w:val="clear" w:color="auto" w:fill="E0E0E0"/>
          </w:tcPr>
          <w:p>
            <w:pPr>
              <w:spacing w:after="0"/>
              <w:rPr>
                <w:sz w:val="19"/>
                <w:szCs w:val="19"/>
                <w:color w:val="auto"/>
              </w:rPr>
            </w:pPr>
          </w:p>
        </w:tc>
      </w:tr>
      <w:tr>
        <w:trPr>
          <w:trHeight w:val="211"/>
        </w:trPr>
        <w:tc>
          <w:tcPr>
            <w:tcW w:w="5900" w:type="dxa"/>
            <w:vAlign w:val="bottom"/>
          </w:tcPr>
          <w:p>
            <w:pPr>
              <w:ind w:left="280"/>
              <w:spacing w:after="0" w:line="210" w:lineRule="exact"/>
              <w:rPr>
                <w:sz w:val="20"/>
                <w:szCs w:val="20"/>
                <w:color w:val="auto"/>
              </w:rPr>
            </w:pPr>
            <w:r>
              <w:rPr>
                <w:rFonts w:ascii="Arial" w:cs="Arial" w:eastAsia="Arial" w:hAnsi="Arial"/>
                <w:sz w:val="20"/>
                <w:szCs w:val="20"/>
                <w:color w:val="auto"/>
              </w:rPr>
              <w:t>Insurance recovery receivable related to legal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00" w:type="dxa"/>
            <w:vAlign w:val="bottom"/>
          </w:tcPr>
          <w:p>
            <w:pPr>
              <w:ind w:left="440"/>
              <w:spacing w:after="0"/>
              <w:rPr>
                <w:sz w:val="20"/>
                <w:szCs w:val="20"/>
                <w:color w:val="auto"/>
              </w:rPr>
            </w:pPr>
            <w:r>
              <w:rPr>
                <w:rFonts w:ascii="Arial" w:cs="Arial" w:eastAsia="Arial" w:hAnsi="Arial"/>
                <w:sz w:val="20"/>
                <w:szCs w:val="20"/>
                <w:color w:val="auto"/>
              </w:rPr>
              <w:t>settlement (Note 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1,628</w:t>
            </w:r>
          </w:p>
        </w:tc>
        <w:tc>
          <w:tcPr>
            <w:tcW w:w="100" w:type="dxa"/>
            <w:vAlign w:val="bottom"/>
          </w:tcPr>
          <w:p>
            <w:pPr>
              <w:spacing w:after="0"/>
              <w:rPr>
                <w:sz w:val="21"/>
                <w:szCs w:val="21"/>
                <w:color w:val="auto"/>
              </w:rPr>
            </w:pPr>
          </w:p>
        </w:tc>
      </w:tr>
      <w:tr>
        <w:trPr>
          <w:trHeight w:val="220"/>
        </w:trPr>
        <w:tc>
          <w:tcPr>
            <w:tcW w:w="5900" w:type="dxa"/>
            <w:vAlign w:val="bottom"/>
            <w:tcBorders>
              <w:top w:val="single" w:sz="8" w:color="E0E0E0"/>
            </w:tcBorders>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current assets</w:t>
            </w:r>
          </w:p>
        </w:tc>
        <w:tc>
          <w:tcPr>
            <w:tcW w:w="20" w:type="dxa"/>
            <w:vAlign w:val="bottom"/>
            <w:tcBorders>
              <w:top w:val="single" w:sz="8" w:color="E0E0E0"/>
            </w:tcBorders>
            <w:shd w:val="clear" w:color="auto" w:fill="E0E0E0"/>
          </w:tcPr>
          <w:p>
            <w:pPr>
              <w:spacing w:after="0"/>
              <w:rPr>
                <w:sz w:val="19"/>
                <w:szCs w:val="19"/>
                <w:color w:val="auto"/>
              </w:rPr>
            </w:pPr>
          </w:p>
        </w:tc>
        <w:tc>
          <w:tcPr>
            <w:tcW w:w="300" w:type="dxa"/>
            <w:vAlign w:val="bottom"/>
            <w:tcBorders>
              <w:top w:val="single" w:sz="8" w:color="auto"/>
            </w:tcBorders>
            <w:shd w:val="clear" w:color="auto" w:fill="E0E0E0"/>
          </w:tcPr>
          <w:p>
            <w:pPr>
              <w:spacing w:after="0"/>
              <w:rPr>
                <w:sz w:val="19"/>
                <w:szCs w:val="19"/>
                <w:color w:val="auto"/>
              </w:rPr>
            </w:pPr>
          </w:p>
        </w:tc>
        <w:tc>
          <w:tcPr>
            <w:tcW w:w="110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54,841</w:t>
            </w:r>
          </w:p>
        </w:tc>
        <w:tc>
          <w:tcPr>
            <w:tcW w:w="16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600" w:type="dxa"/>
            <w:vAlign w:val="bottom"/>
            <w:tcBorders>
              <w:top w:val="single" w:sz="8" w:color="auto"/>
            </w:tcBorders>
            <w:shd w:val="clear" w:color="auto" w:fill="E0E0E0"/>
          </w:tcPr>
          <w:p>
            <w:pPr>
              <w:spacing w:after="0"/>
              <w:rPr>
                <w:sz w:val="19"/>
                <w:szCs w:val="19"/>
                <w:color w:val="auto"/>
              </w:rPr>
            </w:pPr>
          </w:p>
        </w:tc>
        <w:tc>
          <w:tcPr>
            <w:tcW w:w="110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154,729</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Restricted cash</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631</w:t>
            </w:r>
          </w:p>
        </w:tc>
        <w:tc>
          <w:tcPr>
            <w:tcW w:w="100" w:type="dxa"/>
            <w:vAlign w:val="bottom"/>
          </w:tcPr>
          <w:p>
            <w:pPr>
              <w:spacing w:after="0"/>
              <w:rPr>
                <w:sz w:val="20"/>
                <w:szCs w:val="20"/>
                <w:color w:val="auto"/>
              </w:rPr>
            </w:pPr>
          </w:p>
        </w:tc>
      </w:tr>
      <w:tr>
        <w:trPr>
          <w:trHeight w:val="230"/>
        </w:trPr>
        <w:tc>
          <w:tcPr>
            <w:tcW w:w="5900" w:type="dxa"/>
            <w:vAlign w:val="bottom"/>
            <w:shd w:val="clear" w:color="auto" w:fill="E0E0E0"/>
          </w:tcPr>
          <w:p>
            <w:pPr>
              <w:spacing w:after="0"/>
              <w:rPr>
                <w:sz w:val="20"/>
                <w:szCs w:val="20"/>
                <w:color w:val="auto"/>
              </w:rPr>
            </w:pPr>
            <w:r>
              <w:rPr>
                <w:rFonts w:ascii="Arial" w:cs="Arial" w:eastAsia="Arial" w:hAnsi="Arial"/>
                <w:sz w:val="20"/>
                <w:szCs w:val="20"/>
                <w:color w:val="auto"/>
              </w:rPr>
              <w:t>Property and equipment, net</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2,444</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3,388</w:t>
            </w:r>
          </w:p>
        </w:tc>
        <w:tc>
          <w:tcPr>
            <w:tcW w:w="100" w:type="dxa"/>
            <w:vAlign w:val="bottom"/>
            <w:shd w:val="clear" w:color="auto" w:fill="E0E0E0"/>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Operating lease right-of-use asset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1,049</w:t>
            </w:r>
          </w:p>
        </w:tc>
        <w:tc>
          <w:tcPr>
            <w:tcW w:w="100" w:type="dxa"/>
            <w:vAlign w:val="bottom"/>
          </w:tcPr>
          <w:p>
            <w:pPr>
              <w:spacing w:after="0"/>
              <w:rPr>
                <w:sz w:val="19"/>
                <w:szCs w:val="19"/>
                <w:color w:val="auto"/>
              </w:rPr>
            </w:pPr>
          </w:p>
        </w:tc>
      </w:tr>
      <w:tr>
        <w:trPr>
          <w:trHeight w:val="250"/>
        </w:trPr>
        <w:tc>
          <w:tcPr>
            <w:tcW w:w="5900" w:type="dxa"/>
            <w:vAlign w:val="bottom"/>
            <w:tcBorders>
              <w:bottom w:val="single" w:sz="8" w:color="E0E0E0"/>
            </w:tcBorders>
            <w:shd w:val="clear" w:color="auto" w:fill="E0E0E0"/>
          </w:tcPr>
          <w:p>
            <w:pPr>
              <w:spacing w:after="0"/>
              <w:rPr>
                <w:sz w:val="20"/>
                <w:szCs w:val="20"/>
                <w:color w:val="auto"/>
              </w:rPr>
            </w:pPr>
            <w:r>
              <w:rPr>
                <w:rFonts w:ascii="Arial" w:cs="Arial" w:eastAsia="Arial" w:hAnsi="Arial"/>
                <w:sz w:val="20"/>
                <w:szCs w:val="20"/>
                <w:color w:val="auto"/>
              </w:rPr>
              <w:t>Other long-term assets</w:t>
            </w:r>
          </w:p>
        </w:tc>
        <w:tc>
          <w:tcPr>
            <w:tcW w:w="20" w:type="dxa"/>
            <w:vAlign w:val="bottom"/>
            <w:tcBorders>
              <w:bottom w:val="single" w:sz="8" w:color="E0E0E0"/>
            </w:tcBorders>
            <w:shd w:val="clear" w:color="auto" w:fill="E0E0E0"/>
          </w:tcPr>
          <w:p>
            <w:pPr>
              <w:spacing w:after="0"/>
              <w:rPr>
                <w:sz w:val="21"/>
                <w:szCs w:val="21"/>
                <w:color w:val="auto"/>
              </w:rPr>
            </w:pPr>
          </w:p>
        </w:tc>
        <w:tc>
          <w:tcPr>
            <w:tcW w:w="300" w:type="dxa"/>
            <w:vAlign w:val="bottom"/>
            <w:tcBorders>
              <w:bottom w:val="single" w:sz="8" w:color="auto"/>
            </w:tcBorders>
            <w:shd w:val="clear" w:color="auto" w:fill="E0E0E0"/>
          </w:tcPr>
          <w:p>
            <w:pPr>
              <w:spacing w:after="0"/>
              <w:rPr>
                <w:sz w:val="21"/>
                <w:szCs w:val="21"/>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55</w:t>
            </w:r>
          </w:p>
        </w:tc>
        <w:tc>
          <w:tcPr>
            <w:tcW w:w="160" w:type="dxa"/>
            <w:vAlign w:val="bottom"/>
            <w:tcBorders>
              <w:bottom w:val="single" w:sz="8" w:color="E0E0E0"/>
            </w:tcBorders>
            <w:shd w:val="clear" w:color="auto" w:fill="E0E0E0"/>
          </w:tcPr>
          <w:p>
            <w:pPr>
              <w:spacing w:after="0"/>
              <w:rPr>
                <w:sz w:val="21"/>
                <w:szCs w:val="21"/>
                <w:color w:val="auto"/>
              </w:rPr>
            </w:pPr>
          </w:p>
        </w:tc>
        <w:tc>
          <w:tcPr>
            <w:tcW w:w="80" w:type="dxa"/>
            <w:vAlign w:val="bottom"/>
            <w:tcBorders>
              <w:bottom w:val="single" w:sz="8" w:color="E0E0E0"/>
            </w:tcBorders>
            <w:shd w:val="clear" w:color="auto" w:fill="E0E0E0"/>
          </w:tcPr>
          <w:p>
            <w:pPr>
              <w:spacing w:after="0"/>
              <w:rPr>
                <w:sz w:val="21"/>
                <w:szCs w:val="21"/>
                <w:color w:val="auto"/>
              </w:rPr>
            </w:pPr>
          </w:p>
        </w:tc>
        <w:tc>
          <w:tcPr>
            <w:tcW w:w="600" w:type="dxa"/>
            <w:vAlign w:val="bottom"/>
            <w:tcBorders>
              <w:bottom w:val="single" w:sz="8" w:color="auto"/>
            </w:tcBorders>
            <w:shd w:val="clear" w:color="auto" w:fill="E0E0E0"/>
          </w:tcPr>
          <w:p>
            <w:pPr>
              <w:spacing w:after="0"/>
              <w:rPr>
                <w:sz w:val="21"/>
                <w:szCs w:val="21"/>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448</w:t>
            </w:r>
          </w:p>
        </w:tc>
        <w:tc>
          <w:tcPr>
            <w:tcW w:w="100" w:type="dxa"/>
            <w:vAlign w:val="bottom"/>
            <w:tcBorders>
              <w:bottom w:val="single" w:sz="8" w:color="E0E0E0"/>
            </w:tcBorders>
            <w:shd w:val="clear" w:color="auto" w:fill="E0E0E0"/>
          </w:tcPr>
          <w:p>
            <w:pPr>
              <w:spacing w:after="0"/>
              <w:rPr>
                <w:sz w:val="21"/>
                <w:szCs w:val="21"/>
                <w:color w:val="auto"/>
              </w:rPr>
            </w:pPr>
          </w:p>
        </w:tc>
      </w:tr>
      <w:tr>
        <w:trPr>
          <w:trHeight w:val="240"/>
        </w:trPr>
        <w:tc>
          <w:tcPr>
            <w:tcW w:w="5900" w:type="dxa"/>
            <w:vAlign w:val="bottom"/>
            <w:tcBorders>
              <w:bottom w:val="single" w:sz="8" w:color="E0E0E0"/>
            </w:tcBorders>
          </w:tcPr>
          <w:p>
            <w:pPr>
              <w:ind w:left="560"/>
              <w:spacing w:after="0" w:line="200" w:lineRule="exact"/>
              <w:rPr>
                <w:sz w:val="20"/>
                <w:szCs w:val="20"/>
                <w:color w:val="auto"/>
              </w:rPr>
            </w:pPr>
            <w:r>
              <w:rPr>
                <w:rFonts w:ascii="Arial" w:cs="Arial" w:eastAsia="Arial" w:hAnsi="Arial"/>
                <w:sz w:val="20"/>
                <w:szCs w:val="20"/>
                <w:color w:val="auto"/>
              </w:rPr>
              <w:t>Total assets</w:t>
            </w:r>
          </w:p>
        </w:tc>
        <w:tc>
          <w:tcPr>
            <w:tcW w:w="20" w:type="dxa"/>
            <w:vAlign w:val="bottom"/>
            <w:tcBorders>
              <w:bottom w:val="single" w:sz="8" w:color="E0E0E0"/>
            </w:tcBorders>
          </w:tcPr>
          <w:p>
            <w:pPr>
              <w:spacing w:after="0"/>
              <w:rPr>
                <w:sz w:val="20"/>
                <w:szCs w:val="20"/>
                <w:color w:val="auto"/>
              </w:rPr>
            </w:pPr>
          </w:p>
        </w:tc>
        <w:tc>
          <w:tcPr>
            <w:tcW w:w="300" w:type="dxa"/>
            <w:vAlign w:val="bottom"/>
            <w:tcBorders>
              <w:bottom w:val="single" w:sz="8" w:color="auto"/>
            </w:tcBorders>
          </w:tcPr>
          <w:p>
            <w:pPr>
              <w:jc w:val="right"/>
              <w:ind w:right="100"/>
              <w:spacing w:after="0" w:line="200"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58,779</w:t>
            </w:r>
          </w:p>
        </w:tc>
        <w:tc>
          <w:tcPr>
            <w:tcW w:w="16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c>
          <w:tcPr>
            <w:tcW w:w="600" w:type="dxa"/>
            <w:vAlign w:val="bottom"/>
            <w:tcBorders>
              <w:bottom w:val="single" w:sz="8" w:color="auto"/>
            </w:tcBorders>
          </w:tcPr>
          <w:p>
            <w:pPr>
              <w:jc w:val="right"/>
              <w:ind w:right="380"/>
              <w:spacing w:after="0" w:line="200"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20"/>
                <w:szCs w:val="20"/>
                <w:color w:val="auto"/>
              </w:rPr>
              <w:t>160,245</w:t>
            </w:r>
          </w:p>
        </w:tc>
        <w:tc>
          <w:tcPr>
            <w:tcW w:w="100" w:type="dxa"/>
            <w:vAlign w:val="bottom"/>
            <w:tcBorders>
              <w:bottom w:val="single" w:sz="8" w:color="E0E0E0"/>
            </w:tcBorders>
          </w:tcPr>
          <w:p>
            <w:pPr>
              <w:spacing w:after="0"/>
              <w:rPr>
                <w:sz w:val="20"/>
                <w:szCs w:val="20"/>
                <w:color w:val="auto"/>
              </w:rPr>
            </w:pPr>
          </w:p>
        </w:tc>
      </w:tr>
      <w:tr>
        <w:trPr>
          <w:trHeight w:val="215"/>
        </w:trPr>
        <w:tc>
          <w:tcPr>
            <w:tcW w:w="5900" w:type="dxa"/>
            <w:vAlign w:val="bottom"/>
            <w:shd w:val="clear" w:color="auto" w:fill="E0E0E0"/>
          </w:tcPr>
          <w:p>
            <w:pPr>
              <w:spacing w:after="0" w:line="215" w:lineRule="exact"/>
              <w:rPr>
                <w:sz w:val="20"/>
                <w:szCs w:val="20"/>
                <w:color w:val="auto"/>
              </w:rPr>
            </w:pPr>
            <w:r>
              <w:rPr>
                <w:rFonts w:ascii="Arial" w:cs="Arial" w:eastAsia="Arial" w:hAnsi="Arial"/>
                <w:sz w:val="20"/>
                <w:szCs w:val="20"/>
                <w:b w:val="1"/>
                <w:bCs w:val="1"/>
                <w:color w:val="auto"/>
              </w:rPr>
              <w:t>Liabilities and stockholders' equity</w:t>
            </w:r>
          </w:p>
        </w:tc>
        <w:tc>
          <w:tcPr>
            <w:tcW w:w="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6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Current liabilities: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Accounts payable</w:t>
            </w:r>
          </w:p>
        </w:tc>
        <w:tc>
          <w:tcPr>
            <w:tcW w:w="32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319</w:t>
            </w:r>
          </w:p>
        </w:tc>
        <w:tc>
          <w:tcPr>
            <w:tcW w:w="160" w:type="dxa"/>
            <w:vAlign w:val="bottom"/>
            <w:shd w:val="clear" w:color="auto" w:fill="E0E0E0"/>
          </w:tcPr>
          <w:p>
            <w:pPr>
              <w:spacing w:after="0"/>
              <w:rPr>
                <w:sz w:val="19"/>
                <w:szCs w:val="19"/>
                <w:color w:val="auto"/>
              </w:rPr>
            </w:pPr>
          </w:p>
        </w:tc>
        <w:tc>
          <w:tcPr>
            <w:tcW w:w="680" w:type="dxa"/>
            <w:vAlign w:val="bottom"/>
            <w:gridSpan w:val="2"/>
            <w:shd w:val="clear" w:color="auto" w:fill="E0E0E0"/>
          </w:tcPr>
          <w:p>
            <w:pPr>
              <w:jc w:val="right"/>
              <w:ind w:right="3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129</w:t>
            </w:r>
          </w:p>
        </w:tc>
        <w:tc>
          <w:tcPr>
            <w:tcW w:w="100" w:type="dxa"/>
            <w:vAlign w:val="bottom"/>
            <w:shd w:val="clear" w:color="auto" w:fill="E0E0E0"/>
          </w:tcPr>
          <w:p>
            <w:pPr>
              <w:spacing w:after="0"/>
              <w:rPr>
                <w:sz w:val="19"/>
                <w:szCs w:val="19"/>
                <w:color w:val="auto"/>
              </w:rPr>
            </w:pPr>
          </w:p>
        </w:tc>
      </w:tr>
      <w:tr>
        <w:trPr>
          <w:trHeight w:val="230"/>
        </w:trPr>
        <w:tc>
          <w:tcPr>
            <w:tcW w:w="5900" w:type="dxa"/>
            <w:vAlign w:val="bottom"/>
          </w:tcPr>
          <w:p>
            <w:pPr>
              <w:ind w:left="280"/>
              <w:spacing w:after="0"/>
              <w:rPr>
                <w:sz w:val="20"/>
                <w:szCs w:val="20"/>
                <w:color w:val="auto"/>
              </w:rPr>
            </w:pPr>
            <w:r>
              <w:rPr>
                <w:rFonts w:ascii="Arial" w:cs="Arial" w:eastAsia="Arial" w:hAnsi="Arial"/>
                <w:sz w:val="20"/>
                <w:szCs w:val="20"/>
                <w:color w:val="auto"/>
              </w:rPr>
              <w:t>Accrued liabilities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12,402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18,343</w:t>
            </w:r>
          </w:p>
        </w:tc>
        <w:tc>
          <w:tcPr>
            <w:tcW w:w="100" w:type="dxa"/>
            <w:vAlign w:val="bottom"/>
          </w:tcPr>
          <w:p>
            <w:pPr>
              <w:spacing w:after="0"/>
              <w:rPr>
                <w:sz w:val="19"/>
                <w:szCs w:val="19"/>
                <w:color w:val="auto"/>
              </w:rPr>
            </w:pPr>
          </w:p>
        </w:tc>
      </w:tr>
      <w:tr>
        <w:trPr>
          <w:trHeight w:val="230"/>
        </w:trPr>
        <w:tc>
          <w:tcPr>
            <w:tcW w:w="59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Accrued legal settlement (Note 7)</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shd w:val="clear" w:color="auto" w:fill="E0E0E0"/>
          </w:tcPr>
          <w:p>
            <w:pPr>
              <w:spacing w:after="0"/>
              <w:rPr>
                <w:sz w:val="19"/>
                <w:szCs w:val="19"/>
                <w:color w:val="auto"/>
              </w:rPr>
            </w:pPr>
          </w:p>
        </w:tc>
      </w:tr>
      <w:tr>
        <w:trPr>
          <w:trHeight w:val="230"/>
        </w:trPr>
        <w:tc>
          <w:tcPr>
            <w:tcW w:w="590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Current operating lease liability</w:t>
            </w:r>
          </w:p>
        </w:tc>
        <w:tc>
          <w:tcPr>
            <w:tcW w:w="2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414</w:t>
            </w:r>
          </w:p>
        </w:tc>
        <w:tc>
          <w:tcPr>
            <w:tcW w:w="16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w:t>
            </w:r>
          </w:p>
        </w:tc>
        <w:tc>
          <w:tcPr>
            <w:tcW w:w="100" w:type="dxa"/>
            <w:vAlign w:val="bottom"/>
            <w:tcBorders>
              <w:bottom w:val="single" w:sz="8" w:color="E0E0E0"/>
            </w:tcBorders>
          </w:tcPr>
          <w:p>
            <w:pPr>
              <w:spacing w:after="0"/>
              <w:rPr>
                <w:sz w:val="19"/>
                <w:szCs w:val="19"/>
                <w:color w:val="auto"/>
              </w:rPr>
            </w:pPr>
          </w:p>
        </w:tc>
      </w:tr>
      <w:tr>
        <w:trPr>
          <w:trHeight w:val="220"/>
        </w:trPr>
        <w:tc>
          <w:tcPr>
            <w:tcW w:w="5900" w:type="dxa"/>
            <w:vAlign w:val="bottom"/>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current liabilities</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13,135</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28,840</w:t>
            </w:r>
          </w:p>
        </w:tc>
        <w:tc>
          <w:tcPr>
            <w:tcW w:w="100" w:type="dxa"/>
            <w:vAlign w:val="bottom"/>
            <w:shd w:val="clear" w:color="auto" w:fill="E0E0E0"/>
          </w:tcPr>
          <w:p>
            <w:pPr>
              <w:spacing w:after="0"/>
              <w:rPr>
                <w:sz w:val="19"/>
                <w:szCs w:val="19"/>
                <w:color w:val="auto"/>
              </w:rPr>
            </w:pPr>
          </w:p>
        </w:tc>
      </w:tr>
      <w:tr>
        <w:trPr>
          <w:trHeight w:val="230"/>
        </w:trPr>
        <w:tc>
          <w:tcPr>
            <w:tcW w:w="590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Operating lease liability, less current portion</w:t>
            </w:r>
          </w:p>
        </w:tc>
        <w:tc>
          <w:tcPr>
            <w:tcW w:w="2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803</w:t>
            </w:r>
          </w:p>
        </w:tc>
        <w:tc>
          <w:tcPr>
            <w:tcW w:w="16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1,217</w:t>
            </w:r>
          </w:p>
        </w:tc>
        <w:tc>
          <w:tcPr>
            <w:tcW w:w="100" w:type="dxa"/>
            <w:vAlign w:val="bottom"/>
            <w:tcBorders>
              <w:bottom w:val="single" w:sz="8" w:color="E0E0E0"/>
            </w:tcBorders>
          </w:tcPr>
          <w:p>
            <w:pPr>
              <w:spacing w:after="0"/>
              <w:rPr>
                <w:sz w:val="19"/>
                <w:szCs w:val="19"/>
                <w:color w:val="auto"/>
              </w:rPr>
            </w:pPr>
          </w:p>
        </w:tc>
      </w:tr>
      <w:tr>
        <w:trPr>
          <w:trHeight w:val="220"/>
        </w:trPr>
        <w:tc>
          <w:tcPr>
            <w:tcW w:w="5900" w:type="dxa"/>
            <w:vAlign w:val="bottom"/>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liabilities</w:t>
            </w:r>
          </w:p>
        </w:tc>
        <w:tc>
          <w:tcPr>
            <w:tcW w:w="2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11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13,938</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tcBorders>
              <w:bottom w:val="single" w:sz="8" w:color="auto"/>
            </w:tcBorders>
            <w:shd w:val="clear" w:color="auto" w:fill="E0E0E0"/>
          </w:tcPr>
          <w:p>
            <w:pPr>
              <w:spacing w:after="0"/>
              <w:rPr>
                <w:sz w:val="19"/>
                <w:szCs w:val="19"/>
                <w:color w:val="auto"/>
              </w:rPr>
            </w:pPr>
          </w:p>
        </w:tc>
        <w:tc>
          <w:tcPr>
            <w:tcW w:w="11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30,057</w:t>
            </w:r>
          </w:p>
        </w:tc>
        <w:tc>
          <w:tcPr>
            <w:tcW w:w="100" w:type="dxa"/>
            <w:vAlign w:val="bottom"/>
            <w:shd w:val="clear" w:color="auto" w:fill="E0E0E0"/>
          </w:tcPr>
          <w:p>
            <w:pPr>
              <w:spacing w:after="0"/>
              <w:rPr>
                <w:sz w:val="19"/>
                <w:szCs w:val="19"/>
                <w:color w:val="auto"/>
              </w:rPr>
            </w:pPr>
          </w:p>
        </w:tc>
      </w:tr>
      <w:tr>
        <w:trPr>
          <w:trHeight w:val="220"/>
        </w:trPr>
        <w:tc>
          <w:tcPr>
            <w:tcW w:w="5900" w:type="dxa"/>
            <w:vAlign w:val="bottom"/>
          </w:tcPr>
          <w:p>
            <w:pPr>
              <w:spacing w:after="0" w:line="220" w:lineRule="exact"/>
              <w:rPr>
                <w:sz w:val="20"/>
                <w:szCs w:val="20"/>
                <w:color w:val="auto"/>
              </w:rPr>
            </w:pPr>
            <w:r>
              <w:rPr>
                <w:rFonts w:ascii="Arial" w:cs="Arial" w:eastAsia="Arial" w:hAnsi="Arial"/>
                <w:sz w:val="20"/>
                <w:szCs w:val="20"/>
                <w:color w:val="auto"/>
              </w:rPr>
              <w:t>Stockholders' equity:</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900" w:type="dxa"/>
            <w:vAlign w:val="bottom"/>
            <w:shd w:val="clear" w:color="auto" w:fill="E0E0E0"/>
          </w:tcPr>
          <w:p>
            <w:pPr>
              <w:ind w:left="280"/>
              <w:spacing w:after="0" w:line="210" w:lineRule="exact"/>
              <w:rPr>
                <w:sz w:val="20"/>
                <w:szCs w:val="20"/>
                <w:color w:val="auto"/>
              </w:rPr>
            </w:pPr>
            <w:r>
              <w:rPr>
                <w:rFonts w:ascii="Arial" w:cs="Arial" w:eastAsia="Arial" w:hAnsi="Arial"/>
                <w:sz w:val="20"/>
                <w:szCs w:val="20"/>
                <w:color w:val="auto"/>
              </w:rPr>
              <w:t>Common stock, $0.0001 par value; 900,000,000 shares</w:t>
            </w:r>
          </w:p>
        </w:tc>
        <w:tc>
          <w:tcPr>
            <w:tcW w:w="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6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0"/>
        </w:trPr>
        <w:tc>
          <w:tcPr>
            <w:tcW w:w="5900" w:type="dxa"/>
            <w:vAlign w:val="bottom"/>
            <w:shd w:val="clear" w:color="auto" w:fill="E0E0E0"/>
          </w:tcPr>
          <w:p>
            <w:pPr>
              <w:ind w:left="440"/>
              <w:spacing w:after="0"/>
              <w:rPr>
                <w:sz w:val="20"/>
                <w:szCs w:val="20"/>
                <w:color w:val="auto"/>
              </w:rPr>
            </w:pPr>
            <w:r>
              <w:rPr>
                <w:rFonts w:ascii="Arial" w:cs="Arial" w:eastAsia="Arial" w:hAnsi="Arial"/>
                <w:sz w:val="20"/>
                <w:szCs w:val="20"/>
                <w:color w:val="auto"/>
              </w:rPr>
              <w:t>authorized at December 31, 2024 and December 31, 2023,</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5900" w:type="dxa"/>
            <w:vAlign w:val="bottom"/>
            <w:shd w:val="clear" w:color="auto" w:fill="E0E0E0"/>
          </w:tcPr>
          <w:p>
            <w:pPr>
              <w:ind w:left="440"/>
              <w:spacing w:after="0"/>
              <w:rPr>
                <w:sz w:val="20"/>
                <w:szCs w:val="20"/>
                <w:color w:val="auto"/>
              </w:rPr>
            </w:pPr>
            <w:r>
              <w:rPr>
                <w:rFonts w:ascii="Arial" w:cs="Arial" w:eastAsia="Arial" w:hAnsi="Arial"/>
                <w:sz w:val="20"/>
                <w:szCs w:val="20"/>
                <w:color w:val="auto"/>
              </w:rPr>
              <w:t>respectively; 39,040,945 and 38,172,603 shares issued</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5900" w:type="dxa"/>
            <w:vAlign w:val="bottom"/>
            <w:shd w:val="clear" w:color="auto" w:fill="E0E0E0"/>
          </w:tcPr>
          <w:p>
            <w:pPr>
              <w:ind w:left="440"/>
              <w:spacing w:after="0"/>
              <w:rPr>
                <w:sz w:val="20"/>
                <w:szCs w:val="20"/>
                <w:color w:val="auto"/>
              </w:rPr>
            </w:pPr>
            <w:r>
              <w:rPr>
                <w:rFonts w:ascii="Arial" w:cs="Arial" w:eastAsia="Arial" w:hAnsi="Arial"/>
                <w:sz w:val="20"/>
                <w:szCs w:val="20"/>
                <w:color w:val="auto"/>
              </w:rPr>
              <w:t>and outstanding at December 31, 2024 and December 31,</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49"/>
        </w:trPr>
        <w:tc>
          <w:tcPr>
            <w:tcW w:w="5900" w:type="dxa"/>
            <w:vAlign w:val="bottom"/>
            <w:shd w:val="clear" w:color="auto" w:fill="E0E0E0"/>
          </w:tcPr>
          <w:p>
            <w:pPr>
              <w:ind w:left="440"/>
              <w:spacing w:after="0"/>
              <w:rPr>
                <w:sz w:val="20"/>
                <w:szCs w:val="20"/>
                <w:color w:val="auto"/>
              </w:rPr>
            </w:pPr>
            <w:r>
              <w:rPr>
                <w:rFonts w:ascii="Arial" w:cs="Arial" w:eastAsia="Arial" w:hAnsi="Arial"/>
                <w:sz w:val="20"/>
                <w:szCs w:val="20"/>
                <w:color w:val="auto"/>
              </w:rPr>
              <w:t>2023, respectively</w:t>
            </w: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w:t>
            </w: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60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w:t>
            </w:r>
          </w:p>
        </w:tc>
        <w:tc>
          <w:tcPr>
            <w:tcW w:w="100" w:type="dxa"/>
            <w:vAlign w:val="bottom"/>
            <w:shd w:val="clear" w:color="auto" w:fill="E0E0E0"/>
          </w:tcPr>
          <w:p>
            <w:pPr>
              <w:spacing w:after="0"/>
              <w:rPr>
                <w:sz w:val="21"/>
                <w:szCs w:val="21"/>
                <w:color w:val="auto"/>
              </w:rPr>
            </w:pPr>
          </w:p>
        </w:tc>
      </w:tr>
      <w:tr>
        <w:trPr>
          <w:trHeight w:val="230"/>
        </w:trPr>
        <w:tc>
          <w:tcPr>
            <w:tcW w:w="5900" w:type="dxa"/>
            <w:vAlign w:val="bottom"/>
          </w:tcPr>
          <w:p>
            <w:pPr>
              <w:ind w:left="280"/>
              <w:spacing w:after="0"/>
              <w:rPr>
                <w:sz w:val="20"/>
                <w:szCs w:val="20"/>
                <w:color w:val="auto"/>
              </w:rPr>
            </w:pPr>
            <w:r>
              <w:rPr>
                <w:rFonts w:ascii="Arial" w:cs="Arial" w:eastAsia="Arial" w:hAnsi="Arial"/>
                <w:sz w:val="20"/>
                <w:szCs w:val="20"/>
                <w:color w:val="auto"/>
              </w:rPr>
              <w:t>Additional paid-in capital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450,982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439,739</w:t>
            </w:r>
          </w:p>
        </w:tc>
        <w:tc>
          <w:tcPr>
            <w:tcW w:w="100" w:type="dxa"/>
            <w:vAlign w:val="bottom"/>
          </w:tcPr>
          <w:p>
            <w:pPr>
              <w:spacing w:after="0"/>
              <w:rPr>
                <w:sz w:val="19"/>
                <w:szCs w:val="19"/>
                <w:color w:val="auto"/>
              </w:rPr>
            </w:pPr>
          </w:p>
        </w:tc>
      </w:tr>
      <w:tr>
        <w:trPr>
          <w:trHeight w:val="230"/>
        </w:trPr>
        <w:tc>
          <w:tcPr>
            <w:tcW w:w="590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Accumulated other comprehensive income (loss)</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shd w:val="clear" w:color="auto" w:fill="E0E0E0"/>
          </w:tcPr>
          <w:p>
            <w:pPr>
              <w:spacing w:after="0"/>
              <w:rPr>
                <w:sz w:val="19"/>
                <w:szCs w:val="19"/>
                <w:color w:val="auto"/>
              </w:rPr>
            </w:pPr>
          </w:p>
        </w:tc>
        <w:tc>
          <w:tcPr>
            <w:tcW w:w="12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(349)</w:t>
            </w:r>
          </w:p>
        </w:tc>
      </w:tr>
      <w:tr>
        <w:trPr>
          <w:trHeight w:val="230"/>
        </w:trPr>
        <w:tc>
          <w:tcPr>
            <w:tcW w:w="5900" w:type="dxa"/>
            <w:vAlign w:val="bottom"/>
          </w:tcPr>
          <w:p>
            <w:pPr>
              <w:ind w:left="280"/>
              <w:spacing w:after="0"/>
              <w:rPr>
                <w:sz w:val="20"/>
                <w:szCs w:val="20"/>
                <w:color w:val="auto"/>
              </w:rPr>
            </w:pPr>
            <w:r>
              <w:rPr>
                <w:rFonts w:ascii="Arial" w:cs="Arial" w:eastAsia="Arial" w:hAnsi="Arial"/>
                <w:sz w:val="20"/>
                <w:szCs w:val="20"/>
                <w:color w:val="auto"/>
              </w:rPr>
              <w:t>Accumulated deficit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20"/>
                <w:szCs w:val="20"/>
                <w:color w:val="auto"/>
              </w:rPr>
              <w:t>(406,146)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(309,206)</w:t>
            </w:r>
          </w:p>
        </w:tc>
      </w:tr>
      <w:tr>
        <w:trPr>
          <w:trHeight w:val="220"/>
        </w:trPr>
        <w:tc>
          <w:tcPr>
            <w:tcW w:w="5900" w:type="dxa"/>
            <w:vAlign w:val="bottom"/>
            <w:tcBorders>
              <w:top w:val="single" w:sz="8" w:color="E0E0E0"/>
            </w:tcBorders>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stockholders' equity</w:t>
            </w:r>
          </w:p>
        </w:tc>
        <w:tc>
          <w:tcPr>
            <w:tcW w:w="20" w:type="dxa"/>
            <w:vAlign w:val="bottom"/>
            <w:tcBorders>
              <w:top w:val="single" w:sz="8" w:color="E0E0E0"/>
            </w:tcBorders>
            <w:shd w:val="clear" w:color="auto" w:fill="E0E0E0"/>
          </w:tcPr>
          <w:p>
            <w:pPr>
              <w:spacing w:after="0"/>
              <w:rPr>
                <w:sz w:val="19"/>
                <w:szCs w:val="19"/>
                <w:color w:val="auto"/>
              </w:rPr>
            </w:pPr>
          </w:p>
        </w:tc>
        <w:tc>
          <w:tcPr>
            <w:tcW w:w="300" w:type="dxa"/>
            <w:vAlign w:val="bottom"/>
            <w:tcBorders>
              <w:top w:val="single" w:sz="8" w:color="auto"/>
              <w:bottom w:val="single" w:sz="8" w:color="auto"/>
            </w:tcBorders>
            <w:shd w:val="clear" w:color="auto" w:fill="E0E0E0"/>
          </w:tcPr>
          <w:p>
            <w:pPr>
              <w:spacing w:after="0"/>
              <w:rPr>
                <w:sz w:val="19"/>
                <w:szCs w:val="19"/>
                <w:color w:val="auto"/>
              </w:rPr>
            </w:pPr>
          </w:p>
        </w:tc>
        <w:tc>
          <w:tcPr>
            <w:tcW w:w="110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44,841</w:t>
            </w:r>
          </w:p>
        </w:tc>
        <w:tc>
          <w:tcPr>
            <w:tcW w:w="16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600" w:type="dxa"/>
            <w:vAlign w:val="bottom"/>
            <w:tcBorders>
              <w:top w:val="single" w:sz="8" w:color="auto"/>
              <w:bottom w:val="single" w:sz="8" w:color="auto"/>
            </w:tcBorders>
            <w:shd w:val="clear" w:color="auto" w:fill="E0E0E0"/>
          </w:tcPr>
          <w:p>
            <w:pPr>
              <w:spacing w:after="0"/>
              <w:rPr>
                <w:sz w:val="19"/>
                <w:szCs w:val="19"/>
                <w:color w:val="auto"/>
              </w:rPr>
            </w:pPr>
          </w:p>
        </w:tc>
        <w:tc>
          <w:tcPr>
            <w:tcW w:w="110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130,188</w:t>
            </w:r>
          </w:p>
        </w:tc>
        <w:tc>
          <w:tcPr>
            <w:tcW w:w="100" w:type="dxa"/>
            <w:vAlign w:val="bottom"/>
            <w:tcBorders>
              <w:top w:val="single" w:sz="8" w:color="E0E0E0"/>
            </w:tcBorders>
            <w:shd w:val="clear" w:color="auto" w:fill="E0E0E0"/>
          </w:tcPr>
          <w:p>
            <w:pPr>
              <w:spacing w:after="0"/>
              <w:rPr>
                <w:sz w:val="19"/>
                <w:szCs w:val="19"/>
                <w:color w:val="auto"/>
              </w:rPr>
            </w:pPr>
          </w:p>
        </w:tc>
      </w:tr>
      <w:tr>
        <w:trPr>
          <w:trHeight w:val="220"/>
        </w:trPr>
        <w:tc>
          <w:tcPr>
            <w:tcW w:w="5900" w:type="dxa"/>
            <w:vAlign w:val="bottom"/>
          </w:tcPr>
          <w:p>
            <w:pPr>
              <w:ind w:left="560"/>
              <w:spacing w:after="0" w:line="220" w:lineRule="exact"/>
              <w:rPr>
                <w:sz w:val="20"/>
                <w:szCs w:val="20"/>
                <w:color w:val="auto"/>
              </w:rPr>
            </w:pPr>
            <w:r>
              <w:rPr>
                <w:rFonts w:ascii="Arial" w:cs="Arial" w:eastAsia="Arial" w:hAnsi="Arial"/>
                <w:sz w:val="20"/>
                <w:szCs w:val="20"/>
                <w:color w:val="auto"/>
              </w:rPr>
              <w:t>Total liabilities and stockholders' equity</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line="220"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58,779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80"/>
              <w:spacing w:after="0" w:line="220"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160,245</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2240" w:h="15840" w:orient="portrait"/>
          <w:cols w:equalWidth="0" w:num="1">
            <w:col w:w="9360"/>
          </w:cols>
          <w:pgMar w:left="1440" w:top="1416" w:right="1440" w:bottom="186"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5760" w:type="dxa"/>
            <w:vAlign w:val="bottom"/>
            <w:tcBorders>
              <w:bottom w:val="single" w:sz="8" w:color="E0E0E0"/>
            </w:tcBorders>
          </w:tcPr>
          <w:p>
            <w:pPr>
              <w:spacing w:after="0"/>
              <w:rPr>
                <w:sz w:val="15"/>
                <w:szCs w:val="15"/>
                <w:color w:val="auto"/>
              </w:rPr>
            </w:pPr>
          </w:p>
        </w:tc>
        <w:tc>
          <w:tcPr>
            <w:tcW w:w="660" w:type="dxa"/>
            <w:vAlign w:val="bottom"/>
            <w:tcBorders>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83"/>
              <w:spacing w:after="0" w:line="174"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top w:val="single" w:sz="8" w:color="auto"/>
              <w:bottom w:val="single" w:sz="8" w:color="E0E0E0"/>
            </w:tcBorders>
          </w:tcPr>
          <w:p>
            <w:pPr>
              <w:spacing w:after="0"/>
              <w:rPr>
                <w:sz w:val="15"/>
                <w:szCs w:val="15"/>
                <w:color w:val="auto"/>
              </w:rPr>
            </w:pPr>
          </w:p>
        </w:tc>
        <w:tc>
          <w:tcPr>
            <w:tcW w:w="80" w:type="dxa"/>
            <w:vAlign w:val="bottom"/>
            <w:tcBorders>
              <w:top w:val="single" w:sz="8" w:color="auto"/>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81"/>
              <w:spacing w:after="0" w:line="174"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7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Operating expenses:</w:t>
            </w:r>
          </w:p>
        </w:tc>
        <w:tc>
          <w:tcPr>
            <w:tcW w:w="6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80"/>
              <w:spacing w:after="0"/>
              <w:rPr>
                <w:sz w:val="20"/>
                <w:szCs w:val="20"/>
                <w:color w:val="auto"/>
              </w:rPr>
            </w:pPr>
            <w:r>
              <w:rPr>
                <w:rFonts w:ascii="Arial" w:cs="Arial" w:eastAsia="Arial" w:hAnsi="Arial"/>
                <w:sz w:val="20"/>
                <w:szCs w:val="20"/>
                <w:color w:val="auto"/>
              </w:rPr>
              <w:t>Research and development</w:t>
            </w:r>
          </w:p>
        </w:tc>
        <w:tc>
          <w:tcPr>
            <w:tcW w:w="6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70,682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93,790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E0E0E0"/>
          </w:tcPr>
          <w:p>
            <w:pPr>
              <w:ind w:left="280"/>
              <w:spacing w:after="0"/>
              <w:rPr>
                <w:sz w:val="20"/>
                <w:szCs w:val="20"/>
                <w:color w:val="auto"/>
              </w:rPr>
            </w:pPr>
            <w:r>
              <w:rPr>
                <w:rFonts w:ascii="Arial" w:cs="Arial" w:eastAsia="Arial" w:hAnsi="Arial"/>
                <w:sz w:val="20"/>
                <w:szCs w:val="20"/>
                <w:color w:val="auto"/>
              </w:rPr>
              <w:t>General and administrative</w:t>
            </w:r>
          </w:p>
        </w:tc>
        <w:tc>
          <w:tcPr>
            <w:tcW w:w="6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26,093</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33,304</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80"/>
              <w:spacing w:after="0"/>
              <w:rPr>
                <w:sz w:val="20"/>
                <w:szCs w:val="20"/>
                <w:color w:val="auto"/>
              </w:rPr>
            </w:pPr>
            <w:r>
              <w:rPr>
                <w:rFonts w:ascii="Arial" w:cs="Arial" w:eastAsia="Arial" w:hAnsi="Arial"/>
                <w:sz w:val="20"/>
                <w:szCs w:val="20"/>
                <w:color w:val="auto"/>
              </w:rPr>
              <w:t>Legal expense</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4,127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760" w:type="dxa"/>
            <w:vAlign w:val="bottom"/>
            <w:shd w:val="clear" w:color="auto" w:fill="E0E0E0"/>
          </w:tcPr>
          <w:p>
            <w:pPr>
              <w:ind w:left="280"/>
              <w:spacing w:after="0"/>
              <w:rPr>
                <w:sz w:val="20"/>
                <w:szCs w:val="20"/>
                <w:color w:val="auto"/>
              </w:rPr>
            </w:pPr>
            <w:r>
              <w:rPr>
                <w:rFonts w:ascii="Arial" w:cs="Arial" w:eastAsia="Arial" w:hAnsi="Arial"/>
                <w:sz w:val="20"/>
                <w:szCs w:val="20"/>
                <w:color w:val="auto"/>
              </w:rPr>
              <w:t>Insurance recovery related to legal settlement</w:t>
            </w:r>
          </w:p>
        </w:tc>
        <w:tc>
          <w:tcPr>
            <w:tcW w:w="6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(1,628)</w:t>
            </w:r>
          </w:p>
        </w:tc>
        <w:tc>
          <w:tcPr>
            <w:tcW w:w="0" w:type="dxa"/>
            <w:vAlign w:val="bottom"/>
          </w:tcPr>
          <w:p>
            <w:pPr>
              <w:spacing w:after="0"/>
              <w:rPr>
                <w:sz w:val="1"/>
                <w:szCs w:val="1"/>
                <w:color w:val="auto"/>
              </w:rPr>
            </w:pPr>
          </w:p>
        </w:tc>
      </w:tr>
      <w:tr>
        <w:trPr>
          <w:trHeight w:val="220"/>
        </w:trPr>
        <w:tc>
          <w:tcPr>
            <w:tcW w:w="5760" w:type="dxa"/>
            <w:vAlign w:val="bottom"/>
            <w:tcBorders>
              <w:bottom w:val="single" w:sz="8" w:color="E0E0E0"/>
            </w:tcBorders>
          </w:tcPr>
          <w:p>
            <w:pPr>
              <w:ind w:left="560"/>
              <w:spacing w:after="0" w:line="220" w:lineRule="exact"/>
              <w:rPr>
                <w:sz w:val="20"/>
                <w:szCs w:val="20"/>
                <w:color w:val="auto"/>
              </w:rPr>
            </w:pPr>
            <w:r>
              <w:rPr>
                <w:rFonts w:ascii="Arial" w:cs="Arial" w:eastAsia="Arial" w:hAnsi="Arial"/>
                <w:sz w:val="20"/>
                <w:szCs w:val="20"/>
                <w:color w:val="auto"/>
              </w:rPr>
              <w:t>Total operating expenses</w:t>
            </w:r>
          </w:p>
        </w:tc>
        <w:tc>
          <w:tcPr>
            <w:tcW w:w="660" w:type="dxa"/>
            <w:vAlign w:val="bottom"/>
            <w:tcBorders>
              <w:bottom w:val="single" w:sz="8" w:color="E0E0E0"/>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100,902</w:t>
            </w:r>
          </w:p>
        </w:tc>
        <w:tc>
          <w:tcPr>
            <w:tcW w:w="16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125,466</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Loss from operations</w:t>
            </w:r>
          </w:p>
        </w:tc>
        <w:tc>
          <w:tcPr>
            <w:tcW w:w="6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(100,902)</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(125,466)</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20"/>
                <w:szCs w:val="20"/>
                <w:color w:val="auto"/>
              </w:rPr>
              <w:t>Grant income</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E0E0E0"/>
          </w:tcPr>
          <w:p>
            <w:pPr>
              <w:spacing w:after="0"/>
              <w:rPr>
                <w:sz w:val="20"/>
                <w:szCs w:val="20"/>
                <w:color w:val="auto"/>
              </w:rPr>
            </w:pPr>
            <w:r>
              <w:rPr>
                <w:rFonts w:ascii="Arial" w:cs="Arial" w:eastAsia="Arial" w:hAnsi="Arial"/>
                <w:sz w:val="20"/>
                <w:szCs w:val="20"/>
                <w:color w:val="auto"/>
              </w:rPr>
              <w:t>Other income, net</w:t>
            </w:r>
          </w:p>
        </w:tc>
        <w:tc>
          <w:tcPr>
            <w:tcW w:w="66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spacing w:after="0"/>
              <w:rPr>
                <w:sz w:val="19"/>
                <w:szCs w:val="19"/>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3,962</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spacing w:after="0"/>
              <w:rPr>
                <w:sz w:val="19"/>
                <w:szCs w:val="19"/>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7,637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760" w:type="dxa"/>
            <w:vAlign w:val="bottom"/>
            <w:tcBorders>
              <w:bottom w:val="single" w:sz="8" w:color="E0E0E0"/>
            </w:tcBorders>
          </w:tcPr>
          <w:p>
            <w:pPr>
              <w:spacing w:after="0" w:line="220" w:lineRule="exact"/>
              <w:rPr>
                <w:sz w:val="20"/>
                <w:szCs w:val="20"/>
                <w:color w:val="auto"/>
              </w:rPr>
            </w:pPr>
            <w:r>
              <w:rPr>
                <w:rFonts w:ascii="Arial" w:cs="Arial" w:eastAsia="Arial" w:hAnsi="Arial"/>
                <w:sz w:val="20"/>
                <w:szCs w:val="20"/>
                <w:color w:val="auto"/>
              </w:rPr>
              <w:t>Net loss</w:t>
            </w:r>
          </w:p>
        </w:tc>
        <w:tc>
          <w:tcPr>
            <w:tcW w:w="660" w:type="dxa"/>
            <w:vAlign w:val="bottom"/>
            <w:tcBorders>
              <w:bottom w:val="single" w:sz="8" w:color="E0E0E0"/>
            </w:tcBorders>
          </w:tcPr>
          <w:p>
            <w:pPr>
              <w:spacing w:after="0"/>
              <w:rPr>
                <w:sz w:val="22"/>
                <w:szCs w:val="22"/>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(96,940)</w:t>
            </w:r>
          </w:p>
        </w:tc>
        <w:tc>
          <w:tcPr>
            <w:tcW w:w="160" w:type="dxa"/>
            <w:vAlign w:val="bottom"/>
            <w:tcBorders>
              <w:bottom w:val="single" w:sz="8" w:color="E0E0E0"/>
            </w:tcBorders>
          </w:tcPr>
          <w:p>
            <w:pPr>
              <w:spacing w:after="0"/>
              <w:rPr>
                <w:sz w:val="22"/>
                <w:szCs w:val="22"/>
                <w:color w:val="auto"/>
              </w:rPr>
            </w:pPr>
          </w:p>
        </w:tc>
        <w:tc>
          <w:tcPr>
            <w:tcW w:w="80" w:type="dxa"/>
            <w:vAlign w:val="bottom"/>
            <w:tcBorders>
              <w:bottom w:val="single" w:sz="8" w:color="E0E0E0"/>
            </w:tcBorders>
          </w:tcPr>
          <w:p>
            <w:pPr>
              <w:spacing w:after="0"/>
              <w:rPr>
                <w:sz w:val="22"/>
                <w:szCs w:val="22"/>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(117,672)</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60" w:type="dxa"/>
            <w:vAlign w:val="bottom"/>
            <w:shd w:val="clear" w:color="auto" w:fill="E0E0E0"/>
          </w:tcPr>
          <w:p>
            <w:pPr>
              <w:spacing w:after="0" w:line="215" w:lineRule="exact"/>
              <w:rPr>
                <w:sz w:val="20"/>
                <w:szCs w:val="20"/>
                <w:color w:val="auto"/>
              </w:rPr>
            </w:pPr>
            <w:r>
              <w:rPr>
                <w:rFonts w:ascii="Arial" w:cs="Arial" w:eastAsia="Arial" w:hAnsi="Arial"/>
                <w:sz w:val="20"/>
                <w:szCs w:val="20"/>
                <w:color w:val="auto"/>
              </w:rPr>
              <w:t>Unrealized gain on available-for-sale securities</w:t>
            </w:r>
          </w:p>
        </w:tc>
        <w:tc>
          <w:tcPr>
            <w:tcW w:w="660" w:type="dxa"/>
            <w:vAlign w:val="bottom"/>
            <w:shd w:val="clear" w:color="auto" w:fill="E0E0E0"/>
          </w:tcPr>
          <w:p>
            <w:pPr>
              <w:spacing w:after="0"/>
              <w:rPr>
                <w:sz w:val="18"/>
                <w:szCs w:val="18"/>
                <w:color w:val="auto"/>
              </w:rPr>
            </w:pPr>
          </w:p>
        </w:tc>
        <w:tc>
          <w:tcPr>
            <w:tcW w:w="200" w:type="dxa"/>
            <w:vAlign w:val="bottom"/>
            <w:tcBorders>
              <w:bottom w:val="single" w:sz="8" w:color="auto"/>
            </w:tcBorders>
            <w:shd w:val="clear" w:color="auto" w:fill="E0E0E0"/>
          </w:tcPr>
          <w:p>
            <w:pPr>
              <w:spacing w:after="0"/>
              <w:rPr>
                <w:sz w:val="18"/>
                <w:szCs w:val="18"/>
                <w:color w:val="auto"/>
              </w:rPr>
            </w:pPr>
          </w:p>
        </w:tc>
        <w:tc>
          <w:tcPr>
            <w:tcW w:w="1100" w:type="dxa"/>
            <w:vAlign w:val="bottom"/>
            <w:tcBorders>
              <w:bottom w:val="single" w:sz="8" w:color="auto"/>
            </w:tcBorders>
            <w:shd w:val="clear" w:color="auto" w:fill="E0E0E0"/>
          </w:tcPr>
          <w:p>
            <w:pPr>
              <w:jc w:val="right"/>
              <w:spacing w:after="0" w:line="215" w:lineRule="exact"/>
              <w:rPr>
                <w:sz w:val="20"/>
                <w:szCs w:val="20"/>
                <w:color w:val="auto"/>
              </w:rPr>
            </w:pPr>
            <w:r>
              <w:rPr>
                <w:rFonts w:ascii="Arial" w:cs="Arial" w:eastAsia="Arial" w:hAnsi="Arial"/>
                <w:sz w:val="20"/>
                <w:szCs w:val="20"/>
                <w:color w:val="auto"/>
              </w:rPr>
              <w:t>350</w:t>
            </w:r>
          </w:p>
        </w:tc>
        <w:tc>
          <w:tcPr>
            <w:tcW w:w="1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200" w:type="dxa"/>
            <w:vAlign w:val="bottom"/>
            <w:tcBorders>
              <w:bottom w:val="single" w:sz="8" w:color="auto"/>
            </w:tcBorders>
            <w:shd w:val="clear" w:color="auto" w:fill="E0E0E0"/>
          </w:tcPr>
          <w:p>
            <w:pPr>
              <w:spacing w:after="0"/>
              <w:rPr>
                <w:sz w:val="18"/>
                <w:szCs w:val="18"/>
                <w:color w:val="auto"/>
              </w:rPr>
            </w:pPr>
          </w:p>
        </w:tc>
        <w:tc>
          <w:tcPr>
            <w:tcW w:w="1100" w:type="dxa"/>
            <w:vAlign w:val="bottom"/>
            <w:tcBorders>
              <w:bottom w:val="single" w:sz="8" w:color="auto"/>
            </w:tcBorders>
            <w:shd w:val="clear" w:color="auto" w:fill="E0E0E0"/>
          </w:tcPr>
          <w:p>
            <w:pPr>
              <w:jc w:val="right"/>
              <w:spacing w:after="0" w:line="215" w:lineRule="exact"/>
              <w:rPr>
                <w:sz w:val="20"/>
                <w:szCs w:val="20"/>
                <w:color w:val="auto"/>
              </w:rPr>
            </w:pPr>
            <w:r>
              <w:rPr>
                <w:rFonts w:ascii="Arial" w:cs="Arial" w:eastAsia="Arial" w:hAnsi="Arial"/>
                <w:sz w:val="20"/>
                <w:szCs w:val="20"/>
                <w:color w:val="auto"/>
              </w:rPr>
              <w:t>1,607</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760" w:type="dxa"/>
            <w:vAlign w:val="bottom"/>
            <w:tcBorders>
              <w:bottom w:val="single" w:sz="8" w:color="E0E0E0"/>
            </w:tcBorders>
          </w:tcPr>
          <w:p>
            <w:pPr>
              <w:spacing w:after="0" w:line="220" w:lineRule="exact"/>
              <w:rPr>
                <w:sz w:val="20"/>
                <w:szCs w:val="20"/>
                <w:color w:val="auto"/>
              </w:rPr>
            </w:pPr>
            <w:r>
              <w:rPr>
                <w:rFonts w:ascii="Arial" w:cs="Arial" w:eastAsia="Arial" w:hAnsi="Arial"/>
                <w:sz w:val="20"/>
                <w:szCs w:val="20"/>
                <w:color w:val="auto"/>
              </w:rPr>
              <w:t>Comprehensive loss attributable to common stockholders</w:t>
            </w:r>
          </w:p>
        </w:tc>
        <w:tc>
          <w:tcPr>
            <w:tcW w:w="660" w:type="dxa"/>
            <w:vAlign w:val="bottom"/>
            <w:tcBorders>
              <w:bottom w:val="single" w:sz="8" w:color="E0E0E0"/>
            </w:tcBorders>
          </w:tcPr>
          <w:p>
            <w:pPr>
              <w:spacing w:after="0"/>
              <w:rPr>
                <w:sz w:val="22"/>
                <w:szCs w:val="22"/>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(96,590)</w:t>
            </w:r>
          </w:p>
        </w:tc>
        <w:tc>
          <w:tcPr>
            <w:tcW w:w="160" w:type="dxa"/>
            <w:vAlign w:val="bottom"/>
            <w:tcBorders>
              <w:bottom w:val="single" w:sz="8" w:color="E0E0E0"/>
            </w:tcBorders>
          </w:tcPr>
          <w:p>
            <w:pPr>
              <w:spacing w:after="0"/>
              <w:rPr>
                <w:sz w:val="22"/>
                <w:szCs w:val="22"/>
                <w:color w:val="auto"/>
              </w:rPr>
            </w:pPr>
          </w:p>
        </w:tc>
        <w:tc>
          <w:tcPr>
            <w:tcW w:w="80" w:type="dxa"/>
            <w:vAlign w:val="bottom"/>
            <w:tcBorders>
              <w:bottom w:val="single" w:sz="8" w:color="E0E0E0"/>
            </w:tcBorders>
          </w:tcPr>
          <w:p>
            <w:pPr>
              <w:spacing w:after="0"/>
              <w:rPr>
                <w:sz w:val="22"/>
                <w:szCs w:val="22"/>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(116,065)</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E0E0E0"/>
          </w:tcPr>
          <w:p>
            <w:pPr>
              <w:spacing w:after="0" w:line="196" w:lineRule="exact"/>
              <w:rPr>
                <w:sz w:val="20"/>
                <w:szCs w:val="20"/>
                <w:color w:val="auto"/>
              </w:rPr>
            </w:pPr>
            <w:r>
              <w:rPr>
                <w:rFonts w:ascii="Arial" w:cs="Arial" w:eastAsia="Arial" w:hAnsi="Arial"/>
                <w:sz w:val="20"/>
                <w:szCs w:val="20"/>
                <w:color w:val="auto"/>
              </w:rPr>
              <w:t>Net loss per share attributable to common</w:t>
            </w:r>
          </w:p>
        </w:tc>
        <w:tc>
          <w:tcPr>
            <w:tcW w:w="660" w:type="dxa"/>
            <w:vAlign w:val="bottom"/>
            <w:shd w:val="clear" w:color="auto" w:fill="E0E0E0"/>
          </w:tcPr>
          <w:p>
            <w:pPr>
              <w:spacing w:after="0"/>
              <w:rPr>
                <w:sz w:val="17"/>
                <w:szCs w:val="17"/>
                <w:color w:val="auto"/>
              </w:rPr>
            </w:pPr>
          </w:p>
        </w:tc>
        <w:tc>
          <w:tcPr>
            <w:tcW w:w="200" w:type="dxa"/>
            <w:vAlign w:val="bottom"/>
            <w:shd w:val="clear" w:color="auto" w:fill="E0E0E0"/>
          </w:tcPr>
          <w:p>
            <w:pPr>
              <w:spacing w:after="0"/>
              <w:rPr>
                <w:sz w:val="17"/>
                <w:szCs w:val="17"/>
                <w:color w:val="auto"/>
              </w:rPr>
            </w:pPr>
          </w:p>
        </w:tc>
        <w:tc>
          <w:tcPr>
            <w:tcW w:w="110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0" w:type="dxa"/>
            <w:vAlign w:val="bottom"/>
            <w:shd w:val="clear" w:color="auto" w:fill="E0E0E0"/>
          </w:tcPr>
          <w:p>
            <w:pPr>
              <w:spacing w:after="0"/>
              <w:rPr>
                <w:sz w:val="17"/>
                <w:szCs w:val="17"/>
                <w:color w:val="auto"/>
              </w:rPr>
            </w:pPr>
          </w:p>
        </w:tc>
        <w:tc>
          <w:tcPr>
            <w:tcW w:w="11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E0E0E0"/>
          </w:tcPr>
          <w:p>
            <w:pPr>
              <w:ind w:left="160"/>
              <w:spacing w:after="0"/>
              <w:rPr>
                <w:sz w:val="20"/>
                <w:szCs w:val="20"/>
                <w:color w:val="auto"/>
              </w:rPr>
            </w:pPr>
            <w:r>
              <w:rPr>
                <w:rFonts w:ascii="Arial" w:cs="Arial" w:eastAsia="Arial" w:hAnsi="Arial"/>
                <w:sz w:val="20"/>
                <w:szCs w:val="20"/>
                <w:color w:val="auto"/>
              </w:rPr>
              <w:t>stockholders, basic and diluted</w:t>
            </w:r>
          </w:p>
        </w:tc>
        <w:tc>
          <w:tcPr>
            <w:tcW w:w="660" w:type="dxa"/>
            <w:vAlign w:val="bottom"/>
            <w:shd w:val="clear" w:color="auto" w:fill="E0E0E0"/>
          </w:tcPr>
          <w:p>
            <w:pPr>
              <w:spacing w:after="0"/>
              <w:rPr>
                <w:sz w:val="21"/>
                <w:szCs w:val="21"/>
                <w:color w:val="auto"/>
              </w:rPr>
            </w:pPr>
          </w:p>
        </w:tc>
        <w:tc>
          <w:tcPr>
            <w:tcW w:w="2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(2.52)</w:t>
            </w: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(3.09)</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20"/>
                <w:szCs w:val="20"/>
                <w:color w:val="auto"/>
              </w:rPr>
              <w:t>Weighted-average shares used in computing</w:t>
            </w: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160"/>
              <w:spacing w:after="0"/>
              <w:rPr>
                <w:sz w:val="20"/>
                <w:szCs w:val="20"/>
                <w:color w:val="auto"/>
              </w:rPr>
            </w:pPr>
            <w:r>
              <w:rPr>
                <w:rFonts w:ascii="Arial" w:cs="Arial" w:eastAsia="Arial" w:hAnsi="Arial"/>
                <w:sz w:val="20"/>
                <w:szCs w:val="20"/>
                <w:color w:val="auto"/>
              </w:rPr>
              <w:t>net loss per share attributable to common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60" w:type="dxa"/>
            <w:vAlign w:val="bottom"/>
          </w:tcPr>
          <w:p>
            <w:pPr>
              <w:ind w:left="160"/>
              <w:spacing w:after="0"/>
              <w:rPr>
                <w:sz w:val="20"/>
                <w:szCs w:val="20"/>
                <w:color w:val="auto"/>
              </w:rPr>
            </w:pPr>
            <w:r>
              <w:rPr>
                <w:rFonts w:ascii="Arial" w:cs="Arial" w:eastAsia="Arial" w:hAnsi="Arial"/>
                <w:sz w:val="20"/>
                <w:szCs w:val="20"/>
                <w:color w:val="auto"/>
              </w:rPr>
              <w:t>stockholders, basic and diluted</w:t>
            </w:r>
          </w:p>
        </w:tc>
        <w:tc>
          <w:tcPr>
            <w:tcW w:w="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38,480,875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38,020,182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2240" w:h="15840" w:orient="portrait"/>
          <w:cols w:equalWidth="0" w:num="1">
            <w:col w:w="9360"/>
          </w:cols>
          <w:pgMar w:left="1440" w:top="1416" w:right="1440" w:bottom="186"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42" w:type="dxa"/>
            <w:vAlign w:val="bottom"/>
            <w:textDirection w:val="tbRl"/>
          </w:tcPr>
          <w:p>
            <w:pPr>
              <w:spacing w:after="0"/>
              <w:rPr>
                <w:sz w:val="20"/>
                <w:szCs w:val="20"/>
                <w:color w:val="auto"/>
              </w:rPr>
            </w:pPr>
            <w:r>
              <w:rPr>
                <w:rFonts w:ascii="Arial" w:cs="Arial" w:eastAsia="Arial" w:hAnsi="Arial"/>
                <w:sz w:val="20"/>
                <w:szCs w:val="20"/>
                <w:color w:val="auto"/>
              </w:rPr>
              <w:t>12</w:t>
            </w: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9"/>
              </w:rPr>
              <w:t>Accumulated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vMerge w:val="restart"/>
          </w:tcPr>
          <w:p>
            <w:pPr>
              <w:jc w:val="right"/>
              <w:ind w:right="444"/>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Arial" w:cs="Arial" w:eastAsia="Arial" w:hAnsi="Arial"/>
                <w:sz w:val="16"/>
                <w:szCs w:val="16"/>
                <w:b w:val="1"/>
                <w:bCs w:val="1"/>
                <w:color w:val="auto"/>
              </w:rPr>
              <w:t>Additional</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Other</w:t>
            </w:r>
          </w:p>
        </w:tc>
        <w:tc>
          <w:tcPr>
            <w:tcW w:w="1460" w:type="dxa"/>
            <w:vAlign w:val="bottom"/>
            <w:gridSpan w:val="4"/>
            <w:vMerge w:val="restart"/>
          </w:tcPr>
          <w:p>
            <w:pPr>
              <w:jc w:val="center"/>
              <w:ind w:right="340"/>
              <w:spacing w:after="0"/>
              <w:rPr>
                <w:sz w:val="20"/>
                <w:szCs w:val="20"/>
                <w:color w:val="auto"/>
              </w:rPr>
            </w:pPr>
            <w:r>
              <w:rPr>
                <w:rFonts w:ascii="Arial" w:cs="Arial" w:eastAsia="Arial" w:hAnsi="Arial"/>
                <w:sz w:val="16"/>
                <w:szCs w:val="16"/>
                <w:b w:val="1"/>
                <w:bCs w:val="1"/>
                <w:color w:val="auto"/>
                <w:w w:val="99"/>
              </w:rPr>
              <w:t>Accumulated</w:t>
            </w:r>
          </w:p>
        </w:tc>
        <w:tc>
          <w:tcPr>
            <w:tcW w:w="200" w:type="dxa"/>
            <w:vAlign w:val="bottom"/>
          </w:tcPr>
          <w:p>
            <w:pPr>
              <w:spacing w:after="0"/>
              <w:rPr>
                <w:sz w:val="17"/>
                <w:szCs w:val="17"/>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Borders>
              <w:bottom w:val="single" w:sz="8" w:color="auto"/>
            </w:tcBorders>
            <w:gridSpan w:val="4"/>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6"/>
                <w:szCs w:val="16"/>
                <w:b w:val="1"/>
                <w:bCs w:val="1"/>
                <w:color w:val="auto"/>
              </w:rPr>
              <w:t>Paid-In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9"/>
              </w:rPr>
              <w:t>Comprehensive</w:t>
            </w:r>
          </w:p>
        </w:tc>
        <w:tc>
          <w:tcPr>
            <w:tcW w:w="1460" w:type="dxa"/>
            <w:vAlign w:val="bottom"/>
            <w:gridSpan w:val="4"/>
            <w:vMerge w:val="continue"/>
          </w:tcPr>
          <w:p>
            <w:pPr>
              <w:spacing w:after="0"/>
              <w:rPr>
                <w:sz w:val="18"/>
                <w:szCs w:val="18"/>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232"/>
              <w:spacing w:after="0"/>
              <w:rPr>
                <w:sz w:val="20"/>
                <w:szCs w:val="20"/>
                <w:color w:val="auto"/>
              </w:rPr>
            </w:pPr>
            <w:r>
              <w:rPr>
                <w:rFonts w:ascii="Arial" w:cs="Arial" w:eastAsia="Arial" w:hAnsi="Arial"/>
                <w:sz w:val="16"/>
                <w:szCs w:val="16"/>
                <w:b w:val="1"/>
                <w:bCs w:val="1"/>
                <w:color w:val="auto"/>
              </w:rPr>
              <w:t>Capital</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9"/>
              </w:rPr>
              <w:t>Income (Loss)</w:t>
            </w:r>
          </w:p>
        </w:tc>
        <w:tc>
          <w:tcPr>
            <w:tcW w:w="200" w:type="dxa"/>
            <w:vAlign w:val="bottom"/>
          </w:tcPr>
          <w:p>
            <w:pPr>
              <w:spacing w:after="0"/>
              <w:rPr>
                <w:sz w:val="16"/>
                <w:szCs w:val="16"/>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4140" w:type="dxa"/>
            <w:vAlign w:val="bottom"/>
            <w:tcBorders>
              <w:top w:val="single" w:sz="8" w:color="E0E0E0"/>
            </w:tcBorders>
            <w:gridSpan w:val="2"/>
            <w:shd w:val="clear" w:color="auto" w:fill="E0E0E0"/>
          </w:tcPr>
          <w:p>
            <w:pPr>
              <w:spacing w:after="0"/>
              <w:rPr>
                <w:sz w:val="20"/>
                <w:szCs w:val="20"/>
                <w:color w:val="auto"/>
              </w:rPr>
            </w:pPr>
            <w:r>
              <w:rPr>
                <w:rFonts w:ascii="Arial" w:cs="Arial" w:eastAsia="Arial" w:hAnsi="Arial"/>
                <w:sz w:val="18"/>
                <w:szCs w:val="18"/>
                <w:b w:val="1"/>
                <w:bCs w:val="1"/>
                <w:color w:val="auto"/>
              </w:rPr>
              <w:t>Balance as of January 1, 2023</w:t>
            </w:r>
          </w:p>
        </w:tc>
        <w:tc>
          <w:tcPr>
            <w:tcW w:w="124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37,877,387</w:t>
            </w:r>
          </w:p>
        </w:tc>
        <w:tc>
          <w:tcPr>
            <w:tcW w:w="2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920" w:type="dxa"/>
            <w:vAlign w:val="bottom"/>
            <w:tcBorders>
              <w:top w:val="single" w:sz="8" w:color="auto"/>
            </w:tcBorders>
            <w:shd w:val="clear" w:color="auto" w:fill="E0E0E0"/>
          </w:tcPr>
          <w:p>
            <w:pPr>
              <w:jc w:val="right"/>
              <w:ind w:right="76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428,623</w:t>
            </w:r>
          </w:p>
        </w:tc>
        <w:tc>
          <w:tcPr>
            <w:tcW w:w="2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(1,956</w:t>
            </w:r>
          </w:p>
        </w:tc>
        <w:tc>
          <w:tcPr>
            <w:tcW w:w="260" w:type="dxa"/>
            <w:vAlign w:val="bottom"/>
            <w:tcBorders>
              <w:top w:val="single" w:sz="8" w:color="E0E0E0"/>
            </w:tcBorders>
            <w:shd w:val="clear" w:color="auto" w:fill="E0E0E0"/>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E0E0E0"/>
            </w:tcBorders>
            <w:shd w:val="clear" w:color="auto" w:fill="E0E0E0"/>
          </w:tcPr>
          <w:p>
            <w:pPr>
              <w:spacing w:after="0"/>
              <w:rPr>
                <w:sz w:val="18"/>
                <w:szCs w:val="18"/>
                <w:color w:val="auto"/>
              </w:rPr>
            </w:pPr>
          </w:p>
        </w:tc>
        <w:tc>
          <w:tcPr>
            <w:tcW w:w="200" w:type="dxa"/>
            <w:vAlign w:val="bottom"/>
            <w:tcBorders>
              <w:top w:val="single" w:sz="8" w:color="auto"/>
            </w:tcBorders>
            <w:shd w:val="clear" w:color="auto" w:fill="E0E0E0"/>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(191,534</w:t>
            </w:r>
          </w:p>
        </w:tc>
        <w:tc>
          <w:tcPr>
            <w:tcW w:w="260" w:type="dxa"/>
            <w:vAlign w:val="bottom"/>
            <w:tcBorders>
              <w:top w:val="single" w:sz="8" w:color="E0E0E0"/>
            </w:tcBorders>
            <w:shd w:val="clear" w:color="auto" w:fill="E0E0E0"/>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E0E0E0"/>
            </w:tcBorders>
            <w:shd w:val="clear" w:color="auto" w:fill="E0E0E0"/>
          </w:tcPr>
          <w:p>
            <w:pPr>
              <w:spacing w:after="0"/>
              <w:rPr>
                <w:sz w:val="18"/>
                <w:szCs w:val="18"/>
                <w:color w:val="auto"/>
              </w:rPr>
            </w:pPr>
          </w:p>
        </w:tc>
        <w:tc>
          <w:tcPr>
            <w:tcW w:w="200" w:type="dxa"/>
            <w:vAlign w:val="bottom"/>
            <w:tcBorders>
              <w:top w:val="single" w:sz="8" w:color="auto"/>
            </w:tcBorders>
            <w:shd w:val="clear" w:color="auto" w:fill="E0E0E0"/>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235,137</w:t>
            </w:r>
          </w:p>
        </w:tc>
        <w:tc>
          <w:tcPr>
            <w:tcW w:w="20" w:type="dxa"/>
            <w:vAlign w:val="bottom"/>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4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Issuance of common stock upon exercise of</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common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128,534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40" w:type="dxa"/>
            <w:vAlign w:val="bottom"/>
            <w:gridSpan w:val="2"/>
            <w:shd w:val="clear" w:color="auto" w:fill="E0E0E0"/>
          </w:tcPr>
          <w:p>
            <w:pPr>
              <w:ind w:left="200"/>
              <w:spacing w:after="0" w:line="183" w:lineRule="exact"/>
              <w:rPr>
                <w:sz w:val="20"/>
                <w:szCs w:val="20"/>
                <w:color w:val="auto"/>
              </w:rPr>
            </w:pPr>
            <w:r>
              <w:rPr>
                <w:rFonts w:ascii="Arial" w:cs="Arial" w:eastAsia="Arial" w:hAnsi="Arial"/>
                <w:sz w:val="18"/>
                <w:szCs w:val="18"/>
                <w:color w:val="auto"/>
              </w:rPr>
              <w:t>Issuance of common stock under</w:t>
            </w:r>
          </w:p>
        </w:tc>
        <w:tc>
          <w:tcPr>
            <w:tcW w:w="1240" w:type="dxa"/>
            <w:vAlign w:val="bottom"/>
            <w:vMerge w:val="restart"/>
            <w:shd w:val="clear" w:color="auto" w:fill="E0E0E0"/>
          </w:tcPr>
          <w:p>
            <w:pPr>
              <w:jc w:val="right"/>
              <w:spacing w:after="0"/>
              <w:rPr>
                <w:sz w:val="20"/>
                <w:szCs w:val="20"/>
                <w:color w:val="auto"/>
              </w:rPr>
            </w:pPr>
            <w:r>
              <w:rPr>
                <w:rFonts w:ascii="Arial" w:cs="Arial" w:eastAsia="Arial" w:hAnsi="Arial"/>
                <w:sz w:val="18"/>
                <w:szCs w:val="18"/>
                <w:color w:val="auto"/>
              </w:rPr>
              <w:t>166,682</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20" w:type="dxa"/>
            <w:vAlign w:val="bottom"/>
            <w:shd w:val="clear" w:color="auto" w:fill="E0E0E0"/>
          </w:tcPr>
          <w:p>
            <w:pPr>
              <w:spacing w:after="0"/>
              <w:rPr>
                <w:sz w:val="15"/>
                <w:szCs w:val="15"/>
                <w:color w:val="auto"/>
              </w:rPr>
            </w:pPr>
          </w:p>
        </w:tc>
        <w:tc>
          <w:tcPr>
            <w:tcW w:w="260" w:type="dxa"/>
            <w:vAlign w:val="bottom"/>
            <w:vMerge w:val="restart"/>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40" w:type="dxa"/>
            <w:vAlign w:val="bottom"/>
            <w:vMerge w:val="restart"/>
            <w:shd w:val="clear" w:color="auto" w:fill="E0E0E0"/>
          </w:tcPr>
          <w:p>
            <w:pPr>
              <w:jc w:val="right"/>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40" w:type="dxa"/>
            <w:vAlign w:val="bottom"/>
            <w:vMerge w:val="restart"/>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60" w:type="dxa"/>
            <w:vAlign w:val="bottom"/>
            <w:gridSpan w:val="3"/>
            <w:vMerge w:val="restart"/>
            <w:shd w:val="clear" w:color="auto" w:fill="E0E0E0"/>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0E0"/>
          </w:tcPr>
          <w:p>
            <w:pPr>
              <w:spacing w:after="0"/>
              <w:rPr>
                <w:sz w:val="15"/>
                <w:szCs w:val="15"/>
                <w:color w:val="auto"/>
              </w:rPr>
            </w:pPr>
          </w:p>
        </w:tc>
        <w:tc>
          <w:tcPr>
            <w:tcW w:w="960" w:type="dxa"/>
            <w:vAlign w:val="bottom"/>
            <w:vMerge w:val="restart"/>
            <w:shd w:val="clear" w:color="auto" w:fill="E0E0E0"/>
          </w:tcPr>
          <w:p>
            <w:pPr>
              <w:jc w:val="right"/>
              <w:spacing w:after="0"/>
              <w:rPr>
                <w:sz w:val="20"/>
                <w:szCs w:val="20"/>
                <w:color w:val="auto"/>
              </w:rPr>
            </w:pPr>
            <w:r>
              <w:rPr>
                <w:rFonts w:ascii="Arial" w:cs="Arial" w:eastAsia="Arial" w:hAnsi="Arial"/>
                <w:sz w:val="18"/>
                <w:szCs w:val="18"/>
                <w:color w:val="auto"/>
              </w:rPr>
              <w:t>326</w:t>
            </w:r>
          </w:p>
        </w:tc>
        <w:tc>
          <w:tcPr>
            <w:tcW w:w="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140" w:type="dxa"/>
            <w:vAlign w:val="bottom"/>
            <w:gridSpan w:val="2"/>
            <w:shd w:val="clear" w:color="auto" w:fill="E0E0E0"/>
          </w:tcPr>
          <w:p>
            <w:pPr>
              <w:ind w:left="360"/>
              <w:spacing w:after="0"/>
              <w:rPr>
                <w:sz w:val="20"/>
                <w:szCs w:val="20"/>
                <w:color w:val="auto"/>
              </w:rPr>
            </w:pPr>
            <w:r>
              <w:rPr>
                <w:rFonts w:ascii="Arial" w:cs="Arial" w:eastAsia="Arial" w:hAnsi="Arial"/>
                <w:sz w:val="18"/>
                <w:szCs w:val="18"/>
                <w:color w:val="auto"/>
              </w:rPr>
              <w:t>employee stock purchase plan</w:t>
            </w:r>
          </w:p>
        </w:tc>
        <w:tc>
          <w:tcPr>
            <w:tcW w:w="1240" w:type="dxa"/>
            <w:vAlign w:val="bottom"/>
            <w:vMerge w:val="continue"/>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920" w:type="dxa"/>
            <w:vAlign w:val="bottom"/>
            <w:shd w:val="clear" w:color="auto" w:fill="E0E0E0"/>
          </w:tcPr>
          <w:p>
            <w:pPr>
              <w:spacing w:after="0"/>
              <w:rPr>
                <w:sz w:val="21"/>
                <w:szCs w:val="21"/>
                <w:color w:val="auto"/>
              </w:rPr>
            </w:pPr>
          </w:p>
        </w:tc>
        <w:tc>
          <w:tcPr>
            <w:tcW w:w="260" w:type="dxa"/>
            <w:vAlign w:val="bottom"/>
            <w:vMerge w:val="continue"/>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40" w:type="dxa"/>
            <w:vAlign w:val="bottom"/>
            <w:vMerge w:val="continue"/>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40" w:type="dxa"/>
            <w:vAlign w:val="bottom"/>
            <w:vMerge w:val="continue"/>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260" w:type="dxa"/>
            <w:vAlign w:val="bottom"/>
            <w:gridSpan w:val="3"/>
            <w:vMerge w:val="continue"/>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960" w:type="dxa"/>
            <w:vAlign w:val="bottom"/>
            <w:vMerge w:val="continue"/>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40" w:type="dxa"/>
            <w:vAlign w:val="bottom"/>
            <w:gridSpan w:val="2"/>
            <w:shd w:val="clear" w:color="auto" w:fill="E0E0E0"/>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12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1,607</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60" w:type="dxa"/>
            <w:vAlign w:val="bottom"/>
            <w:gridSpan w:val="3"/>
            <w:shd w:val="clear" w:color="auto" w:fill="E0E0E0"/>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1,607</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(117,672 )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(117,672 )</w:t>
            </w:r>
          </w:p>
        </w:tc>
        <w:tc>
          <w:tcPr>
            <w:tcW w:w="0" w:type="dxa"/>
            <w:vAlign w:val="bottom"/>
          </w:tcPr>
          <w:p>
            <w:pPr>
              <w:spacing w:after="0"/>
              <w:rPr>
                <w:sz w:val="1"/>
                <w:szCs w:val="1"/>
                <w:color w:val="auto"/>
              </w:rPr>
            </w:pPr>
          </w:p>
        </w:tc>
      </w:tr>
      <w:tr>
        <w:trPr>
          <w:trHeight w:val="211"/>
        </w:trPr>
        <w:tc>
          <w:tcPr>
            <w:tcW w:w="4120" w:type="dxa"/>
            <w:vAlign w:val="bottom"/>
            <w:tcBorders>
              <w:top w:val="single" w:sz="8" w:color="E0E0E0"/>
            </w:tcBorders>
            <w:shd w:val="clear" w:color="auto" w:fill="E0E0E0"/>
          </w:tcPr>
          <w:p>
            <w:pPr>
              <w:spacing w:after="0"/>
              <w:rPr>
                <w:sz w:val="20"/>
                <w:szCs w:val="20"/>
                <w:color w:val="auto"/>
              </w:rPr>
            </w:pPr>
            <w:r>
              <w:rPr>
                <w:rFonts w:ascii="Arial" w:cs="Arial" w:eastAsia="Arial" w:hAnsi="Arial"/>
                <w:sz w:val="18"/>
                <w:szCs w:val="18"/>
                <w:b w:val="1"/>
                <w:bCs w:val="1"/>
                <w:color w:val="auto"/>
              </w:rPr>
              <w:t>Balance as of December 31, 2023</w:t>
            </w:r>
          </w:p>
        </w:tc>
        <w:tc>
          <w:tcPr>
            <w:tcW w:w="20" w:type="dxa"/>
            <w:vAlign w:val="bottom"/>
            <w:tcBorders>
              <w:top w:val="single" w:sz="8" w:color="auto"/>
            </w:tcBorders>
            <w:shd w:val="clear" w:color="auto" w:fill="E0E0E0"/>
          </w:tcPr>
          <w:p>
            <w:pPr>
              <w:spacing w:after="0"/>
              <w:rPr>
                <w:sz w:val="18"/>
                <w:szCs w:val="18"/>
                <w:color w:val="auto"/>
              </w:rPr>
            </w:pPr>
          </w:p>
        </w:tc>
        <w:tc>
          <w:tcPr>
            <w:tcW w:w="12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38,172,603</w:t>
            </w:r>
          </w:p>
        </w:tc>
        <w:tc>
          <w:tcPr>
            <w:tcW w:w="2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tcBorders>
            <w:shd w:val="clear" w:color="auto" w:fill="E0E0E0"/>
          </w:tcPr>
          <w:p>
            <w:pPr>
              <w:spacing w:after="0"/>
              <w:rPr>
                <w:sz w:val="18"/>
                <w:szCs w:val="18"/>
                <w:color w:val="auto"/>
              </w:rPr>
            </w:pPr>
          </w:p>
        </w:tc>
        <w:tc>
          <w:tcPr>
            <w:tcW w:w="920" w:type="dxa"/>
            <w:vAlign w:val="bottom"/>
            <w:tcBorders>
              <w:top w:val="single" w:sz="8" w:color="auto"/>
              <w:bottom w:val="single" w:sz="8" w:color="auto"/>
            </w:tcBorders>
            <w:shd w:val="clear" w:color="auto" w:fill="E0E0E0"/>
          </w:tcPr>
          <w:p>
            <w:pPr>
              <w:jc w:val="right"/>
              <w:ind w:right="76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tcBorders>
            <w:shd w:val="clear" w:color="auto" w:fill="E0E0E0"/>
          </w:tcPr>
          <w:p>
            <w:pPr>
              <w:spacing w:after="0"/>
              <w:rPr>
                <w:sz w:val="18"/>
                <w:szCs w:val="18"/>
                <w:color w:val="auto"/>
              </w:rPr>
            </w:pPr>
          </w:p>
        </w:tc>
        <w:tc>
          <w:tcPr>
            <w:tcW w:w="1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439,739</w:t>
            </w:r>
          </w:p>
        </w:tc>
        <w:tc>
          <w:tcPr>
            <w:tcW w:w="2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tcBorders>
            <w:shd w:val="clear" w:color="auto" w:fill="E0E0E0"/>
          </w:tcPr>
          <w:p>
            <w:pPr>
              <w:spacing w:after="0"/>
              <w:rPr>
                <w:sz w:val="18"/>
                <w:szCs w:val="18"/>
                <w:color w:val="auto"/>
              </w:rPr>
            </w:pPr>
          </w:p>
        </w:tc>
        <w:tc>
          <w:tcPr>
            <w:tcW w:w="1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Borders>
              <w:top w:val="single" w:sz="8" w:color="E0E0E0"/>
            </w:tcBorders>
            <w:shd w:val="clear" w:color="auto" w:fill="E0E0E0"/>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tcBorders>
            <w:shd w:val="clear" w:color="auto" w:fill="E0E0E0"/>
          </w:tcPr>
          <w:p>
            <w:pPr>
              <w:spacing w:after="0"/>
              <w:rPr>
                <w:sz w:val="18"/>
                <w:szCs w:val="18"/>
                <w:color w:val="auto"/>
              </w:rPr>
            </w:pPr>
          </w:p>
        </w:tc>
        <w:tc>
          <w:tcPr>
            <w:tcW w:w="200" w:type="dxa"/>
            <w:vAlign w:val="bottom"/>
            <w:tcBorders>
              <w:top w:val="single" w:sz="8" w:color="auto"/>
              <w:bottom w:val="single" w:sz="8" w:color="auto"/>
            </w:tcBorders>
            <w:shd w:val="clear" w:color="auto" w:fill="E0E0E0"/>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(309,206</w:t>
            </w:r>
          </w:p>
        </w:tc>
        <w:tc>
          <w:tcPr>
            <w:tcW w:w="260" w:type="dxa"/>
            <w:vAlign w:val="bottom"/>
            <w:tcBorders>
              <w:top w:val="single" w:sz="8" w:color="E0E0E0"/>
            </w:tcBorders>
            <w:shd w:val="clear" w:color="auto" w:fill="E0E0E0"/>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tcBorders>
            <w:shd w:val="clear" w:color="auto" w:fill="E0E0E0"/>
          </w:tcPr>
          <w:p>
            <w:pPr>
              <w:spacing w:after="0"/>
              <w:rPr>
                <w:sz w:val="18"/>
                <w:szCs w:val="18"/>
                <w:color w:val="auto"/>
              </w:rPr>
            </w:pPr>
          </w:p>
        </w:tc>
        <w:tc>
          <w:tcPr>
            <w:tcW w:w="200" w:type="dxa"/>
            <w:vAlign w:val="bottom"/>
            <w:tcBorders>
              <w:top w:val="single" w:sz="8" w:color="auto"/>
              <w:bottom w:val="single" w:sz="8" w:color="auto"/>
            </w:tcBorders>
            <w:shd w:val="clear" w:color="auto" w:fill="E0E0E0"/>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130,188</w:t>
            </w:r>
          </w:p>
        </w:tc>
        <w:tc>
          <w:tcPr>
            <w:tcW w:w="20" w:type="dxa"/>
            <w:vAlign w:val="bottom"/>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200"/>
              <w:spacing w:after="0"/>
              <w:rPr>
                <w:sz w:val="20"/>
                <w:szCs w:val="20"/>
                <w:color w:val="auto"/>
              </w:rPr>
            </w:pPr>
            <w:r>
              <w:rPr>
                <w:rFonts w:ascii="Arial" w:cs="Arial" w:eastAsia="Arial" w:hAnsi="Arial"/>
                <w:sz w:val="18"/>
                <w:szCs w:val="18"/>
                <w:color w:val="auto"/>
              </w:rPr>
              <w:t>Issuance of common stock upon exercise of</w:t>
            </w: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vMerge w:val="continue"/>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75,660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2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common stock options</w:t>
            </w:r>
          </w:p>
        </w:tc>
        <w:tc>
          <w:tcPr>
            <w:tcW w:w="1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40" w:type="dxa"/>
            <w:vAlign w:val="bottom"/>
            <w:gridSpan w:val="2"/>
            <w:shd w:val="clear" w:color="auto" w:fill="E0E0E0"/>
          </w:tcPr>
          <w:p>
            <w:pPr>
              <w:ind w:left="200"/>
              <w:spacing w:after="0" w:line="183" w:lineRule="exact"/>
              <w:rPr>
                <w:sz w:val="20"/>
                <w:szCs w:val="20"/>
                <w:color w:val="auto"/>
              </w:rPr>
            </w:pPr>
            <w:r>
              <w:rPr>
                <w:rFonts w:ascii="Arial" w:cs="Arial" w:eastAsia="Arial" w:hAnsi="Arial"/>
                <w:sz w:val="18"/>
                <w:szCs w:val="18"/>
                <w:color w:val="auto"/>
              </w:rPr>
              <w:t>Issuance of common stock upon vesting of</w:t>
            </w:r>
          </w:p>
        </w:tc>
        <w:tc>
          <w:tcPr>
            <w:tcW w:w="124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2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4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4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8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140" w:type="dxa"/>
            <w:vAlign w:val="bottom"/>
            <w:gridSpan w:val="2"/>
            <w:shd w:val="clear" w:color="auto" w:fill="E0E0E0"/>
          </w:tcPr>
          <w:p>
            <w:pPr>
              <w:ind w:left="360"/>
              <w:spacing w:after="0"/>
              <w:rPr>
                <w:sz w:val="20"/>
                <w:szCs w:val="20"/>
                <w:color w:val="auto"/>
              </w:rPr>
            </w:pPr>
            <w:r>
              <w:rPr>
                <w:rFonts w:ascii="Arial" w:cs="Arial" w:eastAsia="Arial" w:hAnsi="Arial"/>
                <w:sz w:val="18"/>
                <w:szCs w:val="18"/>
                <w:color w:val="auto"/>
              </w:rPr>
              <w:t>restricted stock units</w:t>
            </w:r>
          </w:p>
        </w:tc>
        <w:tc>
          <w:tcPr>
            <w:tcW w:w="12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620,668</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920" w:type="dxa"/>
            <w:vAlign w:val="bottom"/>
            <w:shd w:val="clear" w:color="auto" w:fill="E0E0E0"/>
          </w:tcPr>
          <w:p>
            <w:pPr>
              <w:spacing w:after="0"/>
              <w:rPr>
                <w:sz w:val="21"/>
                <w:szCs w:val="21"/>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260" w:type="dxa"/>
            <w:vAlign w:val="bottom"/>
            <w:gridSpan w:val="3"/>
            <w:shd w:val="clear" w:color="auto" w:fill="E0E0E0"/>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0E0"/>
          </w:tcPr>
          <w:p>
            <w:pPr>
              <w:spacing w:after="0"/>
              <w:rPr>
                <w:sz w:val="21"/>
                <w:szCs w:val="21"/>
                <w:color w:val="auto"/>
              </w:rPr>
            </w:pPr>
          </w:p>
        </w:tc>
        <w:tc>
          <w:tcPr>
            <w:tcW w:w="1100" w:type="dxa"/>
            <w:vAlign w:val="bottom"/>
            <w:gridSpan w:val="3"/>
            <w:shd w:val="clear" w:color="auto" w:fill="E0E0E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14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Issuance of common stock under</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172,014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employee stock purchase plan</w:t>
            </w:r>
          </w:p>
        </w:tc>
        <w:tc>
          <w:tcPr>
            <w:tcW w:w="1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140" w:type="dxa"/>
            <w:vAlign w:val="bottom"/>
            <w:gridSpan w:val="2"/>
            <w:shd w:val="clear" w:color="auto" w:fill="E0E0E0"/>
          </w:tcPr>
          <w:p>
            <w:pPr>
              <w:ind w:left="200"/>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11,049</w:t>
            </w:r>
          </w:p>
        </w:tc>
        <w:tc>
          <w:tcPr>
            <w:tcW w:w="2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60" w:type="dxa"/>
            <w:vAlign w:val="bottom"/>
            <w:gridSpan w:val="3"/>
            <w:shd w:val="clear" w:color="auto" w:fill="E0E0E0"/>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0E0"/>
          </w:tcPr>
          <w:p>
            <w:pPr>
              <w:spacing w:after="0"/>
              <w:rPr>
                <w:sz w:val="19"/>
                <w:szCs w:val="19"/>
                <w:color w:val="auto"/>
              </w:rPr>
            </w:pPr>
          </w:p>
        </w:tc>
        <w:tc>
          <w:tcPr>
            <w:tcW w:w="9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11,049</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40" w:type="dxa"/>
            <w:vAlign w:val="bottom"/>
            <w:gridSpan w:val="2"/>
            <w:shd w:val="clear" w:color="auto" w:fill="E0E0E0"/>
          </w:tcPr>
          <w:p>
            <w:pPr>
              <w:ind w:left="200"/>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2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40" w:type="dxa"/>
            <w:vAlign w:val="bottom"/>
            <w:gridSpan w:val="2"/>
            <w:shd w:val="clear" w:color="auto" w:fill="E0E0E0"/>
          </w:tcPr>
          <w:p>
            <w:pPr>
              <w:jc w:val="right"/>
              <w:ind w:right="120"/>
              <w:spacing w:after="0"/>
              <w:rPr>
                <w:sz w:val="20"/>
                <w:szCs w:val="20"/>
                <w:color w:val="auto"/>
              </w:rPr>
            </w:pPr>
            <w:r>
              <w:rPr>
                <w:rFonts w:ascii="Arial" w:cs="Arial" w:eastAsia="Arial" w:hAnsi="Arial"/>
                <w:sz w:val="18"/>
                <w:szCs w:val="18"/>
                <w:color w:val="auto"/>
              </w:rPr>
              <w:t>(96,940 )</w:t>
            </w: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00" w:type="dxa"/>
            <w:vAlign w:val="bottom"/>
            <w:gridSpan w:val="3"/>
            <w:shd w:val="clear" w:color="auto" w:fill="E0E0E0"/>
          </w:tcPr>
          <w:p>
            <w:pPr>
              <w:jc w:val="right"/>
              <w:ind w:right="60"/>
              <w:spacing w:after="0"/>
              <w:rPr>
                <w:sz w:val="20"/>
                <w:szCs w:val="20"/>
                <w:color w:val="auto"/>
              </w:rPr>
            </w:pPr>
            <w:r>
              <w:rPr>
                <w:rFonts w:ascii="Arial" w:cs="Arial" w:eastAsia="Arial" w:hAnsi="Arial"/>
                <w:sz w:val="18"/>
                <w:szCs w:val="18"/>
                <w:color w:val="auto"/>
              </w:rPr>
              <w:t>(96,940 )</w:t>
            </w:r>
          </w:p>
        </w:tc>
        <w:tc>
          <w:tcPr>
            <w:tcW w:w="0" w:type="dxa"/>
            <w:vAlign w:val="bottom"/>
          </w:tcPr>
          <w:p>
            <w:pPr>
              <w:spacing w:after="0"/>
              <w:rPr>
                <w:sz w:val="1"/>
                <w:szCs w:val="1"/>
                <w:color w:val="auto"/>
              </w:rPr>
            </w:pPr>
          </w:p>
        </w:tc>
      </w:tr>
      <w:tr>
        <w:trPr>
          <w:trHeight w:val="211"/>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39,040,945</w:t>
            </w:r>
          </w:p>
        </w:tc>
        <w:tc>
          <w:tcPr>
            <w:tcW w:w="280" w:type="dxa"/>
            <w:vAlign w:val="bottom"/>
            <w:gridSpan w:val="2"/>
          </w:tcPr>
          <w:p>
            <w:pPr>
              <w:spacing w:after="0"/>
              <w:rPr>
                <w:sz w:val="18"/>
                <w:szCs w:val="18"/>
                <w:color w:val="auto"/>
              </w:rPr>
            </w:pP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450,982</w:t>
            </w:r>
          </w:p>
        </w:tc>
        <w:tc>
          <w:tcPr>
            <w:tcW w:w="30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(406,146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2580"/>
        <w:spacing w:after="0"/>
        <w:rPr>
          <w:sz w:val="20"/>
          <w:szCs w:val="20"/>
          <w:color w:val="auto"/>
        </w:rPr>
      </w:pPr>
      <w:r>
        <w:rPr>
          <w:rFonts w:ascii="Arial" w:cs="Arial" w:eastAsia="Arial" w:hAnsi="Arial"/>
          <w:sz w:val="20"/>
          <w:szCs w:val="20"/>
          <w:i w:val="1"/>
          <w:iCs w:val="1"/>
          <w:color w:val="auto"/>
        </w:rPr>
        <w:t>The accompanying notes are an integral part of these consolidated financial statements.</w:t>
      </w:r>
    </w:p>
    <w:p>
      <w:pPr>
        <w:sectPr>
          <w:pgSz w:w="15840" w:h="12240" w:orient="landscape"/>
          <w:cols w:equalWidth="0" w:num="2">
            <w:col w:w="242" w:space="471"/>
            <w:col w:w="12960"/>
          </w:cols>
          <w:pgMar w:left="727" w:top="1372"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rPr>
              <w:t>Year Ended December 31,</w:t>
            </w:r>
          </w:p>
        </w:tc>
      </w:tr>
      <w:tr>
        <w:trPr>
          <w:trHeight w:val="234"/>
        </w:trPr>
        <w:tc>
          <w:tcPr>
            <w:tcW w:w="6260" w:type="dxa"/>
            <w:vAlign w:val="bottom"/>
            <w:tcBorders>
              <w:bottom w:val="single" w:sz="8" w:color="E0E0E0"/>
            </w:tcBorders>
          </w:tcPr>
          <w:p>
            <w:pPr>
              <w:spacing w:after="0"/>
              <w:rPr>
                <w:sz w:val="20"/>
                <w:szCs w:val="20"/>
                <w:color w:val="auto"/>
              </w:rPr>
            </w:pPr>
          </w:p>
        </w:tc>
        <w:tc>
          <w:tcPr>
            <w:tcW w:w="160" w:type="dxa"/>
            <w:vAlign w:val="bottom"/>
            <w:tcBorders>
              <w:bottom w:val="single" w:sz="8" w:color="E0E0E0"/>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top w:val="single" w:sz="8" w:color="auto"/>
              <w:bottom w:val="single" w:sz="8" w:color="E0E0E0"/>
            </w:tcBorders>
          </w:tcPr>
          <w:p>
            <w:pPr>
              <w:spacing w:after="0"/>
              <w:rPr>
                <w:sz w:val="20"/>
                <w:szCs w:val="20"/>
                <w:color w:val="auto"/>
              </w:rPr>
            </w:pPr>
          </w:p>
        </w:tc>
        <w:tc>
          <w:tcPr>
            <w:tcW w:w="80" w:type="dxa"/>
            <w:vAlign w:val="bottom"/>
            <w:tcBorders>
              <w:top w:val="single" w:sz="8" w:color="auto"/>
              <w:bottom w:val="single" w:sz="8" w:color="E0E0E0"/>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0E0E0"/>
            </w:tcBorders>
          </w:tcPr>
          <w:p>
            <w:pPr>
              <w:spacing w:after="0"/>
              <w:rPr>
                <w:sz w:val="20"/>
                <w:szCs w:val="20"/>
                <w:color w:val="auto"/>
              </w:rPr>
            </w:pPr>
          </w:p>
        </w:tc>
      </w:tr>
      <w:tr>
        <w:trPr>
          <w:trHeight w:val="234"/>
        </w:trPr>
        <w:tc>
          <w:tcPr>
            <w:tcW w:w="6260" w:type="dxa"/>
            <w:vAlign w:val="bottom"/>
            <w:shd w:val="clear" w:color="auto" w:fill="E0E0E0"/>
          </w:tcPr>
          <w:p>
            <w:pPr>
              <w:spacing w:after="0"/>
              <w:rPr>
                <w:sz w:val="20"/>
                <w:szCs w:val="20"/>
                <w:color w:val="auto"/>
              </w:rPr>
            </w:pPr>
            <w:r>
              <w:rPr>
                <w:rFonts w:ascii="Arial" w:cs="Arial" w:eastAsia="Arial" w:hAnsi="Arial"/>
                <w:sz w:val="20"/>
                <w:szCs w:val="20"/>
                <w:b w:val="1"/>
                <w:bCs w:val="1"/>
                <w:color w:val="auto"/>
              </w:rPr>
              <w:t>Operating activities</w:t>
            </w:r>
          </w:p>
        </w:tc>
        <w:tc>
          <w:tcPr>
            <w:tcW w:w="16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04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6260" w:type="dxa"/>
            <w:vAlign w:val="bottom"/>
          </w:tcPr>
          <w:p>
            <w:pPr>
              <w:ind w:left="280"/>
              <w:spacing w:after="0"/>
              <w:rPr>
                <w:sz w:val="20"/>
                <w:szCs w:val="20"/>
                <w:color w:val="auto"/>
              </w:rPr>
            </w:pPr>
            <w:r>
              <w:rPr>
                <w:rFonts w:ascii="Arial" w:cs="Arial" w:eastAsia="Arial" w:hAnsi="Arial"/>
                <w:sz w:val="20"/>
                <w:szCs w:val="20"/>
                <w:color w:val="auto"/>
              </w:rPr>
              <w:t>Net loss</w:t>
            </w:r>
          </w:p>
        </w:tc>
        <w:tc>
          <w:tcPr>
            <w:tcW w:w="16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(96,940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1"/>
                <w:szCs w:val="21"/>
                <w:color w:val="auto"/>
              </w:rPr>
            </w:pP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(117,672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5"/>
        </w:trPr>
        <w:tc>
          <w:tcPr>
            <w:tcW w:w="6260" w:type="dxa"/>
            <w:vAlign w:val="bottom"/>
            <w:shd w:val="clear" w:color="auto" w:fill="E0E0E0"/>
          </w:tcPr>
          <w:p>
            <w:pPr>
              <w:ind w:left="560"/>
              <w:spacing w:after="0" w:line="225" w:lineRule="exact"/>
              <w:rPr>
                <w:sz w:val="20"/>
                <w:szCs w:val="20"/>
                <w:color w:val="auto"/>
              </w:rPr>
            </w:pPr>
            <w:r>
              <w:rPr>
                <w:rFonts w:ascii="Arial" w:cs="Arial" w:eastAsia="Arial" w:hAnsi="Arial"/>
                <w:sz w:val="20"/>
                <w:szCs w:val="20"/>
                <w:color w:val="auto"/>
              </w:rPr>
              <w:t>Adjustments to reconcile net loss to net cash used in operating</w:t>
            </w:r>
          </w:p>
        </w:tc>
        <w:tc>
          <w:tcPr>
            <w:tcW w:w="16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49"/>
        </w:trPr>
        <w:tc>
          <w:tcPr>
            <w:tcW w:w="6260" w:type="dxa"/>
            <w:vAlign w:val="bottom"/>
            <w:shd w:val="clear" w:color="auto" w:fill="E0E0E0"/>
          </w:tcPr>
          <w:p>
            <w:pPr>
              <w:ind w:left="560"/>
              <w:spacing w:after="0"/>
              <w:rPr>
                <w:sz w:val="20"/>
                <w:szCs w:val="20"/>
                <w:color w:val="auto"/>
              </w:rPr>
            </w:pPr>
            <w:r>
              <w:rPr>
                <w:rFonts w:ascii="Arial" w:cs="Arial" w:eastAsia="Arial" w:hAnsi="Arial"/>
                <w:sz w:val="20"/>
                <w:szCs w:val="20"/>
                <w:color w:val="auto"/>
              </w:rPr>
              <w:t>activities:</w:t>
            </w:r>
          </w:p>
        </w:tc>
        <w:tc>
          <w:tcPr>
            <w:tcW w:w="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260" w:type="dxa"/>
            <w:vAlign w:val="bottom"/>
          </w:tcPr>
          <w:p>
            <w:pPr>
              <w:ind w:left="560"/>
              <w:spacing w:after="0"/>
              <w:rPr>
                <w:sz w:val="20"/>
                <w:szCs w:val="20"/>
                <w:color w:val="auto"/>
              </w:rPr>
            </w:pPr>
            <w:r>
              <w:rPr>
                <w:rFonts w:ascii="Arial" w:cs="Arial" w:eastAsia="Arial" w:hAnsi="Arial"/>
                <w:sz w:val="20"/>
                <w:szCs w:val="20"/>
                <w:color w:val="auto"/>
              </w:rPr>
              <w:t>Stock-based compensation</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11,049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10,623</w:t>
            </w:r>
          </w:p>
        </w:tc>
        <w:tc>
          <w:tcPr>
            <w:tcW w:w="80" w:type="dxa"/>
            <w:vAlign w:val="bottom"/>
          </w:tcPr>
          <w:p>
            <w:pPr>
              <w:spacing w:after="0"/>
              <w:rPr>
                <w:sz w:val="21"/>
                <w:szCs w:val="21"/>
                <w:color w:val="auto"/>
              </w:rPr>
            </w:pPr>
          </w:p>
        </w:tc>
      </w:tr>
      <w:tr>
        <w:trPr>
          <w:trHeight w:val="244"/>
        </w:trPr>
        <w:tc>
          <w:tcPr>
            <w:tcW w:w="6260" w:type="dxa"/>
            <w:vAlign w:val="bottom"/>
            <w:shd w:val="clear" w:color="auto" w:fill="E0E0E0"/>
          </w:tcPr>
          <w:p>
            <w:pPr>
              <w:ind w:left="560"/>
              <w:spacing w:after="0"/>
              <w:rPr>
                <w:sz w:val="20"/>
                <w:szCs w:val="20"/>
                <w:color w:val="auto"/>
              </w:rPr>
            </w:pPr>
            <w:r>
              <w:rPr>
                <w:rFonts w:ascii="Arial" w:cs="Arial" w:eastAsia="Arial" w:hAnsi="Arial"/>
                <w:sz w:val="20"/>
                <w:szCs w:val="20"/>
                <w:color w:val="auto"/>
              </w:rPr>
              <w:t>Depreciation expense</w:t>
            </w:r>
          </w:p>
        </w:tc>
        <w:tc>
          <w:tcPr>
            <w:tcW w:w="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970</w:t>
            </w: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969</w:t>
            </w:r>
          </w:p>
        </w:tc>
        <w:tc>
          <w:tcPr>
            <w:tcW w:w="80" w:type="dxa"/>
            <w:vAlign w:val="bottom"/>
            <w:shd w:val="clear" w:color="auto" w:fill="E0E0E0"/>
          </w:tcPr>
          <w:p>
            <w:pPr>
              <w:spacing w:after="0"/>
              <w:rPr>
                <w:sz w:val="21"/>
                <w:szCs w:val="21"/>
                <w:color w:val="auto"/>
              </w:rPr>
            </w:pPr>
          </w:p>
        </w:tc>
      </w:tr>
      <w:tr>
        <w:trPr>
          <w:trHeight w:val="244"/>
        </w:trPr>
        <w:tc>
          <w:tcPr>
            <w:tcW w:w="6260" w:type="dxa"/>
            <w:vAlign w:val="bottom"/>
          </w:tcPr>
          <w:p>
            <w:pPr>
              <w:ind w:left="560"/>
              <w:spacing w:after="0"/>
              <w:rPr>
                <w:sz w:val="20"/>
                <w:szCs w:val="20"/>
                <w:color w:val="auto"/>
              </w:rPr>
            </w:pPr>
            <w:r>
              <w:rPr>
                <w:rFonts w:ascii="Arial" w:cs="Arial" w:eastAsia="Arial" w:hAnsi="Arial"/>
                <w:sz w:val="20"/>
                <w:szCs w:val="20"/>
                <w:color w:val="auto"/>
              </w:rPr>
              <w:t>Non-cash lease expense</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214</w:t>
            </w:r>
          </w:p>
        </w:tc>
        <w:tc>
          <w:tcPr>
            <w:tcW w:w="80" w:type="dxa"/>
            <w:vAlign w:val="bottom"/>
          </w:tcPr>
          <w:p>
            <w:pPr>
              <w:spacing w:after="0"/>
              <w:rPr>
                <w:sz w:val="21"/>
                <w:szCs w:val="21"/>
                <w:color w:val="auto"/>
              </w:rPr>
            </w:pPr>
          </w:p>
        </w:tc>
      </w:tr>
      <w:tr>
        <w:trPr>
          <w:trHeight w:val="225"/>
        </w:trPr>
        <w:tc>
          <w:tcPr>
            <w:tcW w:w="6260" w:type="dxa"/>
            <w:vAlign w:val="bottom"/>
            <w:shd w:val="clear" w:color="auto" w:fill="E0E0E0"/>
          </w:tcPr>
          <w:p>
            <w:pPr>
              <w:ind w:left="560"/>
              <w:spacing w:after="0" w:line="225" w:lineRule="exact"/>
              <w:rPr>
                <w:sz w:val="20"/>
                <w:szCs w:val="20"/>
                <w:color w:val="auto"/>
              </w:rPr>
            </w:pPr>
            <w:r>
              <w:rPr>
                <w:rFonts w:ascii="Arial" w:cs="Arial" w:eastAsia="Arial" w:hAnsi="Arial"/>
                <w:sz w:val="20"/>
                <w:szCs w:val="20"/>
                <w:color w:val="auto"/>
              </w:rPr>
              <w:t>Amortization of premiums and accretion of discounts on</w:t>
            </w:r>
          </w:p>
        </w:tc>
        <w:tc>
          <w:tcPr>
            <w:tcW w:w="16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49"/>
        </w:trPr>
        <w:tc>
          <w:tcPr>
            <w:tcW w:w="6260" w:type="dxa"/>
            <w:vAlign w:val="bottom"/>
            <w:shd w:val="clear" w:color="auto" w:fill="E0E0E0"/>
          </w:tcPr>
          <w:p>
            <w:pPr>
              <w:ind w:left="720"/>
              <w:spacing w:after="0"/>
              <w:rPr>
                <w:sz w:val="20"/>
                <w:szCs w:val="20"/>
                <w:color w:val="auto"/>
              </w:rPr>
            </w:pPr>
            <w:r>
              <w:rPr>
                <w:rFonts w:ascii="Arial" w:cs="Arial" w:eastAsia="Arial" w:hAnsi="Arial"/>
                <w:sz w:val="20"/>
                <w:szCs w:val="20"/>
                <w:color w:val="auto"/>
              </w:rPr>
              <w:t>available-for-sale securities, net</w:t>
            </w:r>
          </w:p>
        </w:tc>
        <w:tc>
          <w:tcPr>
            <w:tcW w:w="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(515 )</w:t>
            </w:r>
          </w:p>
        </w:tc>
        <w:tc>
          <w:tcPr>
            <w:tcW w:w="8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(1,414 )</w:t>
            </w:r>
          </w:p>
        </w:tc>
      </w:tr>
      <w:tr>
        <w:trPr>
          <w:trHeight w:val="244"/>
        </w:trPr>
        <w:tc>
          <w:tcPr>
            <w:tcW w:w="6260" w:type="dxa"/>
            <w:vAlign w:val="bottom"/>
          </w:tcPr>
          <w:p>
            <w:pPr>
              <w:ind w:left="560"/>
              <w:spacing w:after="0"/>
              <w:rPr>
                <w:sz w:val="20"/>
                <w:szCs w:val="20"/>
                <w:color w:val="auto"/>
              </w:rPr>
            </w:pPr>
            <w:r>
              <w:rPr>
                <w:rFonts w:ascii="Arial" w:cs="Arial" w:eastAsia="Arial" w:hAnsi="Arial"/>
                <w:sz w:val="20"/>
                <w:szCs w:val="20"/>
                <w:color w:val="auto"/>
              </w:rPr>
              <w:t>Loss on disposal of equipment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r>
      <w:tr>
        <w:trPr>
          <w:trHeight w:val="244"/>
        </w:trPr>
        <w:tc>
          <w:tcPr>
            <w:tcW w:w="6260" w:type="dxa"/>
            <w:vAlign w:val="bottom"/>
            <w:shd w:val="clear" w:color="auto" w:fill="E0E0E0"/>
          </w:tcPr>
          <w:p>
            <w:pPr>
              <w:ind w:left="560"/>
              <w:spacing w:after="0"/>
              <w:rPr>
                <w:sz w:val="20"/>
                <w:szCs w:val="20"/>
                <w:color w:val="auto"/>
              </w:rPr>
            </w:pPr>
            <w:r>
              <w:rPr>
                <w:rFonts w:ascii="Arial" w:cs="Arial" w:eastAsia="Arial" w:hAnsi="Arial"/>
                <w:sz w:val="20"/>
                <w:szCs w:val="20"/>
                <w:color w:val="auto"/>
              </w:rPr>
              <w:t>Changes in operating assets and liabilities:</w:t>
            </w:r>
          </w:p>
        </w:tc>
        <w:tc>
          <w:tcPr>
            <w:tcW w:w="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260" w:type="dxa"/>
            <w:vAlign w:val="bottom"/>
          </w:tcPr>
          <w:p>
            <w:pPr>
              <w:ind w:left="840"/>
              <w:spacing w:after="0"/>
              <w:rPr>
                <w:sz w:val="20"/>
                <w:szCs w:val="20"/>
                <w:color w:val="auto"/>
              </w:rPr>
            </w:pPr>
            <w:r>
              <w:rPr>
                <w:rFonts w:ascii="Arial" w:cs="Arial" w:eastAsia="Arial" w:hAnsi="Arial"/>
                <w:sz w:val="20"/>
                <w:szCs w:val="20"/>
                <w:color w:val="auto"/>
              </w:rPr>
              <w:t>Unbilled grant receivable</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1,227</w:t>
            </w:r>
          </w:p>
        </w:tc>
        <w:tc>
          <w:tcPr>
            <w:tcW w:w="80" w:type="dxa"/>
            <w:vAlign w:val="bottom"/>
          </w:tcPr>
          <w:p>
            <w:pPr>
              <w:spacing w:after="0"/>
              <w:rPr>
                <w:sz w:val="21"/>
                <w:szCs w:val="21"/>
                <w:color w:val="auto"/>
              </w:rPr>
            </w:pPr>
          </w:p>
        </w:tc>
      </w:tr>
      <w:tr>
        <w:trPr>
          <w:trHeight w:val="225"/>
        </w:trPr>
        <w:tc>
          <w:tcPr>
            <w:tcW w:w="6260" w:type="dxa"/>
            <w:vAlign w:val="bottom"/>
            <w:shd w:val="clear" w:color="auto" w:fill="E0E0E0"/>
          </w:tcPr>
          <w:p>
            <w:pPr>
              <w:ind w:left="840"/>
              <w:spacing w:after="0" w:line="225" w:lineRule="exact"/>
              <w:rPr>
                <w:sz w:val="20"/>
                <w:szCs w:val="20"/>
                <w:color w:val="auto"/>
              </w:rPr>
            </w:pPr>
            <w:r>
              <w:rPr>
                <w:rFonts w:ascii="Arial" w:cs="Arial" w:eastAsia="Arial" w:hAnsi="Arial"/>
                <w:sz w:val="20"/>
                <w:szCs w:val="20"/>
                <w:color w:val="auto"/>
              </w:rPr>
              <w:t>Prepaid expenses and other current and long-term assets,</w:t>
            </w:r>
          </w:p>
        </w:tc>
        <w:tc>
          <w:tcPr>
            <w:tcW w:w="16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49"/>
        </w:trPr>
        <w:tc>
          <w:tcPr>
            <w:tcW w:w="6260" w:type="dxa"/>
            <w:vAlign w:val="bottom"/>
            <w:shd w:val="clear" w:color="auto" w:fill="E0E0E0"/>
          </w:tcPr>
          <w:p>
            <w:pPr>
              <w:ind w:left="840"/>
              <w:spacing w:after="0"/>
              <w:rPr>
                <w:sz w:val="20"/>
                <w:szCs w:val="20"/>
                <w:color w:val="auto"/>
              </w:rPr>
            </w:pPr>
            <w:r>
              <w:rPr>
                <w:rFonts w:ascii="Arial" w:cs="Arial" w:eastAsia="Arial" w:hAnsi="Arial"/>
                <w:sz w:val="20"/>
                <w:szCs w:val="20"/>
                <w:color w:val="auto"/>
              </w:rPr>
              <w:t>net</w:t>
            </w:r>
          </w:p>
        </w:tc>
        <w:tc>
          <w:tcPr>
            <w:tcW w:w="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2,509</w:t>
            </w: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(113 )</w:t>
            </w:r>
          </w:p>
        </w:tc>
      </w:tr>
      <w:tr>
        <w:trPr>
          <w:trHeight w:val="244"/>
        </w:trPr>
        <w:tc>
          <w:tcPr>
            <w:tcW w:w="6260" w:type="dxa"/>
            <w:vAlign w:val="bottom"/>
          </w:tcPr>
          <w:p>
            <w:pPr>
              <w:ind w:left="840"/>
              <w:spacing w:after="0"/>
              <w:rPr>
                <w:sz w:val="20"/>
                <w:szCs w:val="20"/>
                <w:color w:val="auto"/>
              </w:rPr>
            </w:pPr>
            <w:r>
              <w:rPr>
                <w:rFonts w:ascii="Arial" w:cs="Arial" w:eastAsia="Arial" w:hAnsi="Arial"/>
                <w:sz w:val="20"/>
                <w:szCs w:val="20"/>
                <w:color w:val="auto"/>
              </w:rPr>
              <w:t>Insurance recovery receivable related to legal settlement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1,628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(1,628 )</w:t>
            </w:r>
          </w:p>
        </w:tc>
      </w:tr>
      <w:tr>
        <w:trPr>
          <w:trHeight w:val="244"/>
        </w:trPr>
        <w:tc>
          <w:tcPr>
            <w:tcW w:w="6260" w:type="dxa"/>
            <w:vAlign w:val="bottom"/>
            <w:shd w:val="clear" w:color="auto" w:fill="E0E0E0"/>
          </w:tcPr>
          <w:p>
            <w:pPr>
              <w:ind w:left="840"/>
              <w:spacing w:after="0"/>
              <w:rPr>
                <w:sz w:val="20"/>
                <w:szCs w:val="20"/>
                <w:color w:val="auto"/>
              </w:rPr>
            </w:pPr>
            <w:r>
              <w:rPr>
                <w:rFonts w:ascii="Arial" w:cs="Arial" w:eastAsia="Arial" w:hAnsi="Arial"/>
                <w:sz w:val="20"/>
                <w:szCs w:val="20"/>
                <w:color w:val="auto"/>
              </w:rPr>
              <w:t>Accounts payable and accrued liabilities</w:t>
            </w:r>
          </w:p>
        </w:tc>
        <w:tc>
          <w:tcPr>
            <w:tcW w:w="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(5,751 )</w:t>
            </w:r>
          </w:p>
        </w:tc>
        <w:tc>
          <w:tcPr>
            <w:tcW w:w="8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7,367</w:t>
            </w:r>
          </w:p>
        </w:tc>
        <w:tc>
          <w:tcPr>
            <w:tcW w:w="80" w:type="dxa"/>
            <w:vAlign w:val="bottom"/>
            <w:shd w:val="clear" w:color="auto" w:fill="E0E0E0"/>
          </w:tcPr>
          <w:p>
            <w:pPr>
              <w:spacing w:after="0"/>
              <w:rPr>
                <w:sz w:val="21"/>
                <w:szCs w:val="21"/>
                <w:color w:val="auto"/>
              </w:rPr>
            </w:pPr>
          </w:p>
        </w:tc>
      </w:tr>
      <w:tr>
        <w:trPr>
          <w:trHeight w:val="244"/>
        </w:trPr>
        <w:tc>
          <w:tcPr>
            <w:tcW w:w="6260" w:type="dxa"/>
            <w:vAlign w:val="bottom"/>
          </w:tcPr>
          <w:p>
            <w:pPr>
              <w:ind w:left="840"/>
              <w:spacing w:after="0"/>
              <w:rPr>
                <w:sz w:val="20"/>
                <w:szCs w:val="20"/>
                <w:color w:val="auto"/>
              </w:rPr>
            </w:pPr>
            <w:r>
              <w:rPr>
                <w:rFonts w:ascii="Arial" w:cs="Arial" w:eastAsia="Arial" w:hAnsi="Arial"/>
                <w:sz w:val="20"/>
                <w:szCs w:val="20"/>
                <w:color w:val="auto"/>
              </w:rPr>
              <w:t>Accrued legal settlement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(10,000 )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r>
      <w:tr>
        <w:trPr>
          <w:trHeight w:val="264"/>
        </w:trPr>
        <w:tc>
          <w:tcPr>
            <w:tcW w:w="6260" w:type="dxa"/>
            <w:vAlign w:val="bottom"/>
            <w:shd w:val="clear" w:color="auto" w:fill="E0E0E0"/>
          </w:tcPr>
          <w:p>
            <w:pPr>
              <w:ind w:left="840"/>
              <w:spacing w:after="0"/>
              <w:rPr>
                <w:sz w:val="20"/>
                <w:szCs w:val="20"/>
                <w:color w:val="auto"/>
              </w:rPr>
            </w:pPr>
            <w:r>
              <w:rPr>
                <w:rFonts w:ascii="Arial" w:cs="Arial" w:eastAsia="Arial" w:hAnsi="Arial"/>
                <w:sz w:val="20"/>
                <w:szCs w:val="20"/>
                <w:color w:val="auto"/>
              </w:rPr>
              <w:t>Operating lease liability</w:t>
            </w:r>
          </w:p>
        </w:tc>
        <w:tc>
          <w:tcPr>
            <w:tcW w:w="160" w:type="dxa"/>
            <w:vAlign w:val="bottom"/>
            <w:shd w:val="clear" w:color="auto" w:fill="E0E0E0"/>
          </w:tcPr>
          <w:p>
            <w:pPr>
              <w:spacing w:after="0"/>
              <w:rPr>
                <w:sz w:val="22"/>
                <w:szCs w:val="22"/>
                <w:color w:val="auto"/>
              </w:rPr>
            </w:pPr>
          </w:p>
        </w:tc>
        <w:tc>
          <w:tcPr>
            <w:tcW w:w="260" w:type="dxa"/>
            <w:vAlign w:val="bottom"/>
            <w:shd w:val="clear" w:color="auto" w:fill="E0E0E0"/>
          </w:tcPr>
          <w:p>
            <w:pPr>
              <w:spacing w:after="0"/>
              <w:rPr>
                <w:sz w:val="22"/>
                <w:szCs w:val="22"/>
                <w:color w:val="auto"/>
              </w:rPr>
            </w:pPr>
          </w:p>
        </w:tc>
        <w:tc>
          <w:tcPr>
            <w:tcW w:w="120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(368 )</w:t>
            </w:r>
          </w:p>
        </w:tc>
        <w:tc>
          <w:tcPr>
            <w:tcW w:w="8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1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(326 )</w:t>
            </w:r>
          </w:p>
        </w:tc>
      </w:tr>
      <w:tr>
        <w:trPr>
          <w:trHeight w:val="214"/>
        </w:trPr>
        <w:tc>
          <w:tcPr>
            <w:tcW w:w="6260" w:type="dxa"/>
            <w:vAlign w:val="bottom"/>
            <w:tcBorders>
              <w:top w:val="single" w:sz="8" w:color="E0E0E0"/>
              <w:bottom w:val="single" w:sz="8" w:color="E0E0E0"/>
            </w:tcBorders>
          </w:tcPr>
          <w:p>
            <w:pPr>
              <w:ind w:left="1120"/>
              <w:spacing w:after="0" w:line="214" w:lineRule="exact"/>
              <w:rPr>
                <w:sz w:val="20"/>
                <w:szCs w:val="20"/>
                <w:color w:val="auto"/>
              </w:rPr>
            </w:pPr>
            <w:r>
              <w:rPr>
                <w:rFonts w:ascii="Arial" w:cs="Arial" w:eastAsia="Arial" w:hAnsi="Arial"/>
                <w:sz w:val="20"/>
                <w:szCs w:val="20"/>
                <w:color w:val="auto"/>
              </w:rPr>
              <w:t>Net cash used in operating activities</w:t>
            </w:r>
          </w:p>
        </w:tc>
        <w:tc>
          <w:tcPr>
            <w:tcW w:w="160" w:type="dxa"/>
            <w:vAlign w:val="bottom"/>
            <w:tcBorders>
              <w:top w:val="single" w:sz="8" w:color="E0E0E0"/>
              <w:bottom w:val="single" w:sz="8" w:color="E0E0E0"/>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4" w:lineRule="exact"/>
              <w:rPr>
                <w:sz w:val="20"/>
                <w:szCs w:val="20"/>
                <w:color w:val="auto"/>
              </w:rPr>
            </w:pPr>
            <w:r>
              <w:rPr>
                <w:rFonts w:ascii="Arial" w:cs="Arial" w:eastAsia="Arial" w:hAnsi="Arial"/>
                <w:sz w:val="20"/>
                <w:szCs w:val="20"/>
                <w:color w:val="auto"/>
              </w:rPr>
              <w:t>(97,170</w:t>
            </w:r>
          </w:p>
        </w:tc>
        <w:tc>
          <w:tcPr>
            <w:tcW w:w="160" w:type="dxa"/>
            <w:vAlign w:val="bottom"/>
            <w:tcBorders>
              <w:top w:val="single" w:sz="8" w:color="E0E0E0"/>
              <w:bottom w:val="single" w:sz="8" w:color="E0E0E0"/>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0E0E0"/>
              <w:bottom w:val="single" w:sz="8" w:color="E0E0E0"/>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4" w:lineRule="exact"/>
              <w:rPr>
                <w:sz w:val="20"/>
                <w:szCs w:val="20"/>
                <w:color w:val="auto"/>
              </w:rPr>
            </w:pPr>
            <w:r>
              <w:rPr>
                <w:rFonts w:ascii="Arial" w:cs="Arial" w:eastAsia="Arial" w:hAnsi="Arial"/>
                <w:sz w:val="20"/>
                <w:szCs w:val="20"/>
                <w:color w:val="auto"/>
              </w:rPr>
              <w:t>(100,753</w:t>
            </w:r>
          </w:p>
        </w:tc>
        <w:tc>
          <w:tcPr>
            <w:tcW w:w="80" w:type="dxa"/>
            <w:vAlign w:val="bottom"/>
            <w:tcBorders>
              <w:top w:val="single" w:sz="8" w:color="E0E0E0"/>
              <w:bottom w:val="single" w:sz="8" w:color="E0E0E0"/>
            </w:tcBorders>
          </w:tcPr>
          <w:p>
            <w:pPr>
              <w:jc w:val="right"/>
              <w:spacing w:after="0"/>
              <w:rPr>
                <w:sz w:val="20"/>
                <w:szCs w:val="20"/>
                <w:color w:val="auto"/>
              </w:rPr>
            </w:pPr>
            <w:r>
              <w:rPr>
                <w:rFonts w:ascii="Arial" w:cs="Arial" w:eastAsia="Arial" w:hAnsi="Arial"/>
                <w:sz w:val="16"/>
                <w:szCs w:val="16"/>
                <w:color w:val="auto"/>
                <w:w w:val="74"/>
              </w:rPr>
              <w:t>)</w:t>
            </w:r>
          </w:p>
        </w:tc>
      </w:tr>
      <w:tr>
        <w:trPr>
          <w:trHeight w:val="234"/>
        </w:trPr>
        <w:tc>
          <w:tcPr>
            <w:tcW w:w="6260" w:type="dxa"/>
            <w:vAlign w:val="bottom"/>
            <w:shd w:val="clear" w:color="auto" w:fill="E0E0E0"/>
          </w:tcPr>
          <w:p>
            <w:pPr>
              <w:spacing w:after="0"/>
              <w:rPr>
                <w:sz w:val="20"/>
                <w:szCs w:val="20"/>
                <w:color w:val="auto"/>
              </w:rPr>
            </w:pPr>
            <w:r>
              <w:rPr>
                <w:rFonts w:ascii="Arial" w:cs="Arial" w:eastAsia="Arial" w:hAnsi="Arial"/>
                <w:sz w:val="20"/>
                <w:szCs w:val="20"/>
                <w:b w:val="1"/>
                <w:bCs w:val="1"/>
                <w:color w:val="auto"/>
              </w:rPr>
              <w:t>Investing activities</w:t>
            </w:r>
          </w:p>
        </w:tc>
        <w:tc>
          <w:tcPr>
            <w:tcW w:w="16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04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6260" w:type="dxa"/>
            <w:vAlign w:val="bottom"/>
          </w:tcPr>
          <w:p>
            <w:pPr>
              <w:ind w:left="280"/>
              <w:spacing w:after="0"/>
              <w:rPr>
                <w:sz w:val="20"/>
                <w:szCs w:val="20"/>
                <w:color w:val="auto"/>
              </w:rPr>
            </w:pPr>
            <w:r>
              <w:rPr>
                <w:rFonts w:ascii="Arial" w:cs="Arial" w:eastAsia="Arial" w:hAnsi="Arial"/>
                <w:sz w:val="20"/>
                <w:szCs w:val="20"/>
                <w:color w:val="auto"/>
              </w:rPr>
              <w:t>Purchases of available-for-sale securities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(14,134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(27,671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4"/>
        </w:trPr>
        <w:tc>
          <w:tcPr>
            <w:tcW w:w="6260" w:type="dxa"/>
            <w:vAlign w:val="bottom"/>
            <w:shd w:val="clear" w:color="auto" w:fill="E0E0E0"/>
          </w:tcPr>
          <w:p>
            <w:pPr>
              <w:ind w:left="280"/>
              <w:spacing w:after="0"/>
              <w:rPr>
                <w:sz w:val="20"/>
                <w:szCs w:val="20"/>
                <w:color w:val="auto"/>
              </w:rPr>
            </w:pPr>
            <w:r>
              <w:rPr>
                <w:rFonts w:ascii="Arial" w:cs="Arial" w:eastAsia="Arial" w:hAnsi="Arial"/>
                <w:sz w:val="20"/>
                <w:szCs w:val="20"/>
                <w:color w:val="auto"/>
              </w:rPr>
              <w:t>Maturities of available-for-sale securities</w:t>
            </w:r>
          </w:p>
        </w:tc>
        <w:tc>
          <w:tcPr>
            <w:tcW w:w="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68,997</w:t>
            </w: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123,064</w:t>
            </w:r>
          </w:p>
        </w:tc>
        <w:tc>
          <w:tcPr>
            <w:tcW w:w="80" w:type="dxa"/>
            <w:vAlign w:val="bottom"/>
            <w:shd w:val="clear" w:color="auto" w:fill="E0E0E0"/>
          </w:tcPr>
          <w:p>
            <w:pPr>
              <w:spacing w:after="0"/>
              <w:rPr>
                <w:sz w:val="21"/>
                <w:szCs w:val="21"/>
                <w:color w:val="auto"/>
              </w:rPr>
            </w:pPr>
          </w:p>
        </w:tc>
      </w:tr>
      <w:tr>
        <w:trPr>
          <w:trHeight w:val="244"/>
        </w:trPr>
        <w:tc>
          <w:tcPr>
            <w:tcW w:w="6260" w:type="dxa"/>
            <w:vAlign w:val="bottom"/>
          </w:tcPr>
          <w:p>
            <w:pPr>
              <w:ind w:left="280"/>
              <w:spacing w:after="0"/>
              <w:rPr>
                <w:sz w:val="20"/>
                <w:szCs w:val="20"/>
                <w:color w:val="auto"/>
              </w:rPr>
            </w:pPr>
            <w:r>
              <w:rPr>
                <w:rFonts w:ascii="Arial" w:cs="Arial" w:eastAsia="Arial" w:hAnsi="Arial"/>
                <w:sz w:val="20"/>
                <w:szCs w:val="20"/>
                <w:color w:val="auto"/>
              </w:rPr>
              <w:t>Purchases of property and equipment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(33 )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(304 )</w:t>
            </w:r>
          </w:p>
        </w:tc>
      </w:tr>
      <w:tr>
        <w:trPr>
          <w:trHeight w:val="254"/>
        </w:trPr>
        <w:tc>
          <w:tcPr>
            <w:tcW w:w="6260" w:type="dxa"/>
            <w:vAlign w:val="bottom"/>
            <w:tcBorders>
              <w:top w:val="single" w:sz="8" w:color="E0E0E0"/>
              <w:bottom w:val="single" w:sz="8" w:color="E0E0E0"/>
            </w:tcBorders>
            <w:shd w:val="clear" w:color="auto" w:fill="E0E0E0"/>
          </w:tcPr>
          <w:p>
            <w:pPr>
              <w:ind w:left="1120"/>
              <w:spacing w:after="0"/>
              <w:rPr>
                <w:sz w:val="20"/>
                <w:szCs w:val="20"/>
                <w:color w:val="auto"/>
              </w:rPr>
            </w:pPr>
            <w:r>
              <w:rPr>
                <w:rFonts w:ascii="Arial" w:cs="Arial" w:eastAsia="Arial" w:hAnsi="Arial"/>
                <w:sz w:val="20"/>
                <w:szCs w:val="20"/>
                <w:color w:val="auto"/>
              </w:rPr>
              <w:t>Net cash provided by investing activities</w:t>
            </w:r>
          </w:p>
        </w:tc>
        <w:tc>
          <w:tcPr>
            <w:tcW w:w="160" w:type="dxa"/>
            <w:vAlign w:val="bottom"/>
            <w:tcBorders>
              <w:top w:val="single" w:sz="8" w:color="E0E0E0"/>
              <w:bottom w:val="single" w:sz="8" w:color="E0E0E0"/>
            </w:tcBorders>
            <w:shd w:val="clear" w:color="auto" w:fill="E0E0E0"/>
          </w:tcPr>
          <w:p>
            <w:pPr>
              <w:spacing w:after="0"/>
              <w:rPr>
                <w:sz w:val="22"/>
                <w:szCs w:val="22"/>
                <w:color w:val="auto"/>
              </w:rPr>
            </w:pPr>
          </w:p>
        </w:tc>
        <w:tc>
          <w:tcPr>
            <w:tcW w:w="260" w:type="dxa"/>
            <w:vAlign w:val="bottom"/>
            <w:tcBorders>
              <w:top w:val="single" w:sz="8" w:color="auto"/>
              <w:bottom w:val="single" w:sz="8" w:color="auto"/>
            </w:tcBorders>
            <w:shd w:val="clear" w:color="auto" w:fill="E0E0E0"/>
          </w:tcPr>
          <w:p>
            <w:pPr>
              <w:spacing w:after="0"/>
              <w:rPr>
                <w:sz w:val="22"/>
                <w:szCs w:val="22"/>
                <w:color w:val="auto"/>
              </w:rPr>
            </w:pP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54,830</w:t>
            </w:r>
          </w:p>
        </w:tc>
        <w:tc>
          <w:tcPr>
            <w:tcW w:w="160" w:type="dxa"/>
            <w:vAlign w:val="bottom"/>
            <w:tcBorders>
              <w:top w:val="single" w:sz="8" w:color="E0E0E0"/>
              <w:bottom w:val="single" w:sz="8" w:color="E0E0E0"/>
            </w:tcBorders>
            <w:shd w:val="clear" w:color="auto" w:fill="E0E0E0"/>
          </w:tcPr>
          <w:p>
            <w:pPr>
              <w:spacing w:after="0"/>
              <w:rPr>
                <w:sz w:val="22"/>
                <w:szCs w:val="22"/>
                <w:color w:val="auto"/>
              </w:rPr>
            </w:pPr>
          </w:p>
        </w:tc>
        <w:tc>
          <w:tcPr>
            <w:tcW w:w="80" w:type="dxa"/>
            <w:vAlign w:val="bottom"/>
            <w:tcBorders>
              <w:top w:val="single" w:sz="8" w:color="E0E0E0"/>
              <w:bottom w:val="single" w:sz="8" w:color="E0E0E0"/>
            </w:tcBorders>
            <w:shd w:val="clear" w:color="auto" w:fill="E0E0E0"/>
          </w:tcPr>
          <w:p>
            <w:pPr>
              <w:spacing w:after="0"/>
              <w:rPr>
                <w:sz w:val="22"/>
                <w:szCs w:val="22"/>
                <w:color w:val="auto"/>
              </w:rPr>
            </w:pPr>
          </w:p>
        </w:tc>
        <w:tc>
          <w:tcPr>
            <w:tcW w:w="280" w:type="dxa"/>
            <w:vAlign w:val="bottom"/>
            <w:tcBorders>
              <w:top w:val="single" w:sz="8" w:color="auto"/>
              <w:bottom w:val="single" w:sz="8" w:color="auto"/>
            </w:tcBorders>
            <w:shd w:val="clear" w:color="auto" w:fill="E0E0E0"/>
          </w:tcPr>
          <w:p>
            <w:pPr>
              <w:spacing w:after="0"/>
              <w:rPr>
                <w:sz w:val="22"/>
                <w:szCs w:val="22"/>
                <w:color w:val="auto"/>
              </w:rPr>
            </w:pP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95,089</w:t>
            </w:r>
          </w:p>
        </w:tc>
        <w:tc>
          <w:tcPr>
            <w:tcW w:w="8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14"/>
        </w:trPr>
        <w:tc>
          <w:tcPr>
            <w:tcW w:w="6260" w:type="dxa"/>
            <w:vAlign w:val="bottom"/>
          </w:tcPr>
          <w:p>
            <w:pPr>
              <w:spacing w:after="0" w:line="214" w:lineRule="exact"/>
              <w:rPr>
                <w:sz w:val="20"/>
                <w:szCs w:val="20"/>
                <w:color w:val="auto"/>
              </w:rPr>
            </w:pPr>
            <w:r>
              <w:rPr>
                <w:rFonts w:ascii="Arial" w:cs="Arial" w:eastAsia="Arial" w:hAnsi="Arial"/>
                <w:sz w:val="20"/>
                <w:szCs w:val="20"/>
                <w:b w:val="1"/>
                <w:bCs w:val="1"/>
                <w:color w:val="auto"/>
              </w:rPr>
              <w:t>Financing activities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6260" w:type="dxa"/>
            <w:vAlign w:val="bottom"/>
            <w:shd w:val="clear" w:color="auto" w:fill="E0E0E0"/>
          </w:tcPr>
          <w:p>
            <w:pPr>
              <w:ind w:left="280"/>
              <w:spacing w:after="0" w:line="225" w:lineRule="exact"/>
              <w:rPr>
                <w:sz w:val="20"/>
                <w:szCs w:val="20"/>
                <w:color w:val="auto"/>
              </w:rPr>
            </w:pPr>
            <w:r>
              <w:rPr>
                <w:rFonts w:ascii="Arial" w:cs="Arial" w:eastAsia="Arial" w:hAnsi="Arial"/>
                <w:sz w:val="20"/>
                <w:szCs w:val="20"/>
                <w:color w:val="auto"/>
              </w:rPr>
              <w:t>Proceeds from exercise of common stock options and issuance</w:t>
            </w:r>
          </w:p>
        </w:tc>
        <w:tc>
          <w:tcPr>
            <w:tcW w:w="16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69"/>
        </w:trPr>
        <w:tc>
          <w:tcPr>
            <w:tcW w:w="6260" w:type="dxa"/>
            <w:vAlign w:val="bottom"/>
            <w:tcBorders>
              <w:bottom w:val="single" w:sz="8" w:color="E0E0E0"/>
            </w:tcBorders>
            <w:shd w:val="clear" w:color="auto" w:fill="E0E0E0"/>
          </w:tcPr>
          <w:p>
            <w:pPr>
              <w:ind w:left="440"/>
              <w:spacing w:after="0"/>
              <w:rPr>
                <w:sz w:val="20"/>
                <w:szCs w:val="20"/>
                <w:color w:val="auto"/>
              </w:rPr>
            </w:pPr>
            <w:r>
              <w:rPr>
                <w:rFonts w:ascii="Arial" w:cs="Arial" w:eastAsia="Arial" w:hAnsi="Arial"/>
                <w:sz w:val="20"/>
                <w:szCs w:val="20"/>
                <w:color w:val="auto"/>
              </w:rPr>
              <w:t>of common stock under employee stock purchase plan</w:t>
            </w:r>
          </w:p>
        </w:tc>
        <w:tc>
          <w:tcPr>
            <w:tcW w:w="160" w:type="dxa"/>
            <w:vAlign w:val="bottom"/>
            <w:tcBorders>
              <w:bottom w:val="single" w:sz="8" w:color="E0E0E0"/>
            </w:tcBorders>
            <w:shd w:val="clear" w:color="auto" w:fill="E0E0E0"/>
          </w:tcPr>
          <w:p>
            <w:pPr>
              <w:spacing w:after="0"/>
              <w:rPr>
                <w:sz w:val="23"/>
                <w:szCs w:val="23"/>
                <w:color w:val="auto"/>
              </w:rPr>
            </w:pPr>
          </w:p>
        </w:tc>
        <w:tc>
          <w:tcPr>
            <w:tcW w:w="260" w:type="dxa"/>
            <w:vAlign w:val="bottom"/>
            <w:tcBorders>
              <w:bottom w:val="single" w:sz="8" w:color="auto"/>
            </w:tcBorders>
            <w:shd w:val="clear" w:color="auto" w:fill="E0E0E0"/>
          </w:tcPr>
          <w:p>
            <w:pPr>
              <w:spacing w:after="0"/>
              <w:rPr>
                <w:sz w:val="23"/>
                <w:szCs w:val="23"/>
                <w:color w:val="auto"/>
              </w:rPr>
            </w:pPr>
          </w:p>
        </w:tc>
        <w:tc>
          <w:tcPr>
            <w:tcW w:w="10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194</w:t>
            </w:r>
          </w:p>
        </w:tc>
        <w:tc>
          <w:tcPr>
            <w:tcW w:w="160" w:type="dxa"/>
            <w:vAlign w:val="bottom"/>
            <w:tcBorders>
              <w:bottom w:val="single" w:sz="8" w:color="E0E0E0"/>
            </w:tcBorders>
            <w:shd w:val="clear" w:color="auto" w:fill="E0E0E0"/>
          </w:tcPr>
          <w:p>
            <w:pPr>
              <w:spacing w:after="0"/>
              <w:rPr>
                <w:sz w:val="23"/>
                <w:szCs w:val="23"/>
                <w:color w:val="auto"/>
              </w:rPr>
            </w:pPr>
          </w:p>
        </w:tc>
        <w:tc>
          <w:tcPr>
            <w:tcW w:w="80" w:type="dxa"/>
            <w:vAlign w:val="bottom"/>
            <w:tcBorders>
              <w:bottom w:val="single" w:sz="8" w:color="E0E0E0"/>
            </w:tcBorders>
            <w:shd w:val="clear" w:color="auto" w:fill="E0E0E0"/>
          </w:tcPr>
          <w:p>
            <w:pPr>
              <w:spacing w:after="0"/>
              <w:rPr>
                <w:sz w:val="23"/>
                <w:szCs w:val="23"/>
                <w:color w:val="auto"/>
              </w:rPr>
            </w:pPr>
          </w:p>
        </w:tc>
        <w:tc>
          <w:tcPr>
            <w:tcW w:w="280" w:type="dxa"/>
            <w:vAlign w:val="bottom"/>
            <w:tcBorders>
              <w:bottom w:val="single" w:sz="8" w:color="auto"/>
            </w:tcBorders>
            <w:shd w:val="clear" w:color="auto" w:fill="E0E0E0"/>
          </w:tcPr>
          <w:p>
            <w:pPr>
              <w:spacing w:after="0"/>
              <w:rPr>
                <w:sz w:val="23"/>
                <w:szCs w:val="23"/>
                <w:color w:val="auto"/>
              </w:rPr>
            </w:pPr>
          </w:p>
        </w:tc>
        <w:tc>
          <w:tcPr>
            <w:tcW w:w="10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493</w:t>
            </w:r>
          </w:p>
        </w:tc>
        <w:tc>
          <w:tcPr>
            <w:tcW w:w="80" w:type="dxa"/>
            <w:vAlign w:val="bottom"/>
            <w:tcBorders>
              <w:bottom w:val="single" w:sz="8" w:color="E0E0E0"/>
            </w:tcBorders>
            <w:shd w:val="clear" w:color="auto" w:fill="E0E0E0"/>
          </w:tcPr>
          <w:p>
            <w:pPr>
              <w:spacing w:after="0"/>
              <w:rPr>
                <w:sz w:val="23"/>
                <w:szCs w:val="23"/>
                <w:color w:val="auto"/>
              </w:rPr>
            </w:pPr>
          </w:p>
        </w:tc>
      </w:tr>
      <w:tr>
        <w:trPr>
          <w:trHeight w:val="214"/>
        </w:trPr>
        <w:tc>
          <w:tcPr>
            <w:tcW w:w="6260" w:type="dxa"/>
            <w:vAlign w:val="bottom"/>
            <w:tcBorders>
              <w:bottom w:val="single" w:sz="8" w:color="E0E0E0"/>
            </w:tcBorders>
          </w:tcPr>
          <w:p>
            <w:pPr>
              <w:ind w:left="1120"/>
              <w:spacing w:after="0" w:line="214" w:lineRule="exact"/>
              <w:rPr>
                <w:sz w:val="20"/>
                <w:szCs w:val="20"/>
                <w:color w:val="auto"/>
              </w:rPr>
            </w:pPr>
            <w:r>
              <w:rPr>
                <w:rFonts w:ascii="Arial" w:cs="Arial" w:eastAsia="Arial" w:hAnsi="Arial"/>
                <w:sz w:val="20"/>
                <w:szCs w:val="20"/>
                <w:color w:val="auto"/>
              </w:rPr>
              <w:t>Net cash provided by financing activities</w:t>
            </w:r>
          </w:p>
        </w:tc>
        <w:tc>
          <w:tcPr>
            <w:tcW w:w="160" w:type="dxa"/>
            <w:vAlign w:val="bottom"/>
            <w:tcBorders>
              <w:bottom w:val="single" w:sz="8" w:color="E0E0E0"/>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20"/>
                <w:szCs w:val="20"/>
                <w:color w:val="auto"/>
              </w:rPr>
              <w:t>194</w:t>
            </w:r>
          </w:p>
        </w:tc>
        <w:tc>
          <w:tcPr>
            <w:tcW w:w="16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20"/>
                <w:szCs w:val="20"/>
                <w:color w:val="auto"/>
              </w:rPr>
              <w:t>493</w:t>
            </w:r>
          </w:p>
        </w:tc>
        <w:tc>
          <w:tcPr>
            <w:tcW w:w="80" w:type="dxa"/>
            <w:vAlign w:val="bottom"/>
            <w:tcBorders>
              <w:bottom w:val="single" w:sz="8" w:color="E0E0E0"/>
            </w:tcBorders>
          </w:tcPr>
          <w:p>
            <w:pPr>
              <w:spacing w:after="0"/>
              <w:rPr>
                <w:sz w:val="18"/>
                <w:szCs w:val="18"/>
                <w:color w:val="auto"/>
              </w:rPr>
            </w:pPr>
          </w:p>
        </w:tc>
      </w:tr>
      <w:tr>
        <w:trPr>
          <w:trHeight w:val="234"/>
        </w:trPr>
        <w:tc>
          <w:tcPr>
            <w:tcW w:w="6260" w:type="dxa"/>
            <w:vAlign w:val="bottom"/>
            <w:shd w:val="clear" w:color="auto" w:fill="E0E0E0"/>
          </w:tcPr>
          <w:p>
            <w:pPr>
              <w:spacing w:after="0"/>
              <w:rPr>
                <w:sz w:val="20"/>
                <w:szCs w:val="20"/>
                <w:color w:val="auto"/>
              </w:rPr>
            </w:pPr>
            <w:r>
              <w:rPr>
                <w:rFonts w:ascii="Arial" w:cs="Arial" w:eastAsia="Arial" w:hAnsi="Arial"/>
                <w:sz w:val="20"/>
                <w:szCs w:val="20"/>
                <w:color w:val="auto"/>
              </w:rPr>
              <w:t>Net decrease in cash, cash equivalents and restricted cash</w:t>
            </w:r>
          </w:p>
        </w:tc>
        <w:tc>
          <w:tcPr>
            <w:tcW w:w="16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(42,146</w:t>
            </w:r>
          </w:p>
        </w:tc>
        <w:tc>
          <w:tcPr>
            <w:tcW w:w="160" w:type="dxa"/>
            <w:vAlign w:val="bottom"/>
            <w:shd w:val="clear" w:color="auto" w:fill="E0E0E0"/>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(5,171</w:t>
            </w:r>
          </w:p>
        </w:tc>
        <w:tc>
          <w:tcPr>
            <w:tcW w:w="80" w:type="dxa"/>
            <w:vAlign w:val="bottom"/>
            <w:shd w:val="clear" w:color="auto" w:fill="E0E0E0"/>
          </w:tcPr>
          <w:p>
            <w:pPr>
              <w:jc w:val="right"/>
              <w:spacing w:after="0"/>
              <w:rPr>
                <w:sz w:val="20"/>
                <w:szCs w:val="20"/>
                <w:color w:val="auto"/>
              </w:rPr>
            </w:pPr>
            <w:r>
              <w:rPr>
                <w:rFonts w:ascii="Arial" w:cs="Arial" w:eastAsia="Arial" w:hAnsi="Arial"/>
                <w:sz w:val="16"/>
                <w:szCs w:val="16"/>
                <w:color w:val="auto"/>
                <w:w w:val="74"/>
                <w:shd w:val="clear" w:color="auto" w:fill="E0E0E0"/>
              </w:rPr>
              <w:t>)</w:t>
            </w:r>
          </w:p>
        </w:tc>
      </w:tr>
      <w:tr>
        <w:trPr>
          <w:trHeight w:val="244"/>
        </w:trPr>
        <w:tc>
          <w:tcPr>
            <w:tcW w:w="626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Cash, cash equivalents and restricted cash, beginning of period</w:t>
            </w:r>
          </w:p>
        </w:tc>
        <w:tc>
          <w:tcPr>
            <w:tcW w:w="16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91,215</w:t>
            </w:r>
          </w:p>
        </w:tc>
        <w:tc>
          <w:tcPr>
            <w:tcW w:w="16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96,386</w:t>
            </w:r>
          </w:p>
        </w:tc>
        <w:tc>
          <w:tcPr>
            <w:tcW w:w="80" w:type="dxa"/>
            <w:vAlign w:val="bottom"/>
            <w:tcBorders>
              <w:bottom w:val="single" w:sz="8" w:color="E0E0E0"/>
            </w:tcBorders>
          </w:tcPr>
          <w:p>
            <w:pPr>
              <w:spacing w:after="0"/>
              <w:rPr>
                <w:sz w:val="21"/>
                <w:szCs w:val="21"/>
                <w:color w:val="auto"/>
              </w:rPr>
            </w:pPr>
          </w:p>
        </w:tc>
      </w:tr>
      <w:tr>
        <w:trPr>
          <w:trHeight w:val="234"/>
        </w:trPr>
        <w:tc>
          <w:tcPr>
            <w:tcW w:w="6260" w:type="dxa"/>
            <w:vAlign w:val="bottom"/>
            <w:shd w:val="clear" w:color="auto" w:fill="E0E0E0"/>
          </w:tcPr>
          <w:p>
            <w:pPr>
              <w:spacing w:after="0"/>
              <w:rPr>
                <w:sz w:val="20"/>
                <w:szCs w:val="20"/>
                <w:color w:val="auto"/>
              </w:rPr>
            </w:pPr>
            <w:r>
              <w:rPr>
                <w:rFonts w:ascii="Arial" w:cs="Arial" w:eastAsia="Arial" w:hAnsi="Arial"/>
                <w:sz w:val="20"/>
                <w:szCs w:val="20"/>
                <w:color w:val="auto"/>
              </w:rPr>
              <w:t>Cash, cash equivalents and restricted cash, end of period</w:t>
            </w:r>
          </w:p>
        </w:tc>
        <w:tc>
          <w:tcPr>
            <w:tcW w:w="160" w:type="dxa"/>
            <w:vAlign w:val="bottom"/>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jc w:val="right"/>
              <w:ind w:right="60"/>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49,069</w:t>
            </w:r>
          </w:p>
        </w:tc>
        <w:tc>
          <w:tcPr>
            <w:tcW w:w="1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91,215</w:t>
            </w:r>
          </w:p>
        </w:tc>
        <w:tc>
          <w:tcPr>
            <w:tcW w:w="80" w:type="dxa"/>
            <w:vAlign w:val="bottom"/>
            <w:shd w:val="clear" w:color="auto" w:fill="E0E0E0"/>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ectPr>
          <w:pgSz w:w="12240" w:h="15840" w:orient="portrait"/>
          <w:cols w:equalWidth="0" w:num="1">
            <w:col w:w="9360"/>
          </w:cols>
          <w:pgMar w:left="1440" w:top="1416" w:right="1440" w:bottom="186" w:gutter="0" w:footer="0" w:header="0"/>
          <w:type w:val="continuous"/>
        </w:sectPr>
      </w:pPr>
    </w:p>
    <w:bookmarkStart w:id="130" w:name="page131"/>
    <w:bookmarkEnd w:id="130"/>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10" w:lineRule="exact"/>
        <w:rPr>
          <w:sz w:val="20"/>
          <w:szCs w:val="20"/>
          <w:color w:val="auto"/>
        </w:rPr>
      </w:pPr>
    </w:p>
    <w:p>
      <w:pPr>
        <w:ind w:left="500" w:right="6840" w:hanging="500"/>
        <w:spacing w:after="0" w:line="386" w:lineRule="auto"/>
        <w:tabs>
          <w:tab w:leader="none" w:pos="232"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Description of Business </w:t>
      </w:r>
      <w:r>
        <w:rPr>
          <w:rFonts w:ascii="Arial" w:cs="Arial" w:eastAsia="Arial" w:hAnsi="Arial"/>
          <w:sz w:val="19"/>
          <w:szCs w:val="19"/>
          <w:b w:val="1"/>
          <w:bCs w:val="1"/>
          <w:i w:val="1"/>
          <w:iCs w:val="1"/>
          <w:color w:val="auto"/>
        </w:rPr>
        <w:t>Organization</w:t>
      </w:r>
    </w:p>
    <w:p>
      <w:pPr>
        <w:spacing w:after="0" w:line="1"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Athira Pharma, Inc., or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Washington. The Company is a clinical-stage biopharmaceutical company focused on developing small molecules to restore neuronal health and slow neurodegeneration.</w:t>
      </w:r>
    </w:p>
    <w:p>
      <w:pPr>
        <w:spacing w:after="0" w:line="31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11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December 31, 2024, it has raised aggregate net cash proceeds of $407.4 million primarily from the issuance of its common stock (excluding option exercises), convertible preferred stock, common stock warrants, and convertible notes.</w:t>
      </w:r>
    </w:p>
    <w:p>
      <w:pPr>
        <w:spacing w:after="0" w:line="7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As of December 31, 2024, the Company had cash, cash equivalents and investments of $51.3 million. The Company’s net loss for the year ended December 31, 2024 was $96.9 million and cash used in operations for the year ended December 31, 2024 was $97.2 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193"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9"/>
          <w:szCs w:val="19"/>
          <w:color w:val="auto"/>
        </w:rPr>
        <w:t>Based upon the Company’s current operating plan, it estimates that its $51.3 million of cash, cash equivalents and investments at December 31, 2024 will be sufficient to fund its operating expenses and capital expenditure requirements through at least the next 12 months following the date of the Company’s Annual Report on Form 10-K. Historically, the Company has incurred net losses from continuing operations and negative operating cash flows. The Company has not yet established an ongoing source of revenue sufficient to cover its operating costs; therefore, the Company expects it will need to continue to raise additional capital to accomplish its operating plan. The Company has a sales agreement in place with Cantor Fitzgerald &amp; Co., or Cantor Fitzgerald, and BTIG, LLC, or BTIG, for an “at the market” equity offering facility through which it may offer and sell shares of its common stock equaling an aggregate amount up to $75.0 million, subject to applicable limitations on sales pursuant to SEC rules and regulations pertaining to the Company’s Registration Statement on Form S-3.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Significant Accounting Policies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consolidated financial statements have been prepared in conformity with U.S. generally accepted accounting principles, or U.S. GAAP. The consolidated financial statements include the operations of Athira Pharma, Inc., and its wholly owned Australian subsidiary. All intercompany balances and transactions have been eliminated upon consolidation.</w:t>
      </w:r>
    </w:p>
    <w:p>
      <w:pPr>
        <w:sectPr>
          <w:pgSz w:w="12240" w:h="15840" w:orient="portrait"/>
          <w:cols w:equalWidth="0" w:num="1">
            <w:col w:w="9360"/>
          </w:cols>
          <w:pgMar w:left="1440" w:top="144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ectPr>
          <w:pgSz w:w="12240" w:h="15840" w:orient="portrait"/>
          <w:cols w:equalWidth="0" w:num="1">
            <w:col w:w="9360"/>
          </w:cols>
          <w:pgMar w:left="1440" w:top="1440" w:right="1440" w:bottom="186" w:gutter="0" w:footer="0" w:header="0"/>
          <w:type w:val="continuous"/>
        </w:sectPr>
      </w:pPr>
    </w:p>
    <w:bookmarkStart w:id="131" w:name="page132"/>
    <w:bookmarkEnd w:id="131"/>
    <w:p>
      <w:pPr>
        <w:ind w:left="500"/>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1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31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1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Company considers highly liquid investments with original maturities of three months or less to be cash equivalents.</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Restricted Cash</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Restricted cash consists of collateral pledged in connection with the Company's corporate credit cards. The table below reconciles the balances of cash and cash equivalents and restricted cash reported on the consolidated balance sheets to the balances of cash, cash equivalents and restricted cash reported on the consolidated statements of cash flows.</w:t>
      </w:r>
    </w:p>
    <w:p>
      <w:pPr>
        <w:spacing w:after="0" w:line="67"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7"/>
                <w:szCs w:val="17"/>
                <w:color w:val="auto"/>
              </w:rPr>
            </w:pPr>
          </w:p>
        </w:tc>
      </w:tr>
      <w:tr>
        <w:trPr>
          <w:trHeight w:val="174"/>
        </w:trPr>
        <w:tc>
          <w:tcPr>
            <w:tcW w:w="500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line="174" w:lineRule="exact"/>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5"/>
              <w:spacing w:after="0" w:line="174"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0E0E0"/>
            </w:tcBorders>
          </w:tcPr>
          <w:p>
            <w:pPr>
              <w:spacing w:after="0"/>
              <w:rPr>
                <w:sz w:val="15"/>
                <w:szCs w:val="15"/>
                <w:color w:val="auto"/>
              </w:rPr>
            </w:pPr>
          </w:p>
        </w:tc>
      </w:tr>
      <w:tr>
        <w:trPr>
          <w:trHeight w:val="220"/>
        </w:trPr>
        <w:tc>
          <w:tcPr>
            <w:tcW w:w="50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Cash and cash equivalents</w:t>
            </w:r>
          </w:p>
        </w:tc>
        <w:tc>
          <w:tcPr>
            <w:tcW w:w="120" w:type="dxa"/>
            <w:vAlign w:val="bottom"/>
            <w:shd w:val="clear" w:color="auto" w:fill="E0E0E0"/>
          </w:tcPr>
          <w:p>
            <w:pPr>
              <w:spacing w:after="0"/>
              <w:rPr>
                <w:sz w:val="19"/>
                <w:szCs w:val="19"/>
                <w:color w:val="auto"/>
              </w:rPr>
            </w:pPr>
          </w:p>
        </w:tc>
        <w:tc>
          <w:tcPr>
            <w:tcW w:w="2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48,438</w:t>
            </w: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90,584</w:t>
            </w:r>
          </w:p>
        </w:tc>
        <w:tc>
          <w:tcPr>
            <w:tcW w:w="60" w:type="dxa"/>
            <w:vAlign w:val="bottom"/>
            <w:shd w:val="clear" w:color="auto" w:fill="E0E0E0"/>
          </w:tcPr>
          <w:p>
            <w:pPr>
              <w:spacing w:after="0"/>
              <w:rPr>
                <w:sz w:val="19"/>
                <w:szCs w:val="19"/>
                <w:color w:val="auto"/>
              </w:rPr>
            </w:pPr>
          </w:p>
        </w:tc>
      </w:tr>
      <w:tr>
        <w:trPr>
          <w:trHeight w:val="230"/>
        </w:trPr>
        <w:tc>
          <w:tcPr>
            <w:tcW w:w="500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Restricted cash</w:t>
            </w:r>
          </w:p>
        </w:tc>
        <w:tc>
          <w:tcPr>
            <w:tcW w:w="120" w:type="dxa"/>
            <w:vAlign w:val="bottom"/>
            <w:tcBorders>
              <w:bottom w:val="single" w:sz="8" w:color="E0E0E0"/>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w:t>
            </w:r>
          </w:p>
        </w:tc>
        <w:tc>
          <w:tcPr>
            <w:tcW w:w="180" w:type="dxa"/>
            <w:vAlign w:val="bottom"/>
            <w:tcBorders>
              <w:bottom w:val="single" w:sz="8" w:color="E0E0E0"/>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w:t>
            </w:r>
          </w:p>
        </w:tc>
        <w:tc>
          <w:tcPr>
            <w:tcW w:w="60" w:type="dxa"/>
            <w:vAlign w:val="bottom"/>
            <w:tcBorders>
              <w:bottom w:val="single" w:sz="8" w:color="E0E0E0"/>
            </w:tcBorders>
          </w:tcPr>
          <w:p>
            <w:pPr>
              <w:spacing w:after="0"/>
              <w:rPr>
                <w:sz w:val="19"/>
                <w:szCs w:val="19"/>
                <w:color w:val="auto"/>
              </w:rPr>
            </w:pPr>
          </w:p>
        </w:tc>
      </w:tr>
      <w:tr>
        <w:trPr>
          <w:trHeight w:val="220"/>
        </w:trPr>
        <w:tc>
          <w:tcPr>
            <w:tcW w:w="50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Cash, cash equivalents and restricted cash</w:t>
            </w:r>
          </w:p>
        </w:tc>
        <w:tc>
          <w:tcPr>
            <w:tcW w:w="120" w:type="dxa"/>
            <w:vAlign w:val="bottom"/>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8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49,069</w:t>
            </w:r>
          </w:p>
        </w:tc>
        <w:tc>
          <w:tcPr>
            <w:tcW w:w="180" w:type="dxa"/>
            <w:vAlign w:val="bottom"/>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jc w:val="right"/>
              <w:ind w:right="20"/>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8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91,215</w:t>
            </w:r>
          </w:p>
        </w:tc>
        <w:tc>
          <w:tcPr>
            <w:tcW w:w="60" w:type="dxa"/>
            <w:vAlign w:val="bottom"/>
            <w:shd w:val="clear" w:color="auto" w:fill="E0E0E0"/>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Short-term Investments</w:t>
      </w:r>
    </w:p>
    <w:p>
      <w:pPr>
        <w:spacing w:after="0" w:line="11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The Company generally invests its excess cash in investment grade short- to intermediate-term fixed income securities. Such investments are included in cash and cash equivalents, and short-term investments on the consolidated balance sheets, classified as available-for-sale, and reported at fair value with unrealized gains and losses included in accumulated other comprehensive income (loss). Amortization and accretion are included in other income, net. Realized gains and losses on the sale of these securities are recognized in other income, net.</w:t>
      </w:r>
    </w:p>
    <w:p>
      <w:pPr>
        <w:spacing w:after="0" w:line="19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116"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9"/>
          <w:szCs w:val="19"/>
          <w:color w:val="auto"/>
        </w:rPr>
        <w:t>Property and equipment consist of computer equipment, computer software, laboratory equipment, leasehold improvements and furniture and office equipment. Property and equipment, excluding leasehold improvements, are recorded at cost and depreciation is recognized using the straight-line method based on estimated useful life, generally three to five years. Leasehold improvements are amortized over the</w:t>
      </w:r>
    </w:p>
    <w:p>
      <w:pPr>
        <w:sectPr>
          <w:pgSz w:w="12240" w:h="15840" w:orient="portrait"/>
          <w:cols w:equalWidth="0" w:num="1">
            <w:col w:w="9360"/>
          </w:cols>
          <w:pgMar w:left="1440" w:top="1424"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2240" w:h="15840" w:orient="portrait"/>
          <w:cols w:equalWidth="0" w:num="1">
            <w:col w:w="9360"/>
          </w:cols>
          <w:pgMar w:left="1440" w:top="1424" w:right="1440" w:bottom="186" w:gutter="0" w:footer="0" w:header="0"/>
          <w:type w:val="continuous"/>
        </w:sectPr>
      </w:pPr>
    </w:p>
    <w:bookmarkStart w:id="132" w:name="page133"/>
    <w:bookmarkEnd w:id="132"/>
    <w:p>
      <w:pPr>
        <w:jc w:val="both"/>
        <w:spacing w:after="0" w:line="282" w:lineRule="auto"/>
        <w:rPr>
          <w:sz w:val="20"/>
          <w:szCs w:val="20"/>
          <w:color w:val="auto"/>
        </w:rPr>
      </w:pPr>
      <w:r>
        <w:rPr>
          <w:rFonts w:ascii="Arial" w:cs="Arial" w:eastAsia="Arial" w:hAnsi="Arial"/>
          <w:sz w:val="20"/>
          <w:szCs w:val="20"/>
          <w:color w:val="auto"/>
        </w:rPr>
        <w:t>shorter of their useful life or the remaining lease term. Maintenance and repairs are charged to expense as incurred, and costs of improvements are capitalized.</w:t>
      </w:r>
    </w:p>
    <w:p>
      <w:pPr>
        <w:spacing w:after="0" w:line="160"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Company reviews long-lived assets for impairment whenever events or circumstances indicate the carrying amount of an asset group may not be recoverable. Should an impairment exist, the impairment loss would be measured based on the excess of the asset's carrying amount over its fair value. Gains and losses from asset disposals and impairment losses are classified within the consolidated statements of operations and comprehensive loss in accordance with the use of the asset. There were no impairment losses in the years ended December 31, 2024 and 2023 as there have been no events warranting an impairment analysis.</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Fair Value Measurements</w:t>
      </w:r>
    </w:p>
    <w:p>
      <w:pPr>
        <w:spacing w:after="0" w:line="116"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carrying amounts of certain financial instruments, including cash, cash equivalents, restricted cash, investments, accounts payable and accrued expenses approximate their fair values due to the short-term nature of those amounts.</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Grant Income</w:t>
      </w:r>
    </w:p>
    <w:p>
      <w:pPr>
        <w:spacing w:after="0" w:line="116"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December 2020, the Company accepted a grant from the National Institute on Aging, or the NIA, of the National Institutes of Health, or the NIH, to support its ACT-AD Phase 2 clinical trial for fosgonimeton (then-named ATH-1017), the Company’s lead therapeutic candidate being developed for the treatment of individuals with mild-to-moderate Alzheimer’s disease. The Company recognizes income related to the NIH grant in the accompanying consolidated statements of operations and comprehensive loss as qualifying expenses under the grant agreement are incurred. As of December 31, 2024, the Company has recognized aggregate grant income of $15.2 million in connection with the NIH grant, equal to the total grant amount approved. The Company will not recognize any additional grant income in connection with the NIH grant in the future.</w:t>
      </w:r>
    </w:p>
    <w:p>
      <w:pPr>
        <w:spacing w:after="0" w:line="197"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During the year ended December 31, 2023, the Company recognized grant income of $0.2 million, and received cash of $1.4 million, in connection with the NIH grant. There was no grant income recognized or cash received in connection with the NIH grant during the year ended December 31, 2024.</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16"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94"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127</w:t>
      </w:r>
    </w:p>
    <w:p>
      <w:pPr>
        <w:sectPr>
          <w:pgSz w:w="12240" w:h="15840" w:orient="portrait"/>
          <w:cols w:equalWidth="0" w:num="1">
            <w:col w:w="9360"/>
          </w:cols>
          <w:pgMar w:left="1440" w:top="1420" w:right="1440" w:bottom="186" w:gutter="0" w:footer="0" w:header="0"/>
          <w:type w:val="continuous"/>
        </w:sectPr>
      </w:pPr>
    </w:p>
    <w:bookmarkStart w:id="133" w:name="page134"/>
    <w:bookmarkEnd w:id="133"/>
    <w:p>
      <w:pPr>
        <w:ind w:left="500"/>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116"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30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Leases</w:t>
      </w:r>
    </w:p>
    <w:p>
      <w:pPr>
        <w:spacing w:after="0" w:line="116"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 xml:space="preserve">The Company adopted Accounting Standards Codification, or ASC, </w:t>
      </w:r>
      <w:r>
        <w:rPr>
          <w:rFonts w:ascii="Arial" w:cs="Arial" w:eastAsia="Arial" w:hAnsi="Arial"/>
          <w:sz w:val="20"/>
          <w:szCs w:val="20"/>
          <w:i w:val="1"/>
          <w:iCs w:val="1"/>
          <w:color w:val="auto"/>
        </w:rPr>
        <w:t>Topic 842 – Leases</w:t>
      </w:r>
      <w:r>
        <w:rPr>
          <w:rFonts w:ascii="Arial" w:cs="Arial" w:eastAsia="Arial" w:hAnsi="Arial"/>
          <w:sz w:val="20"/>
          <w:szCs w:val="20"/>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or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spacing w:after="0" w:line="20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80"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9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1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193"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ectPr>
          <w:pgSz w:w="12240" w:h="15840" w:orient="portrait"/>
          <w:cols w:equalWidth="0" w:num="1">
            <w:col w:w="9360"/>
          </w:cols>
          <w:pgMar w:left="1440" w:top="1424" w:right="1440" w:bottom="186"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ectPr>
          <w:pgSz w:w="12240" w:h="15840" w:orient="portrait"/>
          <w:cols w:equalWidth="0" w:num="1">
            <w:col w:w="9360"/>
          </w:cols>
          <w:pgMar w:left="1440" w:top="1424" w:right="1440" w:bottom="186" w:gutter="0" w:footer="0" w:header="0"/>
          <w:type w:val="continuous"/>
        </w:sectPr>
      </w:pPr>
    </w:p>
    <w:bookmarkStart w:id="134" w:name="page135"/>
    <w:bookmarkEnd w:id="134"/>
    <w:p>
      <w:pPr>
        <w:ind w:left="500"/>
        <w:spacing w:after="0"/>
        <w:rPr>
          <w:sz w:val="20"/>
          <w:szCs w:val="20"/>
          <w:color w:val="auto"/>
        </w:rPr>
      </w:pPr>
      <w:r>
        <w:rPr>
          <w:rFonts w:ascii="Arial" w:cs="Arial" w:eastAsia="Arial" w:hAnsi="Arial"/>
          <w:sz w:val="20"/>
          <w:szCs w:val="20"/>
          <w:b w:val="1"/>
          <w:bCs w:val="1"/>
          <w:i w:val="1"/>
          <w:iCs w:val="1"/>
          <w:color w:val="auto"/>
        </w:rPr>
        <w:t>Income Taxes</w:t>
      </w:r>
    </w:p>
    <w:p>
      <w:pPr>
        <w:spacing w:after="0" w:line="11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3"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9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31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Comprehensive Loss Attributable to Common Stockholders</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Comprehensive loss attributable to common stockholders consists of net loss and other gains and losses affecting stockholders’ equity that, under U.S. GAAP, are excluded from net loss. The Company’s comprehensive loss attributable to common stockholders is comprised of net loss and unrealized gains and losses on available-for-sale securities.</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Net Loss Per Share Attributable to Common Stockholders</w:t>
      </w:r>
    </w:p>
    <w:p>
      <w:pPr>
        <w:spacing w:after="0" w:line="11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31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Foreign Currency Transaction Remeasurement Adjustments</w:t>
      </w:r>
    </w:p>
    <w:p>
      <w:pPr>
        <w:spacing w:after="0" w:line="116"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Monetary 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transaction remeasurement adjustments are reported within other income, net in the consolidated statement of operations and comprehensive loss. The functional currency of the Company’s Australian subsidiary is the U.S. dollar.</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Corporate Restructuring</w:t>
      </w:r>
    </w:p>
    <w:p>
      <w:pPr>
        <w:spacing w:after="0" w:line="276"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auto"/>
        </w:rPr>
        <w:t>On September 15, 2024, the Company committed to a workforce reduction that resulted in the termination of approximately 70% of the Company’s workforce, or the Restructuring. In connection with the Restructuring, the Company incurred costs of $2.9 million, consisting primarily of cash severance costs and</w:t>
      </w:r>
    </w:p>
    <w:p>
      <w:pPr>
        <w:sectPr>
          <w:pgSz w:w="12240" w:h="15840" w:orient="portrait"/>
          <w:cols w:equalWidth="0" w:num="1">
            <w:col w:w="9360"/>
          </w:cols>
          <w:pgMar w:left="1440" w:top="1424"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129</w:t>
      </w:r>
    </w:p>
    <w:p>
      <w:pPr>
        <w:sectPr>
          <w:pgSz w:w="12240" w:h="15840" w:orient="portrait"/>
          <w:cols w:equalWidth="0" w:num="1">
            <w:col w:w="9360"/>
          </w:cols>
          <w:pgMar w:left="1440" w:top="1424" w:right="1440" w:bottom="186" w:gutter="0" w:footer="0" w:header="0"/>
          <w:type w:val="continuous"/>
        </w:sectPr>
      </w:pPr>
    </w:p>
    <w:bookmarkStart w:id="135" w:name="page136"/>
    <w:bookmarkEnd w:id="135"/>
    <w:p>
      <w:pPr>
        <w:jc w:val="both"/>
        <w:spacing w:after="0" w:line="282" w:lineRule="auto"/>
        <w:rPr>
          <w:sz w:val="20"/>
          <w:szCs w:val="20"/>
          <w:color w:val="auto"/>
        </w:rPr>
      </w:pPr>
      <w:r>
        <w:rPr>
          <w:rFonts w:ascii="Arial" w:cs="Arial" w:eastAsia="Arial" w:hAnsi="Arial"/>
          <w:sz w:val="20"/>
          <w:szCs w:val="20"/>
          <w:color w:val="auto"/>
        </w:rPr>
        <w:t>termination benefits, which the Company recognized during the year ended December 31, 2024. The Company substantially completed the Restructuring by December 31, 2024.</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Emerging Growth Company Status</w:t>
      </w:r>
    </w:p>
    <w:p>
      <w:pPr>
        <w:spacing w:after="0" w:line="116"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auto"/>
        </w:rPr>
        <w:t>The Company is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31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116"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November 2023, the Financial Accounting Standards Board, or FASB, issued Accounting Standards Update, or ASU, 2023-07, Segment Reporting (Topic 280), Improvements to Reportable Segment Disclosures to improve reportable segment disclosure requirements through enhanced disclosures about significant segment expenses on an interim and annual basis. All disclosure requirements of ASU 2023-07 are required for entities with a single reportable segment. ASU 2023-07 is effective for fiscal years beginning after December 15, 2023, and interim periods for the fiscal years beginning after December 15, 2024, and should be applied on a retrospective basis to all periods presented. Early adoption is permitted. The Company adopted the guidance in the fiscal year beginning January 1, 2024, including the additional required disclosures in Note 6.</w:t>
      </w:r>
    </w:p>
    <w:p>
      <w:pPr>
        <w:spacing w:after="0" w:line="77"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and the amendments should be applied on a prospective basis. The Company does not expect the adoption of this new guidance to have a material impact on its consolidated financial statements and is currently evaluating the effect of adopting the ASU on its disclosures.</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w:t>
      </w:r>
    </w:p>
    <w:p>
      <w:pPr>
        <w:spacing w:after="0" w:line="12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6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i w:val="1"/>
          <w:iCs w:val="1"/>
          <w:color w:val="auto"/>
        </w:rPr>
        <w:t>Level 1</w:t>
      </w:r>
      <w:r>
        <w:rPr>
          <w:rFonts w:ascii="Arial" w:cs="Arial" w:eastAsia="Arial" w:hAnsi="Arial"/>
          <w:sz w:val="20"/>
          <w:szCs w:val="20"/>
          <w:color w:val="auto"/>
        </w:rPr>
        <w:t>—Unadjusted quoted prices in active markets that are accessible at the measurement date for</w:t>
      </w:r>
      <w:r>
        <w:rPr>
          <w:rFonts w:ascii="Arial" w:cs="Arial" w:eastAsia="Arial" w:hAnsi="Arial"/>
          <w:sz w:val="20"/>
          <w:szCs w:val="20"/>
          <w:i w:val="1"/>
          <w:iCs w:val="1"/>
          <w:color w:val="auto"/>
        </w:rPr>
        <w:t xml:space="preserve"> </w:t>
      </w:r>
      <w:r>
        <w:rPr>
          <w:rFonts w:ascii="Arial" w:cs="Arial" w:eastAsia="Arial" w:hAnsi="Arial"/>
          <w:sz w:val="20"/>
          <w:szCs w:val="20"/>
          <w:color w:val="auto"/>
        </w:rPr>
        <w:t>identical, unrestricted assets or liabilities.</w:t>
      </w:r>
    </w:p>
    <w:p>
      <w:pPr>
        <w:spacing w:after="0" w:line="4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i w:val="1"/>
          <w:iCs w:val="1"/>
          <w:color w:val="auto"/>
        </w:rPr>
        <w:t>Level 2</w:t>
      </w:r>
      <w:r>
        <w:rPr>
          <w:rFonts w:ascii="Arial" w:cs="Arial" w:eastAsia="Arial" w:hAnsi="Arial"/>
          <w:sz w:val="20"/>
          <w:szCs w:val="20"/>
          <w:color w:val="auto"/>
        </w:rPr>
        <w:t>—Quoted prices in markets that are not active or financial instruments for which all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inputs are observable, either directly or indirectly.</w:t>
      </w:r>
    </w:p>
    <w:p>
      <w:pPr>
        <w:spacing w:after="0" w:line="4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i w:val="1"/>
          <w:iCs w:val="1"/>
          <w:color w:val="auto"/>
        </w:rPr>
        <w:t>Level 3</w:t>
      </w:r>
      <w:r>
        <w:rPr>
          <w:rFonts w:ascii="Arial" w:cs="Arial" w:eastAsia="Arial" w:hAnsi="Arial"/>
          <w:sz w:val="20"/>
          <w:szCs w:val="20"/>
          <w:color w:val="auto"/>
        </w:rPr>
        <w:t>—Inputs are generally unobservable and reflect management’s estimates of assumptions that</w:t>
      </w:r>
      <w:r>
        <w:rPr>
          <w:rFonts w:ascii="Arial" w:cs="Arial" w:eastAsia="Arial" w:hAnsi="Arial"/>
          <w:sz w:val="20"/>
          <w:szCs w:val="20"/>
          <w:i w:val="1"/>
          <w:iCs w:val="1"/>
          <w:color w:val="auto"/>
        </w:rPr>
        <w:t xml:space="preserve"> </w:t>
      </w:r>
      <w:r>
        <w:rPr>
          <w:rFonts w:ascii="Arial" w:cs="Arial" w:eastAsia="Arial" w:hAnsi="Arial"/>
          <w:sz w:val="20"/>
          <w:szCs w:val="20"/>
          <w:color w:val="auto"/>
        </w:rPr>
        <w:t>market participants would use in pricing the asset or liability. The fair values are determined using model-based techniques, including probability-based simulation methodologies.</w:t>
      </w:r>
    </w:p>
    <w:p>
      <w:pPr>
        <w:spacing w:after="0" w:line="180"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w:t>
      </w:r>
    </w:p>
    <w:p>
      <w:pPr>
        <w:sectPr>
          <w:pgSz w:w="12240" w:h="15840" w:orient="portrait"/>
          <w:cols w:equalWidth="0" w:num="1">
            <w:col w:w="9360"/>
          </w:cols>
          <w:pgMar w:left="1440" w:top="1420" w:right="1440" w:bottom="186" w:gutter="0" w:footer="0" w:header="0"/>
          <w:type w:val="continuous"/>
        </w:sectPr>
      </w:pPr>
    </w:p>
    <w:bookmarkStart w:id="136" w:name="page137"/>
    <w:bookmarkEnd w:id="136"/>
    <w:p>
      <w:pPr>
        <w:jc w:val="both"/>
        <w:spacing w:after="0" w:line="282" w:lineRule="auto"/>
        <w:rPr>
          <w:sz w:val="20"/>
          <w:szCs w:val="20"/>
          <w:color w:val="auto"/>
        </w:rPr>
      </w:pPr>
      <w:r>
        <w:rPr>
          <w:rFonts w:ascii="Arial" w:cs="Arial" w:eastAsia="Arial" w:hAnsi="Arial"/>
          <w:sz w:val="20"/>
          <w:szCs w:val="20"/>
          <w:color w:val="auto"/>
        </w:rPr>
        <w:t>reliable and verifiable, not proprietary, and provided by independent sources that are actively involved in the relevant market.</w:t>
      </w:r>
    </w:p>
    <w:p>
      <w:pPr>
        <w:spacing w:after="0" w:line="159"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following tables reflect the Company’s financial asset balances measured at fair value on a recurring basis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10"/>
          </w:tcPr>
          <w:p>
            <w:pPr>
              <w:jc w:val="center"/>
              <w:ind w:left="426"/>
              <w:spacing w:after="0"/>
              <w:rPr>
                <w:sz w:val="20"/>
                <w:szCs w:val="20"/>
                <w:color w:val="auto"/>
              </w:rPr>
            </w:pPr>
            <w:r>
              <w:rPr>
                <w:rFonts w:ascii="Arial" w:cs="Arial" w:eastAsia="Arial" w:hAnsi="Arial"/>
                <w:sz w:val="16"/>
                <w:szCs w:val="16"/>
                <w:b w:val="1"/>
                <w:bCs w:val="1"/>
                <w:color w:val="auto"/>
                <w:w w:val="99"/>
              </w:rPr>
              <w:t>December 31, 2024</w:t>
            </w: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Level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Amortized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ind w:left="20"/>
              <w:spacing w:after="0" w:line="169" w:lineRule="exact"/>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line="169" w:lineRule="exact"/>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line="169" w:lineRule="exact"/>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66"/>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Gains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7"/>
              </w:rPr>
              <w:t>Losses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24"/>
        </w:trPr>
        <w:tc>
          <w:tcPr>
            <w:tcW w:w="4180" w:type="dxa"/>
            <w:vAlign w:val="bottom"/>
            <w:tcBorders>
              <w:top w:val="single" w:sz="8" w:color="E0E0E0"/>
              <w:bottom w:val="single" w:sz="8" w:color="auto"/>
            </w:tcBorders>
            <w:shd w:val="clear" w:color="auto" w:fill="E0E0E0"/>
          </w:tcPr>
          <w:p>
            <w:pPr>
              <w:spacing w:after="0" w:line="224" w:lineRule="exact"/>
              <w:rPr>
                <w:sz w:val="20"/>
                <w:szCs w:val="20"/>
                <w:color w:val="auto"/>
              </w:rPr>
            </w:pPr>
            <w:r>
              <w:rPr>
                <w:rFonts w:ascii="Arial" w:cs="Arial" w:eastAsia="Arial" w:hAnsi="Arial"/>
                <w:sz w:val="20"/>
                <w:szCs w:val="20"/>
                <w:color w:val="auto"/>
              </w:rPr>
              <w:t>Cash equivalents:</w:t>
            </w:r>
          </w:p>
        </w:tc>
        <w:tc>
          <w:tcPr>
            <w:tcW w:w="2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92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68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spacing w:after="0"/>
              <w:rPr>
                <w:sz w:val="19"/>
                <w:szCs w:val="19"/>
                <w:color w:val="auto"/>
              </w:rPr>
            </w:pPr>
          </w:p>
        </w:tc>
        <w:tc>
          <w:tcPr>
            <w:tcW w:w="70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72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68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280"/>
              <w:spacing w:after="0"/>
              <w:rPr>
                <w:sz w:val="20"/>
                <w:szCs w:val="20"/>
                <w:color w:val="auto"/>
              </w:rPr>
            </w:pPr>
            <w:r>
              <w:rPr>
                <w:rFonts w:ascii="Arial" w:cs="Arial" w:eastAsia="Arial" w:hAnsi="Arial"/>
                <w:sz w:val="20"/>
                <w:szCs w:val="20"/>
                <w:color w:val="auto"/>
              </w:rPr>
              <w:t>Money market fund</w:t>
            </w:r>
          </w:p>
        </w:tc>
        <w:tc>
          <w:tcPr>
            <w:tcW w:w="1040" w:type="dxa"/>
            <w:vAlign w:val="bottom"/>
            <w:gridSpan w:val="4"/>
          </w:tcPr>
          <w:p>
            <w:pPr>
              <w:jc w:val="center"/>
              <w:spacing w:after="0"/>
              <w:rPr>
                <w:sz w:val="20"/>
                <w:szCs w:val="20"/>
                <w:color w:val="auto"/>
              </w:rPr>
            </w:pPr>
            <w:r>
              <w:rPr>
                <w:rFonts w:ascii="Arial" w:cs="Arial" w:eastAsia="Arial" w:hAnsi="Arial"/>
                <w:sz w:val="20"/>
                <w:szCs w:val="20"/>
                <w:color w:val="auto"/>
                <w:w w:val="89"/>
              </w:rPr>
              <w:t>1</w:t>
            </w:r>
          </w:p>
        </w:tc>
        <w:tc>
          <w:tcPr>
            <w:tcW w:w="26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30</w:t>
            </w:r>
          </w:p>
        </w:tc>
        <w:tc>
          <w:tcPr>
            <w:tcW w:w="340" w:type="dxa"/>
            <w:vAlign w:val="bottom"/>
            <w:gridSpan w:val="4"/>
          </w:tcPr>
          <w:p>
            <w:pPr>
              <w:ind w:left="180"/>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300" w:type="dxa"/>
            <w:vAlign w:val="bottom"/>
            <w:gridSpan w:val="3"/>
          </w:tcPr>
          <w:p>
            <w:pPr>
              <w:ind w:left="160"/>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220" w:type="dxa"/>
            <w:vAlign w:val="bottom"/>
            <w:gridSpan w:val="4"/>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80" w:type="dxa"/>
            <w:vAlign w:val="bottom"/>
            <w:shd w:val="clear" w:color="auto" w:fill="E0E0E0"/>
          </w:tcPr>
          <w:p>
            <w:pPr>
              <w:ind w:left="280"/>
              <w:spacing w:after="0" w:line="225" w:lineRule="exact"/>
              <w:rPr>
                <w:sz w:val="20"/>
                <w:szCs w:val="20"/>
                <w:color w:val="auto"/>
              </w:rPr>
            </w:pPr>
            <w:r>
              <w:rPr>
                <w:rFonts w:ascii="Arial" w:cs="Arial" w:eastAsia="Arial" w:hAnsi="Arial"/>
                <w:sz w:val="20"/>
                <w:szCs w:val="20"/>
                <w:color w:val="auto"/>
              </w:rPr>
              <w:t>U.S. government debt and agency</w:t>
            </w:r>
          </w:p>
        </w:tc>
        <w:tc>
          <w:tcPr>
            <w:tcW w:w="1040" w:type="dxa"/>
            <w:vAlign w:val="bottom"/>
            <w:gridSpan w:val="4"/>
            <w:shd w:val="clear" w:color="auto" w:fill="E0E0E0"/>
          </w:tcPr>
          <w:p>
            <w:pPr>
              <w:jc w:val="center"/>
              <w:spacing w:after="0" w:line="225" w:lineRule="exact"/>
              <w:rPr>
                <w:sz w:val="20"/>
                <w:szCs w:val="20"/>
                <w:color w:val="auto"/>
              </w:rPr>
            </w:pPr>
            <w:r>
              <w:rPr>
                <w:rFonts w:ascii="Arial" w:cs="Arial" w:eastAsia="Arial" w:hAnsi="Arial"/>
                <w:sz w:val="20"/>
                <w:szCs w:val="20"/>
                <w:color w:val="auto"/>
                <w:w w:val="89"/>
              </w:rPr>
              <w:t>2</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6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180" w:type="dxa"/>
            <w:vAlign w:val="bottom"/>
            <w:shd w:val="clear" w:color="auto" w:fill="E0E0E0"/>
          </w:tcPr>
          <w:p>
            <w:pPr>
              <w:ind w:left="440"/>
              <w:spacing w:after="0"/>
              <w:rPr>
                <w:sz w:val="20"/>
                <w:szCs w:val="20"/>
                <w:color w:val="auto"/>
              </w:rPr>
            </w:pPr>
            <w:r>
              <w:rPr>
                <w:rFonts w:ascii="Arial" w:cs="Arial" w:eastAsia="Arial" w:hAnsi="Arial"/>
                <w:sz w:val="20"/>
                <w:szCs w:val="20"/>
                <w:color w:val="auto"/>
              </w:rPr>
              <w:t>securities</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920" w:type="dxa"/>
            <w:vAlign w:val="bottom"/>
            <w:shd w:val="clear" w:color="auto" w:fill="E0E0E0"/>
          </w:tcPr>
          <w:p>
            <w:pPr>
              <w:spacing w:after="0"/>
              <w:rPr>
                <w:sz w:val="21"/>
                <w:szCs w:val="21"/>
                <w:color w:val="auto"/>
              </w:rPr>
            </w:pPr>
          </w:p>
        </w:tc>
        <w:tc>
          <w:tcPr>
            <w:tcW w:w="940" w:type="dxa"/>
            <w:vAlign w:val="bottom"/>
            <w:gridSpan w:val="4"/>
            <w:shd w:val="clear" w:color="auto" w:fill="E0E0E0"/>
          </w:tcPr>
          <w:p>
            <w:pPr>
              <w:jc w:val="right"/>
              <w:spacing w:after="0"/>
              <w:rPr>
                <w:sz w:val="20"/>
                <w:szCs w:val="20"/>
                <w:color w:val="auto"/>
              </w:rPr>
            </w:pPr>
            <w:r>
              <w:rPr>
                <w:rFonts w:ascii="Arial" w:cs="Arial" w:eastAsia="Arial" w:hAnsi="Arial"/>
                <w:sz w:val="20"/>
                <w:szCs w:val="20"/>
                <w:color w:val="auto"/>
              </w:rPr>
              <w:t>$ 10,297</w:t>
            </w:r>
          </w:p>
        </w:tc>
        <w:tc>
          <w:tcPr>
            <w:tcW w:w="340" w:type="dxa"/>
            <w:vAlign w:val="bottom"/>
            <w:gridSpan w:val="4"/>
            <w:shd w:val="clear" w:color="auto" w:fill="E0E0E0"/>
          </w:tcPr>
          <w:p>
            <w:pPr>
              <w:ind w:left="180"/>
              <w:spacing w:after="0"/>
              <w:rPr>
                <w:sz w:val="20"/>
                <w:szCs w:val="20"/>
                <w:color w:val="auto"/>
              </w:rPr>
            </w:pPr>
            <w:r>
              <w:rPr>
                <w:rFonts w:ascii="Arial" w:cs="Arial" w:eastAsia="Arial" w:hAnsi="Arial"/>
                <w:sz w:val="20"/>
                <w:szCs w:val="20"/>
                <w:color w:val="auto"/>
              </w:rPr>
              <w:t>$</w:t>
            </w:r>
          </w:p>
        </w:tc>
        <w:tc>
          <w:tcPr>
            <w:tcW w:w="7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w:t>
            </w:r>
          </w:p>
        </w:tc>
        <w:tc>
          <w:tcPr>
            <w:tcW w:w="20" w:type="dxa"/>
            <w:vAlign w:val="bottom"/>
            <w:shd w:val="clear" w:color="auto" w:fill="E0E0E0"/>
          </w:tcPr>
          <w:p>
            <w:pPr>
              <w:spacing w:after="0"/>
              <w:rPr>
                <w:sz w:val="21"/>
                <w:szCs w:val="21"/>
                <w:color w:val="auto"/>
              </w:rPr>
            </w:pPr>
          </w:p>
        </w:tc>
        <w:tc>
          <w:tcPr>
            <w:tcW w:w="300" w:type="dxa"/>
            <w:vAlign w:val="bottom"/>
            <w:gridSpan w:val="3"/>
            <w:shd w:val="clear" w:color="auto" w:fill="E0E0E0"/>
          </w:tcPr>
          <w:p>
            <w:pPr>
              <w:ind w:left="160"/>
              <w:spacing w:after="0"/>
              <w:rPr>
                <w:sz w:val="20"/>
                <w:szCs w:val="20"/>
                <w:color w:val="auto"/>
              </w:rPr>
            </w:pPr>
            <w:r>
              <w:rPr>
                <w:rFonts w:ascii="Arial" w:cs="Arial" w:eastAsia="Arial" w:hAnsi="Arial"/>
                <w:sz w:val="20"/>
                <w:szCs w:val="20"/>
                <w:color w:val="auto"/>
              </w:rPr>
              <w:t>$</w:t>
            </w:r>
          </w:p>
        </w:tc>
        <w:tc>
          <w:tcPr>
            <w:tcW w:w="840" w:type="dxa"/>
            <w:vAlign w:val="bottom"/>
            <w:gridSpan w:val="3"/>
            <w:shd w:val="clear" w:color="auto" w:fill="E0E0E0"/>
          </w:tcPr>
          <w:p>
            <w:pPr>
              <w:jc w:val="right"/>
              <w:ind w:right="120"/>
              <w:spacing w:after="0"/>
              <w:rPr>
                <w:sz w:val="20"/>
                <w:szCs w:val="20"/>
                <w:color w:val="auto"/>
              </w:rPr>
            </w:pPr>
            <w:r>
              <w:rPr>
                <w:rFonts w:ascii="Arial" w:cs="Arial" w:eastAsia="Arial" w:hAnsi="Arial"/>
                <w:sz w:val="20"/>
                <w:szCs w:val="20"/>
                <w:color w:val="auto"/>
              </w:rPr>
              <w:t>—</w:t>
            </w:r>
          </w:p>
        </w:tc>
        <w:tc>
          <w:tcPr>
            <w:tcW w:w="220" w:type="dxa"/>
            <w:vAlign w:val="bottom"/>
            <w:gridSpan w:val="4"/>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10,299</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80" w:type="dxa"/>
            <w:vAlign w:val="bottom"/>
          </w:tcPr>
          <w:p>
            <w:pPr>
              <w:ind w:left="280"/>
              <w:spacing w:after="0"/>
              <w:rPr>
                <w:sz w:val="20"/>
                <w:szCs w:val="20"/>
                <w:color w:val="auto"/>
              </w:rPr>
            </w:pPr>
            <w:r>
              <w:rPr>
                <w:rFonts w:ascii="Arial" w:cs="Arial" w:eastAsia="Arial" w:hAnsi="Arial"/>
                <w:sz w:val="20"/>
                <w:szCs w:val="20"/>
                <w:color w:val="auto"/>
              </w:rPr>
              <w:t>Commercial paper</w:t>
            </w:r>
          </w:p>
        </w:tc>
        <w:tc>
          <w:tcPr>
            <w:tcW w:w="1040" w:type="dxa"/>
            <w:vAlign w:val="bottom"/>
            <w:gridSpan w:val="4"/>
          </w:tcPr>
          <w:p>
            <w:pPr>
              <w:jc w:val="center"/>
              <w:spacing w:after="0"/>
              <w:rPr>
                <w:sz w:val="20"/>
                <w:szCs w:val="20"/>
                <w:color w:val="auto"/>
              </w:rPr>
            </w:pPr>
            <w:r>
              <w:rPr>
                <w:rFonts w:ascii="Arial" w:cs="Arial" w:eastAsia="Arial" w:hAnsi="Arial"/>
                <w:sz w:val="20"/>
                <w:szCs w:val="20"/>
                <w:color w:val="auto"/>
                <w:w w:val="89"/>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19,394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19,393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80" w:type="dxa"/>
            <w:vAlign w:val="bottom"/>
            <w:tcBorders>
              <w:top w:val="single" w:sz="8" w:color="E0E0E0"/>
            </w:tcBorders>
            <w:shd w:val="clear" w:color="auto" w:fill="E0E0E0"/>
          </w:tcPr>
          <w:p>
            <w:pPr>
              <w:ind w:left="280"/>
              <w:spacing w:after="0"/>
              <w:rPr>
                <w:sz w:val="20"/>
                <w:szCs w:val="20"/>
                <w:color w:val="auto"/>
              </w:rPr>
            </w:pPr>
            <w:r>
              <w:rPr>
                <w:rFonts w:ascii="Arial" w:cs="Arial" w:eastAsia="Arial" w:hAnsi="Arial"/>
                <w:sz w:val="20"/>
                <w:szCs w:val="20"/>
                <w:color w:val="auto"/>
              </w:rPr>
              <w:t>Total cash equivalents</w:t>
            </w:r>
          </w:p>
        </w:tc>
        <w:tc>
          <w:tcPr>
            <w:tcW w:w="2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92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860" w:type="dxa"/>
            <w:vAlign w:val="bottom"/>
            <w:tcBorders>
              <w:top w:val="single" w:sz="8" w:color="auto"/>
              <w:bottom w:val="single" w:sz="8" w:color="auto"/>
            </w:tcBorders>
            <w:gridSpan w:val="3"/>
            <w:shd w:val="clear" w:color="auto" w:fill="E0E0E0"/>
          </w:tcPr>
          <w:p>
            <w:pPr>
              <w:jc w:val="right"/>
              <w:spacing w:after="0"/>
              <w:rPr>
                <w:sz w:val="20"/>
                <w:szCs w:val="20"/>
                <w:color w:val="auto"/>
              </w:rPr>
            </w:pPr>
            <w:r>
              <w:rPr>
                <w:rFonts w:ascii="Arial" w:cs="Arial" w:eastAsia="Arial" w:hAnsi="Arial"/>
                <w:sz w:val="20"/>
                <w:szCs w:val="20"/>
                <w:color w:val="auto"/>
                <w:shd w:val="clear" w:color="auto" w:fill="E0E0E0"/>
              </w:rPr>
              <w:t>$ 29,721</w:t>
            </w:r>
          </w:p>
        </w:tc>
        <w:tc>
          <w:tcPr>
            <w:tcW w:w="2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gridSpan w:val="2"/>
            <w:shd w:val="clear" w:color="auto" w:fill="E0E0E0"/>
          </w:tcPr>
          <w:p>
            <w:pPr>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w:t>
            </w:r>
          </w:p>
        </w:tc>
        <w:tc>
          <w:tcPr>
            <w:tcW w:w="20" w:type="dxa"/>
            <w:vAlign w:val="bottom"/>
            <w:tcBorders>
              <w:top w:val="single" w:sz="8" w:color="auto"/>
              <w:bottom w:val="single" w:sz="8" w:color="auto"/>
            </w:tcBorders>
            <w:shd w:val="clear" w:color="auto" w:fill="E0E0E0"/>
          </w:tcPr>
          <w:p>
            <w:pPr>
              <w:spacing w:after="0"/>
              <w:rPr>
                <w:sz w:val="20"/>
                <w:szCs w:val="20"/>
                <w:color w:val="auto"/>
              </w:rPr>
            </w:pPr>
          </w:p>
        </w:tc>
        <w:tc>
          <w:tcPr>
            <w:tcW w:w="16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bottom w:val="single" w:sz="8" w:color="auto"/>
            </w:tcBorders>
            <w:gridSpan w:val="2"/>
            <w:shd w:val="clear" w:color="auto" w:fill="E0E0E0"/>
          </w:tcPr>
          <w:p>
            <w:pPr>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w:t>
            </w:r>
          </w:p>
        </w:tc>
        <w:tc>
          <w:tcPr>
            <w:tcW w:w="20" w:type="dxa"/>
            <w:vAlign w:val="bottom"/>
            <w:tcBorders>
              <w:top w:val="single" w:sz="8" w:color="auto"/>
              <w:bottom w:val="single" w:sz="8" w:color="auto"/>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gridSpan w:val="3"/>
            <w:shd w:val="clear" w:color="auto" w:fill="E0E0E0"/>
          </w:tcPr>
          <w:p>
            <w:pPr>
              <w:jc w:val="right"/>
              <w:ind w:right="40"/>
              <w:spacing w:after="0"/>
              <w:rPr>
                <w:sz w:val="20"/>
                <w:szCs w:val="20"/>
                <w:color w:val="auto"/>
              </w:rPr>
            </w:pPr>
            <w:r>
              <w:rPr>
                <w:rFonts w:ascii="Arial" w:cs="Arial" w:eastAsia="Arial" w:hAnsi="Arial"/>
                <w:sz w:val="20"/>
                <w:szCs w:val="20"/>
                <w:color w:val="auto"/>
                <w:w w:val="89"/>
                <w:shd w:val="clear" w:color="auto" w:fill="E0E0E0"/>
              </w:rPr>
              <w:t>$</w:t>
            </w:r>
          </w:p>
        </w:tc>
        <w:tc>
          <w:tcPr>
            <w:tcW w:w="6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shd w:val="clear" w:color="auto" w:fill="E0E0E0"/>
              </w:rPr>
              <w:t>29,722</w:t>
            </w:r>
          </w:p>
        </w:tc>
        <w:tc>
          <w:tcPr>
            <w:tcW w:w="20" w:type="dxa"/>
            <w:vAlign w:val="bottom"/>
            <w:tcBorders>
              <w:top w:val="single" w:sz="8" w:color="auto"/>
              <w:bottom w:val="single" w:sz="8" w:color="auto"/>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20"/>
                <w:szCs w:val="20"/>
                <w:color w:val="auto"/>
              </w:rPr>
              <w:t>Short-term investments: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92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6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40" w:type="dxa"/>
            <w:vAlign w:val="bottom"/>
            <w:tcBorders>
              <w:bottom w:val="single" w:sz="8" w:color="E0E0E0"/>
            </w:tcBorders>
          </w:tcPr>
          <w:p>
            <w:pPr>
              <w:spacing w:after="0"/>
              <w:rPr>
                <w:sz w:val="19"/>
                <w:szCs w:val="19"/>
                <w:color w:val="auto"/>
              </w:rPr>
            </w:pPr>
          </w:p>
        </w:tc>
        <w:tc>
          <w:tcPr>
            <w:tcW w:w="7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7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6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Commercial paper</w:t>
            </w:r>
          </w:p>
        </w:tc>
        <w:tc>
          <w:tcPr>
            <w:tcW w:w="1040" w:type="dxa"/>
            <w:vAlign w:val="bottom"/>
            <w:gridSpan w:val="4"/>
            <w:shd w:val="clear" w:color="auto" w:fill="E0E0E0"/>
          </w:tcPr>
          <w:p>
            <w:pPr>
              <w:jc w:val="center"/>
              <w:spacing w:after="0"/>
              <w:rPr>
                <w:sz w:val="20"/>
                <w:szCs w:val="20"/>
                <w:color w:val="auto"/>
              </w:rPr>
            </w:pPr>
            <w:r>
              <w:rPr>
                <w:rFonts w:ascii="Arial" w:cs="Arial" w:eastAsia="Arial" w:hAnsi="Arial"/>
                <w:sz w:val="20"/>
                <w:szCs w:val="20"/>
                <w:color w:val="auto"/>
                <w:w w:val="89"/>
              </w:rPr>
              <w:t>2</w:t>
            </w:r>
          </w:p>
        </w:tc>
        <w:tc>
          <w:tcPr>
            <w:tcW w:w="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1,445</w:t>
            </w: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20" w:type="dxa"/>
            <w:vAlign w:val="bottom"/>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1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40" w:type="dxa"/>
            <w:vAlign w:val="bottom"/>
            <w:gridSpan w:val="3"/>
            <w:shd w:val="clear" w:color="auto" w:fill="E0E0E0"/>
          </w:tcPr>
          <w:p>
            <w:pPr>
              <w:jc w:val="right"/>
              <w:ind w:right="120"/>
              <w:spacing w:after="0"/>
              <w:rPr>
                <w:sz w:val="20"/>
                <w:szCs w:val="20"/>
                <w:color w:val="auto"/>
              </w:rPr>
            </w:pPr>
            <w:r>
              <w:rPr>
                <w:rFonts w:ascii="Arial" w:cs="Arial" w:eastAsia="Arial" w:hAnsi="Arial"/>
                <w:sz w:val="20"/>
                <w:szCs w:val="20"/>
                <w:color w:val="auto"/>
              </w:rPr>
              <w:t>—</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1,445</w:t>
            </w: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80" w:type="dxa"/>
            <w:vAlign w:val="bottom"/>
          </w:tcPr>
          <w:p>
            <w:pPr>
              <w:ind w:left="280"/>
              <w:spacing w:after="0" w:line="225" w:lineRule="exact"/>
              <w:rPr>
                <w:sz w:val="20"/>
                <w:szCs w:val="20"/>
                <w:color w:val="auto"/>
              </w:rPr>
            </w:pPr>
            <w:r>
              <w:rPr>
                <w:rFonts w:ascii="Arial" w:cs="Arial" w:eastAsia="Arial" w:hAnsi="Arial"/>
                <w:sz w:val="20"/>
                <w:szCs w:val="20"/>
                <w:color w:val="auto"/>
              </w:rPr>
              <w:t>U.S. government debt and agency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180" w:type="dxa"/>
            <w:vAlign w:val="bottom"/>
          </w:tcPr>
          <w:p>
            <w:pPr>
              <w:ind w:left="440"/>
              <w:spacing w:after="0"/>
              <w:rPr>
                <w:sz w:val="20"/>
                <w:szCs w:val="20"/>
                <w:color w:val="auto"/>
              </w:rPr>
            </w:pPr>
            <w:r>
              <w:rPr>
                <w:rFonts w:ascii="Arial" w:cs="Arial" w:eastAsia="Arial" w:hAnsi="Arial"/>
                <w:sz w:val="20"/>
                <w:szCs w:val="20"/>
                <w:color w:val="auto"/>
              </w:rPr>
              <w:t>securities</w:t>
            </w:r>
          </w:p>
        </w:tc>
        <w:tc>
          <w:tcPr>
            <w:tcW w:w="1040" w:type="dxa"/>
            <w:vAlign w:val="bottom"/>
            <w:gridSpan w:val="4"/>
          </w:tcPr>
          <w:p>
            <w:pPr>
              <w:jc w:val="center"/>
              <w:spacing w:after="0"/>
              <w:rPr>
                <w:sz w:val="20"/>
                <w:szCs w:val="20"/>
                <w:color w:val="auto"/>
              </w:rPr>
            </w:pPr>
            <w:r>
              <w:rPr>
                <w:rFonts w:ascii="Arial" w:cs="Arial" w:eastAsia="Arial" w:hAnsi="Arial"/>
                <w:sz w:val="20"/>
                <w:szCs w:val="20"/>
                <w:color w:val="auto"/>
                <w:w w:val="89"/>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1,392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1,392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80" w:type="dxa"/>
            <w:vAlign w:val="bottom"/>
            <w:tcBorders>
              <w:top w:val="single" w:sz="8" w:color="E0E0E0"/>
            </w:tcBorders>
            <w:shd w:val="clear" w:color="auto" w:fill="E0E0E0"/>
          </w:tcPr>
          <w:p>
            <w:pPr>
              <w:spacing w:after="0"/>
              <w:rPr>
                <w:sz w:val="20"/>
                <w:szCs w:val="20"/>
                <w:color w:val="auto"/>
              </w:rPr>
            </w:pPr>
            <w:r>
              <w:rPr>
                <w:rFonts w:ascii="Arial" w:cs="Arial" w:eastAsia="Arial" w:hAnsi="Arial"/>
                <w:sz w:val="20"/>
                <w:szCs w:val="20"/>
                <w:color w:val="auto"/>
              </w:rPr>
              <w:t>Total short-term investments</w:t>
            </w:r>
          </w:p>
        </w:tc>
        <w:tc>
          <w:tcPr>
            <w:tcW w:w="2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92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180" w:type="dxa"/>
            <w:vAlign w:val="bottom"/>
            <w:tcBorders>
              <w:top w:val="single" w:sz="8" w:color="auto"/>
              <w:bottom w:val="single" w:sz="8" w:color="auto"/>
            </w:tcBorders>
            <w:gridSpan w:val="2"/>
            <w:shd w:val="clear" w:color="auto" w:fill="E0E0E0"/>
          </w:tcPr>
          <w:p>
            <w:pPr>
              <w:spacing w:after="0"/>
              <w:rPr>
                <w:sz w:val="20"/>
                <w:szCs w:val="20"/>
                <w:color w:val="auto"/>
              </w:rPr>
            </w:pPr>
            <w:r>
              <w:rPr>
                <w:rFonts w:ascii="Arial" w:cs="Arial" w:eastAsia="Arial" w:hAnsi="Arial"/>
                <w:sz w:val="20"/>
                <w:szCs w:val="20"/>
                <w:color w:val="auto"/>
                <w:shd w:val="clear" w:color="auto" w:fill="E0E0E0"/>
              </w:rPr>
              <w:t>$</w:t>
            </w:r>
          </w:p>
        </w:tc>
        <w:tc>
          <w:tcPr>
            <w:tcW w:w="6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shd w:val="clear" w:color="auto" w:fill="E0E0E0"/>
              </w:rPr>
              <w:t>2,837</w:t>
            </w:r>
          </w:p>
        </w:tc>
        <w:tc>
          <w:tcPr>
            <w:tcW w:w="2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gridSpan w:val="2"/>
            <w:shd w:val="clear" w:color="auto" w:fill="E0E0E0"/>
          </w:tcPr>
          <w:p>
            <w:pPr>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auto"/>
            </w:tcBorders>
            <w:gridSpan w:val="2"/>
            <w:shd w:val="clear" w:color="auto" w:fill="E0E0E0"/>
          </w:tcPr>
          <w:p>
            <w:pPr>
              <w:jc w:val="right"/>
              <w:ind w:right="40"/>
              <w:spacing w:after="0"/>
              <w:rPr>
                <w:sz w:val="20"/>
                <w:szCs w:val="20"/>
                <w:color w:val="auto"/>
              </w:rPr>
            </w:pPr>
            <w:r>
              <w:rPr>
                <w:rFonts w:ascii="Arial" w:cs="Arial" w:eastAsia="Arial" w:hAnsi="Arial"/>
                <w:sz w:val="20"/>
                <w:szCs w:val="20"/>
                <w:color w:val="auto"/>
              </w:rPr>
              <w:t>—</w:t>
            </w:r>
          </w:p>
        </w:tc>
        <w:tc>
          <w:tcPr>
            <w:tcW w:w="16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bottom w:val="single" w:sz="8" w:color="auto"/>
            </w:tcBorders>
            <w:gridSpan w:val="2"/>
            <w:shd w:val="clear" w:color="auto" w:fill="E0E0E0"/>
          </w:tcPr>
          <w:p>
            <w:pPr>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bottom w:val="single" w:sz="8" w:color="auto"/>
            </w:tcBorders>
            <w:gridSpan w:val="2"/>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E0E0E0"/>
            </w:tcBorders>
            <w:shd w:val="clear" w:color="auto" w:fill="E0E0E0"/>
          </w:tcPr>
          <w:p>
            <w:pPr>
              <w:spacing w:after="0"/>
              <w:rPr>
                <w:sz w:val="20"/>
                <w:szCs w:val="20"/>
                <w:color w:val="auto"/>
              </w:rPr>
            </w:pPr>
          </w:p>
        </w:tc>
        <w:tc>
          <w:tcPr>
            <w:tcW w:w="6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gridSpan w:val="3"/>
            <w:shd w:val="clear" w:color="auto" w:fill="E0E0E0"/>
          </w:tcPr>
          <w:p>
            <w:pPr>
              <w:jc w:val="right"/>
              <w:ind w:right="40"/>
              <w:spacing w:after="0"/>
              <w:rPr>
                <w:sz w:val="20"/>
                <w:szCs w:val="20"/>
                <w:color w:val="auto"/>
              </w:rPr>
            </w:pPr>
            <w:r>
              <w:rPr>
                <w:rFonts w:ascii="Arial" w:cs="Arial" w:eastAsia="Arial" w:hAnsi="Arial"/>
                <w:sz w:val="20"/>
                <w:szCs w:val="20"/>
                <w:color w:val="auto"/>
                <w:w w:val="89"/>
                <w:shd w:val="clear" w:color="auto" w:fill="E0E0E0"/>
              </w:rPr>
              <w:t>$</w:t>
            </w:r>
          </w:p>
        </w:tc>
        <w:tc>
          <w:tcPr>
            <w:tcW w:w="6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shd w:val="clear" w:color="auto" w:fill="E0E0E0"/>
              </w:rPr>
              <w:t>2,837</w:t>
            </w:r>
          </w:p>
        </w:tc>
        <w:tc>
          <w:tcPr>
            <w:tcW w:w="20" w:type="dxa"/>
            <w:vAlign w:val="bottom"/>
            <w:tcBorders>
              <w:top w:val="single" w:sz="8" w:color="auto"/>
              <w:bottom w:val="single" w:sz="8" w:color="auto"/>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0"/>
          </w:tcPr>
          <w:p>
            <w:pPr>
              <w:jc w:val="center"/>
              <w:ind w:left="466"/>
              <w:spacing w:after="0"/>
              <w:rPr>
                <w:sz w:val="20"/>
                <w:szCs w:val="20"/>
                <w:color w:val="auto"/>
              </w:rPr>
            </w:pPr>
            <w:r>
              <w:rPr>
                <w:rFonts w:ascii="Arial" w:cs="Arial" w:eastAsia="Arial" w:hAnsi="Arial"/>
                <w:sz w:val="16"/>
                <w:szCs w:val="16"/>
                <w:b w:val="1"/>
                <w:bCs w:val="1"/>
                <w:color w:val="auto"/>
                <w:w w:val="99"/>
              </w:rPr>
              <w:t>December 31, 2023</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Level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Amortized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spacing w:after="0" w:line="155" w:lineRule="exact"/>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65"/>
              <w:spacing w:after="0" w:line="155" w:lineRule="exact"/>
              <w:rPr>
                <w:sz w:val="20"/>
                <w:szCs w:val="20"/>
                <w:color w:val="auto"/>
              </w:rPr>
            </w:pPr>
            <w:r>
              <w:rPr>
                <w:rFonts w:ascii="Arial" w:cs="Arial" w:eastAsia="Arial" w:hAnsi="Arial"/>
                <w:sz w:val="16"/>
                <w:szCs w:val="16"/>
                <w:b w:val="1"/>
                <w:bCs w:val="1"/>
                <w:color w:val="auto"/>
                <w:w w:val="95"/>
              </w:rPr>
              <w:t>Fair</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46"/>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7"/>
              </w:rPr>
              <w:t>Losses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0"/>
        </w:trPr>
        <w:tc>
          <w:tcPr>
            <w:tcW w:w="4180" w:type="dxa"/>
            <w:vAlign w:val="bottom"/>
            <w:tcBorders>
              <w:top w:val="single" w:sz="8" w:color="E0E0E0"/>
              <w:bottom w:val="single" w:sz="8" w:color="auto"/>
            </w:tcBorders>
            <w:shd w:val="clear" w:color="auto" w:fill="E0E0E0"/>
          </w:tcPr>
          <w:p>
            <w:pPr>
              <w:spacing w:after="0" w:line="220" w:lineRule="exact"/>
              <w:rPr>
                <w:sz w:val="20"/>
                <w:szCs w:val="20"/>
                <w:color w:val="auto"/>
              </w:rPr>
            </w:pPr>
            <w:r>
              <w:rPr>
                <w:rFonts w:ascii="Arial" w:cs="Arial" w:eastAsia="Arial" w:hAnsi="Arial"/>
                <w:sz w:val="20"/>
                <w:szCs w:val="20"/>
                <w:color w:val="auto"/>
              </w:rPr>
              <w:t>Cash equivalents:</w:t>
            </w:r>
          </w:p>
        </w:tc>
        <w:tc>
          <w:tcPr>
            <w:tcW w:w="20" w:type="dxa"/>
            <w:vAlign w:val="bottom"/>
            <w:tcBorders>
              <w:top w:val="single" w:sz="8" w:color="E0E0E0"/>
              <w:bottom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92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68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spacing w:after="0"/>
              <w:rPr>
                <w:sz w:val="19"/>
                <w:szCs w:val="19"/>
                <w:color w:val="auto"/>
              </w:rPr>
            </w:pPr>
          </w:p>
        </w:tc>
        <w:tc>
          <w:tcPr>
            <w:tcW w:w="70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72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68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280"/>
              <w:spacing w:after="0" w:line="220" w:lineRule="exact"/>
              <w:rPr>
                <w:sz w:val="20"/>
                <w:szCs w:val="20"/>
                <w:color w:val="auto"/>
              </w:rPr>
            </w:pPr>
            <w:r>
              <w:rPr>
                <w:rFonts w:ascii="Arial" w:cs="Arial" w:eastAsia="Arial" w:hAnsi="Arial"/>
                <w:sz w:val="20"/>
                <w:szCs w:val="20"/>
                <w:color w:val="auto"/>
              </w:rPr>
              <w:t>Money market fund</w:t>
            </w:r>
          </w:p>
        </w:tc>
        <w:tc>
          <w:tcPr>
            <w:tcW w:w="20" w:type="dxa"/>
            <w:vAlign w:val="bottom"/>
          </w:tcPr>
          <w:p>
            <w:pPr>
              <w:spacing w:after="0"/>
              <w:rPr>
                <w:sz w:val="19"/>
                <w:szCs w:val="19"/>
                <w:color w:val="auto"/>
              </w:rPr>
            </w:pPr>
          </w:p>
        </w:tc>
        <w:tc>
          <w:tcPr>
            <w:tcW w:w="1020" w:type="dxa"/>
            <w:vAlign w:val="bottom"/>
            <w:gridSpan w:val="3"/>
          </w:tcPr>
          <w:p>
            <w:pPr>
              <w:jc w:val="center"/>
              <w:spacing w:after="0" w:line="220" w:lineRule="exact"/>
              <w:rPr>
                <w:sz w:val="20"/>
                <w:szCs w:val="20"/>
                <w:color w:val="auto"/>
              </w:rPr>
            </w:pPr>
            <w:r>
              <w:rPr>
                <w:rFonts w:ascii="Arial" w:cs="Arial" w:eastAsia="Arial" w:hAnsi="Arial"/>
                <w:sz w:val="20"/>
                <w:szCs w:val="20"/>
                <w:color w:val="auto"/>
                <w:w w:val="89"/>
              </w:rPr>
              <w:t>1</w:t>
            </w:r>
          </w:p>
        </w:tc>
        <w:tc>
          <w:tcPr>
            <w:tcW w:w="260" w:type="dxa"/>
            <w:vAlign w:val="bottom"/>
            <w:gridSpan w:val="3"/>
          </w:tcPr>
          <w:p>
            <w:pPr>
              <w:ind w:left="100"/>
              <w:spacing w:after="0" w:line="220" w:lineRule="exact"/>
              <w:rPr>
                <w:sz w:val="20"/>
                <w:szCs w:val="20"/>
                <w:color w:val="auto"/>
              </w:rPr>
            </w:pPr>
            <w:r>
              <w:rPr>
                <w:rFonts w:ascii="Arial" w:cs="Arial" w:eastAsia="Arial" w:hAnsi="Arial"/>
                <w:sz w:val="20"/>
                <w:szCs w:val="20"/>
                <w:color w:val="auto"/>
              </w:rPr>
              <w:t>$</w:t>
            </w: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63</w:t>
            </w:r>
          </w:p>
        </w:tc>
        <w:tc>
          <w:tcPr>
            <w:tcW w:w="340" w:type="dxa"/>
            <w:vAlign w:val="bottom"/>
            <w:gridSpan w:val="4"/>
          </w:tcPr>
          <w:p>
            <w:pPr>
              <w:ind w:left="200"/>
              <w:spacing w:after="0" w:line="220" w:lineRule="exact"/>
              <w:rPr>
                <w:sz w:val="20"/>
                <w:szCs w:val="20"/>
                <w:color w:val="auto"/>
              </w:rPr>
            </w:pPr>
            <w:r>
              <w:rPr>
                <w:rFonts w:ascii="Arial" w:cs="Arial" w:eastAsia="Arial" w:hAnsi="Arial"/>
                <w:sz w:val="20"/>
                <w:szCs w:val="20"/>
                <w:color w:val="auto"/>
              </w:rPr>
              <w:t>$</w:t>
            </w:r>
          </w:p>
        </w:tc>
        <w:tc>
          <w:tcPr>
            <w:tcW w:w="720" w:type="dxa"/>
            <w:vAlign w:val="bottom"/>
            <w:gridSpan w:val="2"/>
          </w:tcPr>
          <w:p>
            <w:pPr>
              <w:ind w:left="480"/>
              <w:spacing w:after="0" w:line="220" w:lineRule="exact"/>
              <w:rPr>
                <w:sz w:val="20"/>
                <w:szCs w:val="20"/>
                <w:color w:val="auto"/>
              </w:rPr>
            </w:pPr>
            <w:r>
              <w:rPr>
                <w:rFonts w:ascii="Arial" w:cs="Arial" w:eastAsia="Arial" w:hAnsi="Arial"/>
                <w:sz w:val="20"/>
                <w:szCs w:val="20"/>
                <w:color w:val="auto"/>
              </w:rPr>
              <w:t>—</w:t>
            </w:r>
          </w:p>
        </w:tc>
        <w:tc>
          <w:tcPr>
            <w:tcW w:w="300" w:type="dxa"/>
            <w:vAlign w:val="bottom"/>
            <w:gridSpan w:val="3"/>
          </w:tcPr>
          <w:p>
            <w:pPr>
              <w:jc w:val="right"/>
              <w:spacing w:after="0" w:line="220"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100"/>
              <w:spacing w:after="0" w:line="220" w:lineRule="exact"/>
              <w:rPr>
                <w:sz w:val="20"/>
                <w:szCs w:val="20"/>
                <w:color w:val="auto"/>
              </w:rPr>
            </w:pPr>
            <w:r>
              <w:rPr>
                <w:rFonts w:ascii="Arial" w:cs="Arial" w:eastAsia="Arial" w:hAnsi="Arial"/>
                <w:sz w:val="20"/>
                <w:szCs w:val="20"/>
                <w:color w:val="auto"/>
              </w:rPr>
              <w:t>—</w:t>
            </w:r>
          </w:p>
        </w:tc>
        <w:tc>
          <w:tcPr>
            <w:tcW w:w="220" w:type="dxa"/>
            <w:vAlign w:val="bottom"/>
            <w:gridSpan w:val="4"/>
          </w:tcPr>
          <w:p>
            <w:pPr>
              <w:jc w:val="right"/>
              <w:ind w:right="40"/>
              <w:spacing w:after="0" w:line="220" w:lineRule="exact"/>
              <w:rPr>
                <w:sz w:val="20"/>
                <w:szCs w:val="20"/>
                <w:color w:val="auto"/>
              </w:rPr>
            </w:pPr>
            <w:r>
              <w:rPr>
                <w:rFonts w:ascii="Arial" w:cs="Arial" w:eastAsia="Arial" w:hAnsi="Arial"/>
                <w:sz w:val="20"/>
                <w:szCs w:val="20"/>
                <w:color w:val="auto"/>
              </w:rPr>
              <w:t>$</w:t>
            </w: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Commercial paper</w:t>
            </w:r>
          </w:p>
        </w:tc>
        <w:tc>
          <w:tcPr>
            <w:tcW w:w="20" w:type="dxa"/>
            <w:vAlign w:val="bottom"/>
            <w:shd w:val="clear" w:color="auto" w:fill="E0E0E0"/>
          </w:tcPr>
          <w:p>
            <w:pPr>
              <w:spacing w:after="0"/>
              <w:rPr>
                <w:sz w:val="19"/>
                <w:szCs w:val="19"/>
                <w:color w:val="auto"/>
              </w:rPr>
            </w:pPr>
          </w:p>
        </w:tc>
        <w:tc>
          <w:tcPr>
            <w:tcW w:w="1020" w:type="dxa"/>
            <w:vAlign w:val="bottom"/>
            <w:gridSpan w:val="3"/>
            <w:shd w:val="clear" w:color="auto" w:fill="E0E0E0"/>
          </w:tcPr>
          <w:p>
            <w:pPr>
              <w:jc w:val="center"/>
              <w:spacing w:after="0"/>
              <w:rPr>
                <w:sz w:val="20"/>
                <w:szCs w:val="20"/>
                <w:color w:val="auto"/>
              </w:rPr>
            </w:pPr>
            <w:r>
              <w:rPr>
                <w:rFonts w:ascii="Arial" w:cs="Arial" w:eastAsia="Arial" w:hAnsi="Arial"/>
                <w:sz w:val="20"/>
                <w:szCs w:val="20"/>
                <w:color w:val="auto"/>
                <w:w w:val="89"/>
              </w:rPr>
              <w:t>2</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59,227</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20" w:type="dxa"/>
            <w:vAlign w:val="bottom"/>
            <w:gridSpan w:val="2"/>
            <w:shd w:val="clear" w:color="auto" w:fill="E0E0E0"/>
          </w:tcPr>
          <w:p>
            <w:pPr>
              <w:ind w:left="480"/>
              <w:spacing w:after="0"/>
              <w:rPr>
                <w:sz w:val="20"/>
                <w:szCs w:val="20"/>
                <w:color w:val="auto"/>
              </w:rPr>
            </w:pPr>
            <w:r>
              <w:rPr>
                <w:rFonts w:ascii="Arial" w:cs="Arial" w:eastAsia="Arial" w:hAnsi="Arial"/>
                <w:sz w:val="20"/>
                <w:szCs w:val="20"/>
                <w:color w:val="auto"/>
              </w:rPr>
              <w:t>—</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40" w:type="dxa"/>
            <w:vAlign w:val="bottom"/>
            <w:gridSpan w:val="3"/>
            <w:shd w:val="clear" w:color="auto" w:fill="E0E0E0"/>
          </w:tcPr>
          <w:p>
            <w:pPr>
              <w:jc w:val="right"/>
              <w:ind w:right="20"/>
              <w:spacing w:after="0"/>
              <w:rPr>
                <w:sz w:val="20"/>
                <w:szCs w:val="20"/>
                <w:color w:val="auto"/>
              </w:rPr>
            </w:pPr>
            <w:r>
              <w:rPr>
                <w:rFonts w:ascii="Arial" w:cs="Arial" w:eastAsia="Arial" w:hAnsi="Arial"/>
                <w:sz w:val="20"/>
                <w:szCs w:val="20"/>
                <w:color w:val="auto"/>
              </w:rPr>
              <w:t>(30)</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59,197</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180" w:type="dxa"/>
            <w:vAlign w:val="bottom"/>
            <w:tcBorders>
              <w:bottom w:val="single" w:sz="8" w:color="E0E0E0"/>
            </w:tcBorders>
          </w:tcPr>
          <w:p>
            <w:pPr>
              <w:ind w:left="280"/>
              <w:spacing w:after="0" w:line="220" w:lineRule="exact"/>
              <w:rPr>
                <w:sz w:val="20"/>
                <w:szCs w:val="20"/>
                <w:color w:val="auto"/>
              </w:rPr>
            </w:pPr>
            <w:r>
              <w:rPr>
                <w:rFonts w:ascii="Arial" w:cs="Arial" w:eastAsia="Arial" w:hAnsi="Arial"/>
                <w:sz w:val="20"/>
                <w:szCs w:val="20"/>
                <w:color w:val="auto"/>
              </w:rPr>
              <w:t>Total cash equivalents</w:t>
            </w:r>
          </w:p>
        </w:tc>
        <w:tc>
          <w:tcPr>
            <w:tcW w:w="20" w:type="dxa"/>
            <w:vAlign w:val="bottom"/>
            <w:tcBorders>
              <w:bottom w:val="single" w:sz="8" w:color="E0E0E0"/>
            </w:tcBorders>
          </w:tcPr>
          <w:p>
            <w:pPr>
              <w:spacing w:after="0"/>
              <w:rPr>
                <w:sz w:val="22"/>
                <w:szCs w:val="22"/>
                <w:color w:val="auto"/>
              </w:rPr>
            </w:pPr>
          </w:p>
        </w:tc>
        <w:tc>
          <w:tcPr>
            <w:tcW w:w="8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920" w:type="dxa"/>
            <w:vAlign w:val="bottom"/>
            <w:tcBorders>
              <w:bottom w:val="single" w:sz="8" w:color="E0E0E0"/>
            </w:tcBorders>
          </w:tcPr>
          <w:p>
            <w:pPr>
              <w:spacing w:after="0"/>
              <w:rPr>
                <w:sz w:val="22"/>
                <w:szCs w:val="22"/>
                <w:color w:val="auto"/>
              </w:rPr>
            </w:pPr>
          </w:p>
        </w:tc>
        <w:tc>
          <w:tcPr>
            <w:tcW w:w="100" w:type="dxa"/>
            <w:vAlign w:val="bottom"/>
            <w:tcBorders>
              <w:bottom w:val="single" w:sz="8" w:color="E0E0E0"/>
            </w:tcBorders>
            <w:gridSpan w:val="2"/>
          </w:tcPr>
          <w:p>
            <w:pPr>
              <w:spacing w:after="0"/>
              <w:rPr>
                <w:sz w:val="22"/>
                <w:szCs w:val="22"/>
                <w:color w:val="auto"/>
              </w:rPr>
            </w:pPr>
          </w:p>
        </w:tc>
        <w:tc>
          <w:tcPr>
            <w:tcW w:w="84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$ 59,290</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E0E0E0"/>
            </w:tcBorders>
            <w:gridSpan w:val="2"/>
          </w:tcPr>
          <w:p>
            <w:pPr>
              <w:spacing w:after="0"/>
              <w:rPr>
                <w:sz w:val="22"/>
                <w:szCs w:val="22"/>
                <w:color w:val="auto"/>
              </w:rPr>
            </w:pPr>
          </w:p>
        </w:tc>
        <w:tc>
          <w:tcPr>
            <w:tcW w:w="1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tcPr>
          <w:p>
            <w:pPr>
              <w:ind w:left="480"/>
              <w:spacing w:after="0" w:line="220" w:lineRule="exact"/>
              <w:rPr>
                <w:sz w:val="20"/>
                <w:szCs w:val="20"/>
                <w:color w:val="auto"/>
              </w:rPr>
            </w:pPr>
            <w:r>
              <w:rPr>
                <w:rFonts w:ascii="Arial" w:cs="Arial" w:eastAsia="Arial" w:hAnsi="Arial"/>
                <w:sz w:val="20"/>
                <w:szCs w:val="20"/>
                <w:color w:val="auto"/>
                <w:w w:val="99"/>
              </w:rPr>
              <w:t>—</w:t>
            </w:r>
          </w:p>
        </w:tc>
        <w:tc>
          <w:tcPr>
            <w:tcW w:w="20" w:type="dxa"/>
            <w:vAlign w:val="bottom"/>
            <w:tcBorders>
              <w:bottom w:val="single" w:sz="8" w:color="E0E0E0"/>
            </w:tcBorders>
          </w:tcPr>
          <w:p>
            <w:pPr>
              <w:spacing w:after="0"/>
              <w:rPr>
                <w:sz w:val="22"/>
                <w:szCs w:val="22"/>
                <w:color w:val="auto"/>
              </w:rPr>
            </w:pPr>
          </w:p>
        </w:tc>
        <w:tc>
          <w:tcPr>
            <w:tcW w:w="180" w:type="dxa"/>
            <w:vAlign w:val="bottom"/>
            <w:tcBorders>
              <w:bottom w:val="single" w:sz="8" w:color="E0E0E0"/>
            </w:tcBorders>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(30)</w:t>
            </w:r>
          </w:p>
        </w:tc>
        <w:tc>
          <w:tcPr>
            <w:tcW w:w="120" w:type="dxa"/>
            <w:vAlign w:val="bottom"/>
            <w:tcBorders>
              <w:bottom w:val="single" w:sz="8" w:color="E0E0E0"/>
            </w:tcBorders>
            <w:gridSpan w:val="2"/>
          </w:tcPr>
          <w:p>
            <w:pPr>
              <w:spacing w:after="0"/>
              <w:rPr>
                <w:sz w:val="22"/>
                <w:szCs w:val="22"/>
                <w:color w:val="auto"/>
              </w:rPr>
            </w:pPr>
          </w:p>
        </w:tc>
        <w:tc>
          <w:tcPr>
            <w:tcW w:w="80" w:type="dxa"/>
            <w:vAlign w:val="bottom"/>
            <w:tcBorders>
              <w:bottom w:val="single" w:sz="8" w:color="E0E0E0"/>
            </w:tcBorders>
            <w:gridSpan w:val="2"/>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59,260</w:t>
            </w:r>
          </w:p>
        </w:tc>
        <w:tc>
          <w:tcPr>
            <w:tcW w:w="20" w:type="dxa"/>
            <w:vAlign w:val="bottom"/>
            <w:tcBorders>
              <w:bottom w:val="single" w:sz="8" w:color="E0E0E0"/>
            </w:tcBorders>
          </w:tcPr>
          <w:p>
            <w:pPr>
              <w:spacing w:after="0"/>
              <w:rPr>
                <w:sz w:val="22"/>
                <w:szCs w:val="22"/>
                <w:color w:val="auto"/>
              </w:rPr>
            </w:pPr>
          </w:p>
        </w:tc>
        <w:tc>
          <w:tcPr>
            <w:tcW w:w="8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80" w:type="dxa"/>
            <w:vAlign w:val="bottom"/>
            <w:tcBorders>
              <w:bottom w:val="single" w:sz="8" w:color="auto"/>
            </w:tcBorders>
            <w:shd w:val="clear" w:color="auto" w:fill="E0E0E0"/>
          </w:tcPr>
          <w:p>
            <w:pPr>
              <w:spacing w:after="0" w:line="215" w:lineRule="exact"/>
              <w:rPr>
                <w:sz w:val="20"/>
                <w:szCs w:val="20"/>
                <w:color w:val="auto"/>
              </w:rPr>
            </w:pPr>
            <w:r>
              <w:rPr>
                <w:rFonts w:ascii="Arial" w:cs="Arial" w:eastAsia="Arial" w:hAnsi="Arial"/>
                <w:sz w:val="20"/>
                <w:szCs w:val="20"/>
                <w:color w:val="auto"/>
              </w:rPr>
              <w:t>Short-term investments:</w:t>
            </w:r>
          </w:p>
        </w:tc>
        <w:tc>
          <w:tcPr>
            <w:tcW w:w="20" w:type="dxa"/>
            <w:vAlign w:val="bottom"/>
            <w:tcBorders>
              <w:bottom w:val="single" w:sz="8" w:color="auto"/>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6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6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280"/>
              <w:spacing w:after="0" w:line="220" w:lineRule="exact"/>
              <w:rPr>
                <w:sz w:val="20"/>
                <w:szCs w:val="20"/>
                <w:color w:val="auto"/>
              </w:rPr>
            </w:pPr>
            <w:r>
              <w:rPr>
                <w:rFonts w:ascii="Arial" w:cs="Arial" w:eastAsia="Arial" w:hAnsi="Arial"/>
                <w:sz w:val="20"/>
                <w:szCs w:val="20"/>
                <w:color w:val="auto"/>
              </w:rPr>
              <w:t>Commercial paper</w:t>
            </w:r>
          </w:p>
        </w:tc>
        <w:tc>
          <w:tcPr>
            <w:tcW w:w="20" w:type="dxa"/>
            <w:vAlign w:val="bottom"/>
          </w:tcPr>
          <w:p>
            <w:pPr>
              <w:spacing w:after="0"/>
              <w:rPr>
                <w:sz w:val="19"/>
                <w:szCs w:val="19"/>
                <w:color w:val="auto"/>
              </w:rPr>
            </w:pPr>
          </w:p>
        </w:tc>
        <w:tc>
          <w:tcPr>
            <w:tcW w:w="1020" w:type="dxa"/>
            <w:vAlign w:val="bottom"/>
            <w:gridSpan w:val="3"/>
          </w:tcPr>
          <w:p>
            <w:pPr>
              <w:jc w:val="center"/>
              <w:spacing w:after="0" w:line="220" w:lineRule="exact"/>
              <w:rPr>
                <w:sz w:val="20"/>
                <w:szCs w:val="20"/>
                <w:color w:val="auto"/>
              </w:rPr>
            </w:pPr>
            <w:r>
              <w:rPr>
                <w:rFonts w:ascii="Arial" w:cs="Arial" w:eastAsia="Arial" w:hAnsi="Arial"/>
                <w:sz w:val="20"/>
                <w:szCs w:val="20"/>
                <w:color w:val="auto"/>
                <w:w w:val="89"/>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6,431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ind w:left="480"/>
              <w:spacing w:after="0" w:line="220" w:lineRule="exact"/>
              <w:rPr>
                <w:sz w:val="20"/>
                <w:szCs w:val="20"/>
                <w:color w:val="auto"/>
              </w:rPr>
            </w:pPr>
            <w:r>
              <w:rPr>
                <w:rFonts w:ascii="Arial" w:cs="Arial" w:eastAsia="Arial" w:hAnsi="Arial"/>
                <w:sz w:val="20"/>
                <w:szCs w:val="20"/>
                <w:color w:val="auto"/>
                <w:w w:val="99"/>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20"/>
              <w:spacing w:after="0" w:line="220" w:lineRule="exact"/>
              <w:rPr>
                <w:sz w:val="20"/>
                <w:szCs w:val="20"/>
                <w:color w:val="auto"/>
              </w:rPr>
            </w:pPr>
            <w:r>
              <w:rPr>
                <w:rFonts w:ascii="Arial" w:cs="Arial" w:eastAsia="Arial" w:hAnsi="Arial"/>
                <w:sz w:val="20"/>
                <w:szCs w:val="20"/>
                <w:color w:val="auto"/>
              </w:rPr>
              <w:t>(4)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Arial" w:cs="Arial" w:eastAsia="Arial" w:hAnsi="Arial"/>
                <w:sz w:val="20"/>
                <w:szCs w:val="20"/>
                <w:color w:val="auto"/>
              </w:rPr>
              <w:t>6,427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E0E0E0"/>
          </w:tcPr>
          <w:p>
            <w:pPr>
              <w:ind w:left="280"/>
              <w:spacing w:after="0" w:line="210" w:lineRule="exact"/>
              <w:rPr>
                <w:sz w:val="20"/>
                <w:szCs w:val="20"/>
                <w:color w:val="auto"/>
              </w:rPr>
            </w:pPr>
            <w:r>
              <w:rPr>
                <w:rFonts w:ascii="Arial" w:cs="Arial" w:eastAsia="Arial" w:hAnsi="Arial"/>
                <w:sz w:val="20"/>
                <w:szCs w:val="20"/>
                <w:color w:val="auto"/>
              </w:rPr>
              <w:t>U.S. government debt and agency</w:t>
            </w: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6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68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80" w:type="dxa"/>
            <w:vAlign w:val="bottom"/>
            <w:shd w:val="clear" w:color="auto" w:fill="E0E0E0"/>
          </w:tcPr>
          <w:p>
            <w:pPr>
              <w:ind w:left="440"/>
              <w:spacing w:after="0"/>
              <w:rPr>
                <w:sz w:val="20"/>
                <w:szCs w:val="20"/>
                <w:color w:val="auto"/>
              </w:rPr>
            </w:pPr>
            <w:r>
              <w:rPr>
                <w:rFonts w:ascii="Arial" w:cs="Arial" w:eastAsia="Arial" w:hAnsi="Arial"/>
                <w:sz w:val="20"/>
                <w:szCs w:val="20"/>
                <w:color w:val="auto"/>
              </w:rPr>
              <w:t>securities</w:t>
            </w:r>
          </w:p>
        </w:tc>
        <w:tc>
          <w:tcPr>
            <w:tcW w:w="20" w:type="dxa"/>
            <w:vAlign w:val="bottom"/>
            <w:shd w:val="clear" w:color="auto" w:fill="E0E0E0"/>
          </w:tcPr>
          <w:p>
            <w:pPr>
              <w:spacing w:after="0"/>
              <w:rPr>
                <w:sz w:val="21"/>
                <w:szCs w:val="21"/>
                <w:color w:val="auto"/>
              </w:rPr>
            </w:pPr>
          </w:p>
        </w:tc>
        <w:tc>
          <w:tcPr>
            <w:tcW w:w="1020" w:type="dxa"/>
            <w:vAlign w:val="bottom"/>
            <w:gridSpan w:val="3"/>
            <w:shd w:val="clear" w:color="auto" w:fill="E0E0E0"/>
          </w:tcPr>
          <w:p>
            <w:pPr>
              <w:jc w:val="center"/>
              <w:spacing w:after="0"/>
              <w:rPr>
                <w:sz w:val="20"/>
                <w:szCs w:val="20"/>
                <w:color w:val="auto"/>
              </w:rPr>
            </w:pPr>
            <w:r>
              <w:rPr>
                <w:rFonts w:ascii="Arial" w:cs="Arial" w:eastAsia="Arial" w:hAnsi="Arial"/>
                <w:sz w:val="20"/>
                <w:szCs w:val="20"/>
                <w:color w:val="auto"/>
                <w:w w:val="89"/>
              </w:rPr>
              <w:t>2</w:t>
            </w:r>
          </w:p>
        </w:tc>
        <w:tc>
          <w:tcPr>
            <w:tcW w:w="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50,723</w:t>
            </w:r>
          </w:p>
        </w:tc>
        <w:tc>
          <w:tcPr>
            <w:tcW w:w="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720" w:type="dxa"/>
            <w:vAlign w:val="bottom"/>
            <w:gridSpan w:val="2"/>
            <w:shd w:val="clear" w:color="auto" w:fill="E0E0E0"/>
          </w:tcPr>
          <w:p>
            <w:pPr>
              <w:ind w:left="480"/>
              <w:spacing w:after="0"/>
              <w:rPr>
                <w:sz w:val="20"/>
                <w:szCs w:val="20"/>
                <w:color w:val="auto"/>
              </w:rPr>
            </w:pPr>
            <w:r>
              <w:rPr>
                <w:rFonts w:ascii="Arial" w:cs="Arial" w:eastAsia="Arial" w:hAnsi="Arial"/>
                <w:sz w:val="20"/>
                <w:szCs w:val="20"/>
                <w:color w:val="auto"/>
              </w:rPr>
              <w:t>—</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840" w:type="dxa"/>
            <w:vAlign w:val="bottom"/>
            <w:gridSpan w:val="3"/>
            <w:shd w:val="clear" w:color="auto" w:fill="E0E0E0"/>
          </w:tcPr>
          <w:p>
            <w:pPr>
              <w:jc w:val="right"/>
              <w:ind w:right="20"/>
              <w:spacing w:after="0"/>
              <w:rPr>
                <w:sz w:val="20"/>
                <w:szCs w:val="20"/>
                <w:color w:val="auto"/>
              </w:rPr>
            </w:pPr>
            <w:r>
              <w:rPr>
                <w:rFonts w:ascii="Arial" w:cs="Arial" w:eastAsia="Arial" w:hAnsi="Arial"/>
                <w:sz w:val="20"/>
                <w:szCs w:val="20"/>
                <w:color w:val="auto"/>
              </w:rPr>
              <w:t>(315)</w:t>
            </w: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6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50,408</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line="220" w:lineRule="exact"/>
              <w:rPr>
                <w:sz w:val="20"/>
                <w:szCs w:val="20"/>
                <w:color w:val="auto"/>
              </w:rPr>
            </w:pPr>
            <w:r>
              <w:rPr>
                <w:rFonts w:ascii="Arial" w:cs="Arial" w:eastAsia="Arial" w:hAnsi="Arial"/>
                <w:sz w:val="20"/>
                <w:szCs w:val="20"/>
                <w:color w:val="auto"/>
              </w:rPr>
              <w:t>Total short-term investments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rPr>
              <w:t>$ 57,154</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tcPr>
          <w:p>
            <w:pPr>
              <w:ind w:left="480"/>
              <w:spacing w:after="0" w:line="220" w:lineRule="exact"/>
              <w:rPr>
                <w:sz w:val="20"/>
                <w:szCs w:val="20"/>
                <w:color w:val="auto"/>
              </w:rPr>
            </w:pPr>
            <w:r>
              <w:rPr>
                <w:rFonts w:ascii="Arial" w:cs="Arial" w:eastAsia="Arial" w:hAnsi="Arial"/>
                <w:sz w:val="20"/>
                <w:szCs w:val="20"/>
                <w:color w:val="auto"/>
                <w:w w:val="99"/>
              </w:rPr>
              <w:t>—</w:t>
            </w: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(319</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line="220" w:lineRule="exact"/>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56,835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All the commercial paper and U.S. government debt and agency securities designated as short-term investments have an effective maturity date that is equal to or less than one year from the respective balance sheet date.</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Property and Equipment, Net</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Property and equipment consisted of the following (in thousands):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500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65"/>
              <w:spacing w:after="0" w:line="174"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bottom w:val="single" w:sz="8" w:color="E0E0E0"/>
            </w:tcBorders>
          </w:tcPr>
          <w:p>
            <w:pPr>
              <w:spacing w:after="0"/>
              <w:rPr>
                <w:sz w:val="15"/>
                <w:szCs w:val="15"/>
                <w:color w:val="auto"/>
              </w:rPr>
            </w:pPr>
          </w:p>
        </w:tc>
        <w:tc>
          <w:tcPr>
            <w:tcW w:w="6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63"/>
              <w:spacing w:after="0" w:line="174"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0E0E0"/>
            </w:tcBorders>
          </w:tcPr>
          <w:p>
            <w:pPr>
              <w:spacing w:after="0"/>
              <w:rPr>
                <w:sz w:val="15"/>
                <w:szCs w:val="15"/>
                <w:color w:val="auto"/>
              </w:rPr>
            </w:pPr>
          </w:p>
        </w:tc>
      </w:tr>
      <w:tr>
        <w:trPr>
          <w:trHeight w:val="220"/>
        </w:trPr>
        <w:tc>
          <w:tcPr>
            <w:tcW w:w="50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Lab equipment</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705</w:t>
            </w:r>
          </w:p>
        </w:tc>
        <w:tc>
          <w:tcPr>
            <w:tcW w:w="1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0" w:lineRule="exact"/>
              <w:rPr>
                <w:sz w:val="20"/>
                <w:szCs w:val="20"/>
                <w:color w:val="auto"/>
              </w:rPr>
            </w:pPr>
            <w:r>
              <w:rPr>
                <w:rFonts w:ascii="Arial" w:cs="Arial" w:eastAsia="Arial" w:hAnsi="Arial"/>
                <w:sz w:val="20"/>
                <w:szCs w:val="20"/>
                <w:color w:val="auto"/>
                <w:w w:val="71"/>
              </w:rPr>
              <w:t>$</w:t>
            </w: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688</w:t>
            </w:r>
          </w:p>
        </w:tc>
        <w:tc>
          <w:tcPr>
            <w:tcW w:w="60" w:type="dxa"/>
            <w:vAlign w:val="bottom"/>
            <w:shd w:val="clear" w:color="auto" w:fill="E0E0E0"/>
          </w:tcPr>
          <w:p>
            <w:pPr>
              <w:spacing w:after="0"/>
              <w:rPr>
                <w:sz w:val="19"/>
                <w:szCs w:val="19"/>
                <w:color w:val="auto"/>
              </w:rPr>
            </w:pPr>
          </w:p>
        </w:tc>
      </w:tr>
      <w:tr>
        <w:trPr>
          <w:trHeight w:val="211"/>
        </w:trPr>
        <w:tc>
          <w:tcPr>
            <w:tcW w:w="5000" w:type="dxa"/>
            <w:vAlign w:val="bottom"/>
          </w:tcPr>
          <w:p>
            <w:pPr>
              <w:spacing w:after="0" w:line="210" w:lineRule="exact"/>
              <w:rPr>
                <w:sz w:val="20"/>
                <w:szCs w:val="20"/>
                <w:color w:val="auto"/>
              </w:rPr>
            </w:pPr>
            <w:r>
              <w:rPr>
                <w:rFonts w:ascii="Arial" w:cs="Arial" w:eastAsia="Arial" w:hAnsi="Arial"/>
                <w:sz w:val="20"/>
                <w:szCs w:val="20"/>
                <w:color w:val="auto"/>
              </w:rPr>
              <w:t>Office furniture, fixtures, and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000" w:type="dxa"/>
            <w:vAlign w:val="bottom"/>
          </w:tcPr>
          <w:p>
            <w:pPr>
              <w:ind w:left="160"/>
              <w:spacing w:after="0"/>
              <w:rPr>
                <w:sz w:val="20"/>
                <w:szCs w:val="20"/>
                <w:color w:val="auto"/>
              </w:rPr>
            </w:pPr>
            <w:r>
              <w:rPr>
                <w:rFonts w:ascii="Arial" w:cs="Arial" w:eastAsia="Arial" w:hAnsi="Arial"/>
                <w:sz w:val="20"/>
                <w:szCs w:val="20"/>
                <w:color w:val="auto"/>
              </w:rPr>
              <w:t>computer equipment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712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712</w:t>
            </w:r>
          </w:p>
        </w:tc>
        <w:tc>
          <w:tcPr>
            <w:tcW w:w="60" w:type="dxa"/>
            <w:vAlign w:val="bottom"/>
          </w:tcPr>
          <w:p>
            <w:pPr>
              <w:spacing w:after="0"/>
              <w:rPr>
                <w:sz w:val="21"/>
                <w:szCs w:val="21"/>
                <w:color w:val="auto"/>
              </w:rPr>
            </w:pPr>
          </w:p>
        </w:tc>
      </w:tr>
      <w:tr>
        <w:trPr>
          <w:trHeight w:val="230"/>
        </w:trPr>
        <w:tc>
          <w:tcPr>
            <w:tcW w:w="5000" w:type="dxa"/>
            <w:vAlign w:val="bottom"/>
            <w:shd w:val="clear" w:color="auto" w:fill="E0E0E0"/>
          </w:tcPr>
          <w:p>
            <w:pPr>
              <w:spacing w:after="0"/>
              <w:rPr>
                <w:sz w:val="20"/>
                <w:szCs w:val="20"/>
                <w:color w:val="auto"/>
              </w:rPr>
            </w:pPr>
            <w:r>
              <w:rPr>
                <w:rFonts w:ascii="Arial" w:cs="Arial" w:eastAsia="Arial" w:hAnsi="Arial"/>
                <w:sz w:val="20"/>
                <w:szCs w:val="20"/>
                <w:color w:val="auto"/>
              </w:rPr>
              <w:t>Leasehold improvement</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spacing w:after="0"/>
              <w:rPr>
                <w:sz w:val="19"/>
                <w:szCs w:val="19"/>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4,322</w:t>
            </w:r>
          </w:p>
        </w:tc>
        <w:tc>
          <w:tcPr>
            <w:tcW w:w="12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spacing w:after="0"/>
              <w:rPr>
                <w:sz w:val="19"/>
                <w:szCs w:val="19"/>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4,322</w:t>
            </w:r>
          </w:p>
        </w:tc>
        <w:tc>
          <w:tcPr>
            <w:tcW w:w="60" w:type="dxa"/>
            <w:vAlign w:val="bottom"/>
            <w:shd w:val="clear" w:color="auto" w:fill="E0E0E0"/>
          </w:tcPr>
          <w:p>
            <w:pPr>
              <w:spacing w:after="0"/>
              <w:rPr>
                <w:sz w:val="19"/>
                <w:szCs w:val="19"/>
                <w:color w:val="auto"/>
              </w:rPr>
            </w:pPr>
          </w:p>
        </w:tc>
      </w:tr>
      <w:tr>
        <w:trPr>
          <w:trHeight w:val="220"/>
        </w:trPr>
        <w:tc>
          <w:tcPr>
            <w:tcW w:w="5000" w:type="dxa"/>
            <w:vAlign w:val="bottom"/>
          </w:tcPr>
          <w:p>
            <w:pPr>
              <w:spacing w:after="0" w:line="220" w:lineRule="exact"/>
              <w:rPr>
                <w:sz w:val="20"/>
                <w:szCs w:val="20"/>
                <w:color w:val="auto"/>
              </w:rPr>
            </w:pPr>
            <w:r>
              <w:rPr>
                <w:rFonts w:ascii="Arial" w:cs="Arial" w:eastAsia="Arial" w:hAnsi="Arial"/>
                <w:sz w:val="20"/>
                <w:szCs w:val="20"/>
                <w:color w:val="auto"/>
              </w:rPr>
              <w:t>Property and equipment, at cost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Arial" w:cs="Arial" w:eastAsia="Arial" w:hAnsi="Arial"/>
                <w:sz w:val="20"/>
                <w:szCs w:val="20"/>
                <w:color w:val="auto"/>
              </w:rPr>
              <w:t>5,739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Arial" w:cs="Arial" w:eastAsia="Arial" w:hAnsi="Arial"/>
                <w:sz w:val="20"/>
                <w:szCs w:val="20"/>
                <w:color w:val="auto"/>
              </w:rPr>
              <w:t>5,722</w:t>
            </w:r>
          </w:p>
        </w:tc>
        <w:tc>
          <w:tcPr>
            <w:tcW w:w="60" w:type="dxa"/>
            <w:vAlign w:val="bottom"/>
          </w:tcPr>
          <w:p>
            <w:pPr>
              <w:spacing w:after="0"/>
              <w:rPr>
                <w:sz w:val="19"/>
                <w:szCs w:val="19"/>
                <w:color w:val="auto"/>
              </w:rPr>
            </w:pPr>
          </w:p>
        </w:tc>
      </w:tr>
      <w:tr>
        <w:trPr>
          <w:trHeight w:val="230"/>
        </w:trPr>
        <w:tc>
          <w:tcPr>
            <w:tcW w:w="5000" w:type="dxa"/>
            <w:vAlign w:val="bottom"/>
            <w:shd w:val="clear" w:color="auto" w:fill="E0E0E0"/>
          </w:tcPr>
          <w:p>
            <w:pPr>
              <w:spacing w:after="0"/>
              <w:rPr>
                <w:sz w:val="20"/>
                <w:szCs w:val="20"/>
                <w:color w:val="auto"/>
              </w:rPr>
            </w:pPr>
            <w:r>
              <w:rPr>
                <w:rFonts w:ascii="Arial" w:cs="Arial" w:eastAsia="Arial" w:hAnsi="Arial"/>
                <w:sz w:val="20"/>
                <w:szCs w:val="20"/>
                <w:color w:val="auto"/>
              </w:rPr>
              <w:t>Less: accumulated depreciation</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96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(3,295)</w:t>
            </w:r>
          </w:p>
        </w:tc>
        <w:tc>
          <w:tcPr>
            <w:tcW w:w="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9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(2,334)</w:t>
            </w:r>
          </w:p>
        </w:tc>
      </w:tr>
      <w:tr>
        <w:trPr>
          <w:trHeight w:val="220"/>
        </w:trPr>
        <w:tc>
          <w:tcPr>
            <w:tcW w:w="5000" w:type="dxa"/>
            <w:vAlign w:val="bottom"/>
          </w:tcPr>
          <w:p>
            <w:pPr>
              <w:ind w:left="280"/>
              <w:spacing w:after="0" w:line="220" w:lineRule="exact"/>
              <w:rPr>
                <w:sz w:val="20"/>
                <w:szCs w:val="20"/>
                <w:color w:val="auto"/>
              </w:rPr>
            </w:pPr>
            <w:r>
              <w:rPr>
                <w:rFonts w:ascii="Arial" w:cs="Arial" w:eastAsia="Arial" w:hAnsi="Arial"/>
                <w:sz w:val="20"/>
                <w:szCs w:val="20"/>
                <w:color w:val="auto"/>
              </w:rPr>
              <w:t>Property and equipment, net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2,444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3,388</w:t>
            </w:r>
          </w:p>
        </w:tc>
        <w:tc>
          <w:tcPr>
            <w:tcW w:w="6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Depreciation expense was $970,000 and $969,000 for the years ended December 31, 2024 and 2023, respectively.</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ectPr>
          <w:pgSz w:w="12240" w:h="15840" w:orient="portrait"/>
          <w:cols w:equalWidth="0" w:num="1">
            <w:col w:w="9360"/>
          </w:cols>
          <w:pgMar w:left="1440" w:top="1420" w:right="1440" w:bottom="186"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t>5. Accrued Liabilities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Accrued liabilities consisted of the following (in thousands):</w:t>
      </w:r>
    </w:p>
    <w:p>
      <w:pPr>
        <w:spacing w:after="0" w:line="277"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7"/>
                <w:szCs w:val="17"/>
                <w:color w:val="auto"/>
              </w:rPr>
            </w:pPr>
          </w:p>
        </w:tc>
      </w:tr>
      <w:tr>
        <w:trPr>
          <w:trHeight w:val="174"/>
        </w:trPr>
        <w:tc>
          <w:tcPr>
            <w:tcW w:w="500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6"/>
              <w:spacing w:after="0" w:line="174" w:lineRule="exact"/>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3"/>
              <w:spacing w:after="0" w:line="174"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0E0E0"/>
            </w:tcBorders>
          </w:tcPr>
          <w:p>
            <w:pPr>
              <w:spacing w:after="0"/>
              <w:rPr>
                <w:sz w:val="15"/>
                <w:szCs w:val="15"/>
                <w:color w:val="auto"/>
              </w:rPr>
            </w:pPr>
          </w:p>
        </w:tc>
      </w:tr>
      <w:tr>
        <w:trPr>
          <w:trHeight w:val="220"/>
        </w:trPr>
        <w:tc>
          <w:tcPr>
            <w:tcW w:w="50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Research and development</w:t>
            </w:r>
          </w:p>
        </w:tc>
        <w:tc>
          <w:tcPr>
            <w:tcW w:w="120" w:type="dxa"/>
            <w:vAlign w:val="bottom"/>
            <w:shd w:val="clear" w:color="auto" w:fill="E0E0E0"/>
          </w:tcPr>
          <w:p>
            <w:pPr>
              <w:spacing w:after="0"/>
              <w:rPr>
                <w:sz w:val="19"/>
                <w:szCs w:val="19"/>
                <w:color w:val="auto"/>
              </w:rPr>
            </w:pPr>
          </w:p>
        </w:tc>
        <w:tc>
          <w:tcPr>
            <w:tcW w:w="2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3,424</w:t>
            </w: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8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11,916</w:t>
            </w:r>
          </w:p>
        </w:tc>
        <w:tc>
          <w:tcPr>
            <w:tcW w:w="60" w:type="dxa"/>
            <w:vAlign w:val="bottom"/>
            <w:shd w:val="clear" w:color="auto" w:fill="E0E0E0"/>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Employee compensation and benefits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2,990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4,545</w:t>
            </w:r>
          </w:p>
        </w:tc>
        <w:tc>
          <w:tcPr>
            <w:tcW w:w="60" w:type="dxa"/>
            <w:vAlign w:val="bottom"/>
          </w:tcPr>
          <w:p>
            <w:pPr>
              <w:spacing w:after="0"/>
              <w:rPr>
                <w:sz w:val="19"/>
                <w:szCs w:val="19"/>
                <w:color w:val="auto"/>
              </w:rPr>
            </w:pPr>
          </w:p>
        </w:tc>
      </w:tr>
      <w:tr>
        <w:trPr>
          <w:trHeight w:val="230"/>
        </w:trPr>
        <w:tc>
          <w:tcPr>
            <w:tcW w:w="5000" w:type="dxa"/>
            <w:vAlign w:val="bottom"/>
            <w:shd w:val="clear" w:color="auto" w:fill="E0E0E0"/>
          </w:tcPr>
          <w:p>
            <w:pPr>
              <w:spacing w:after="0"/>
              <w:rPr>
                <w:sz w:val="20"/>
                <w:szCs w:val="20"/>
                <w:color w:val="auto"/>
              </w:rPr>
            </w:pPr>
            <w:r>
              <w:rPr>
                <w:rFonts w:ascii="Arial" w:cs="Arial" w:eastAsia="Arial" w:hAnsi="Arial"/>
                <w:sz w:val="20"/>
                <w:szCs w:val="20"/>
                <w:color w:val="auto"/>
              </w:rPr>
              <w:t>Legal expense</w:t>
            </w:r>
          </w:p>
        </w:tc>
        <w:tc>
          <w:tcPr>
            <w:tcW w:w="1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4,127</w:t>
            </w: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0E0E0"/>
          </w:tcPr>
          <w:p>
            <w:pPr>
              <w:spacing w:after="0"/>
              <w:rPr>
                <w:sz w:val="19"/>
                <w:szCs w:val="19"/>
                <w:color w:val="auto"/>
              </w:rPr>
            </w:pPr>
          </w:p>
        </w:tc>
      </w:tr>
      <w:tr>
        <w:trPr>
          <w:trHeight w:val="230"/>
        </w:trPr>
        <w:tc>
          <w:tcPr>
            <w:tcW w:w="500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Professional services and other</w:t>
            </w:r>
          </w:p>
        </w:tc>
        <w:tc>
          <w:tcPr>
            <w:tcW w:w="120" w:type="dxa"/>
            <w:vAlign w:val="bottom"/>
            <w:tcBorders>
              <w:bottom w:val="single" w:sz="8" w:color="E0E0E0"/>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1,861</w:t>
            </w:r>
          </w:p>
        </w:tc>
        <w:tc>
          <w:tcPr>
            <w:tcW w:w="180" w:type="dxa"/>
            <w:vAlign w:val="bottom"/>
            <w:tcBorders>
              <w:bottom w:val="single" w:sz="8" w:color="E0E0E0"/>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1,882</w:t>
            </w:r>
          </w:p>
        </w:tc>
        <w:tc>
          <w:tcPr>
            <w:tcW w:w="60" w:type="dxa"/>
            <w:vAlign w:val="bottom"/>
            <w:tcBorders>
              <w:bottom w:val="single" w:sz="8" w:color="E0E0E0"/>
            </w:tcBorders>
          </w:tcPr>
          <w:p>
            <w:pPr>
              <w:spacing w:after="0"/>
              <w:rPr>
                <w:sz w:val="19"/>
                <w:szCs w:val="19"/>
                <w:color w:val="auto"/>
              </w:rPr>
            </w:pPr>
          </w:p>
        </w:tc>
      </w:tr>
      <w:tr>
        <w:trPr>
          <w:trHeight w:val="220"/>
        </w:trPr>
        <w:tc>
          <w:tcPr>
            <w:tcW w:w="5000" w:type="dxa"/>
            <w:vAlign w:val="bottom"/>
            <w:shd w:val="clear" w:color="auto" w:fill="E0E0E0"/>
          </w:tcPr>
          <w:p>
            <w:pPr>
              <w:ind w:left="280"/>
              <w:spacing w:after="0" w:line="220" w:lineRule="exact"/>
              <w:rPr>
                <w:sz w:val="20"/>
                <w:szCs w:val="20"/>
                <w:color w:val="auto"/>
              </w:rPr>
            </w:pPr>
            <w:r>
              <w:rPr>
                <w:rFonts w:ascii="Arial" w:cs="Arial" w:eastAsia="Arial" w:hAnsi="Arial"/>
                <w:sz w:val="20"/>
                <w:szCs w:val="20"/>
                <w:color w:val="auto"/>
              </w:rPr>
              <w:t>Total accrued liabilities</w:t>
            </w:r>
          </w:p>
        </w:tc>
        <w:tc>
          <w:tcPr>
            <w:tcW w:w="120" w:type="dxa"/>
            <w:vAlign w:val="bottom"/>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8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12,402</w:t>
            </w:r>
          </w:p>
        </w:tc>
        <w:tc>
          <w:tcPr>
            <w:tcW w:w="180" w:type="dxa"/>
            <w:vAlign w:val="bottom"/>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jc w:val="right"/>
              <w:ind w:right="20"/>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8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18,343</w:t>
            </w:r>
          </w:p>
        </w:tc>
        <w:tc>
          <w:tcPr>
            <w:tcW w:w="60" w:type="dxa"/>
            <w:vAlign w:val="bottom"/>
            <w:shd w:val="clear" w:color="auto" w:fill="E0E0E0"/>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Segment Reporting</w:t>
      </w:r>
    </w:p>
    <w:p>
      <w:pPr>
        <w:spacing w:after="0" w:line="12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The Company operates as a single operating segment, which is the business of developing and commercializing therapeutics. The Company’s chief operating decision maker, or CODM, its chief executive officer, reviews financial information on an aggregate basis for the purpose of allocating resources and assessing performance. When deciding how to allocate resources, the CODM reviews the financial results of the Company's drug candidate programs. The measure of segment assets is reported on the consolidated balance sheet as total assets.</w:t>
      </w:r>
    </w:p>
    <w:p>
      <w:pPr>
        <w:spacing w:after="0" w:line="7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table below is a summary of the segment profit or loss, including significant segment expenses (in thousands):</w:t>
      </w:r>
    </w:p>
    <w:p>
      <w:pPr>
        <w:spacing w:after="0" w:line="54"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r>
      <w:tr>
        <w:trPr>
          <w:trHeight w:val="188"/>
        </w:trPr>
        <w:tc>
          <w:tcPr>
            <w:tcW w:w="458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E0E0E0"/>
            </w:tcBorders>
          </w:tcPr>
          <w:p>
            <w:pPr>
              <w:spacing w:after="0"/>
              <w:rPr>
                <w:sz w:val="16"/>
                <w:szCs w:val="16"/>
                <w:color w:val="auto"/>
              </w:rPr>
            </w:pPr>
          </w:p>
        </w:tc>
        <w:tc>
          <w:tcPr>
            <w:tcW w:w="80" w:type="dxa"/>
            <w:vAlign w:val="bottom"/>
            <w:tcBorders>
              <w:top w:val="single" w:sz="8" w:color="auto"/>
              <w:bottom w:val="single" w:sz="8" w:color="E0E0E0"/>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0E0E0"/>
            </w:tcBorders>
          </w:tcPr>
          <w:p>
            <w:pPr>
              <w:spacing w:after="0"/>
              <w:rPr>
                <w:sz w:val="16"/>
                <w:szCs w:val="16"/>
                <w:color w:val="auto"/>
              </w:rPr>
            </w:pPr>
          </w:p>
        </w:tc>
      </w:tr>
      <w:tr>
        <w:trPr>
          <w:trHeight w:val="234"/>
        </w:trPr>
        <w:tc>
          <w:tcPr>
            <w:tcW w:w="4580" w:type="dxa"/>
            <w:vAlign w:val="bottom"/>
            <w:shd w:val="clear" w:color="auto" w:fill="E0E0E0"/>
          </w:tcPr>
          <w:p>
            <w:pPr>
              <w:spacing w:after="0"/>
              <w:rPr>
                <w:sz w:val="20"/>
                <w:szCs w:val="20"/>
                <w:color w:val="auto"/>
              </w:rPr>
            </w:pPr>
            <w:r>
              <w:rPr>
                <w:rFonts w:ascii="Arial" w:cs="Arial" w:eastAsia="Arial" w:hAnsi="Arial"/>
                <w:sz w:val="20"/>
                <w:szCs w:val="20"/>
                <w:color w:val="auto"/>
              </w:rPr>
              <w:t>Research and development expenses:</w:t>
            </w:r>
          </w:p>
        </w:tc>
        <w:tc>
          <w:tcPr>
            <w:tcW w:w="1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9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0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4580" w:type="dxa"/>
            <w:vAlign w:val="bottom"/>
          </w:tcPr>
          <w:p>
            <w:pPr>
              <w:ind w:left="280"/>
              <w:spacing w:after="0"/>
              <w:rPr>
                <w:sz w:val="20"/>
                <w:szCs w:val="20"/>
                <w:color w:val="auto"/>
              </w:rPr>
            </w:pPr>
            <w:r>
              <w:rPr>
                <w:rFonts w:ascii="Arial" w:cs="Arial" w:eastAsia="Arial" w:hAnsi="Arial"/>
                <w:sz w:val="20"/>
                <w:szCs w:val="20"/>
                <w:color w:val="auto"/>
              </w:rPr>
              <w:t>Fosgonimeton (ATH-1017)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41,510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66,524</w:t>
            </w:r>
          </w:p>
        </w:tc>
        <w:tc>
          <w:tcPr>
            <w:tcW w:w="80" w:type="dxa"/>
            <w:vAlign w:val="bottom"/>
          </w:tcPr>
          <w:p>
            <w:pPr>
              <w:spacing w:after="0"/>
              <w:rPr>
                <w:sz w:val="21"/>
                <w:szCs w:val="21"/>
                <w:color w:val="auto"/>
              </w:rPr>
            </w:pPr>
          </w:p>
        </w:tc>
      </w:tr>
      <w:tr>
        <w:trPr>
          <w:trHeight w:val="244"/>
        </w:trPr>
        <w:tc>
          <w:tcPr>
            <w:tcW w:w="45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ATH-1105</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8,567</w:t>
            </w:r>
          </w:p>
        </w:tc>
        <w:tc>
          <w:tcPr>
            <w:tcW w:w="140" w:type="dxa"/>
            <w:vAlign w:val="bottom"/>
            <w:shd w:val="clear" w:color="auto" w:fill="E0E0E0"/>
          </w:tcPr>
          <w:p>
            <w:pPr>
              <w:spacing w:after="0"/>
              <w:rPr>
                <w:sz w:val="21"/>
                <w:szCs w:val="21"/>
                <w:color w:val="auto"/>
              </w:rPr>
            </w:pPr>
          </w:p>
        </w:tc>
        <w:tc>
          <w:tcPr>
            <w:tcW w:w="380" w:type="dxa"/>
            <w:vAlign w:val="bottom"/>
            <w:gridSpan w:val="2"/>
            <w:shd w:val="clear" w:color="auto" w:fill="E0E0E0"/>
          </w:tcPr>
          <w:p>
            <w:pPr>
              <w:jc w:val="right"/>
              <w:ind w:right="10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E0E0E0"/>
          </w:tcPr>
          <w:p>
            <w:pPr>
              <w:jc w:val="right"/>
              <w:ind w:right="20"/>
              <w:spacing w:after="0"/>
              <w:rPr>
                <w:sz w:val="20"/>
                <w:szCs w:val="20"/>
                <w:color w:val="auto"/>
              </w:rPr>
            </w:pPr>
            <w:r>
              <w:rPr>
                <w:rFonts w:ascii="Arial" w:cs="Arial" w:eastAsia="Arial" w:hAnsi="Arial"/>
                <w:sz w:val="20"/>
                <w:szCs w:val="20"/>
                <w:color w:val="auto"/>
              </w:rPr>
              <w:t>—</w:t>
            </w:r>
          </w:p>
        </w:tc>
      </w:tr>
      <w:tr>
        <w:trPr>
          <w:trHeight w:val="244"/>
        </w:trPr>
        <w:tc>
          <w:tcPr>
            <w:tcW w:w="4580" w:type="dxa"/>
            <w:vAlign w:val="bottom"/>
          </w:tcPr>
          <w:p>
            <w:pPr>
              <w:ind w:left="280"/>
              <w:spacing w:after="0"/>
              <w:rPr>
                <w:sz w:val="20"/>
                <w:szCs w:val="20"/>
                <w:color w:val="auto"/>
              </w:rPr>
            </w:pPr>
            <w:r>
              <w:rPr>
                <w:rFonts w:ascii="Arial" w:cs="Arial" w:eastAsia="Arial" w:hAnsi="Arial"/>
                <w:sz w:val="20"/>
                <w:szCs w:val="20"/>
                <w:color w:val="auto"/>
              </w:rPr>
              <w:t>ATH-1020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495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704</w:t>
            </w:r>
          </w:p>
        </w:tc>
        <w:tc>
          <w:tcPr>
            <w:tcW w:w="80" w:type="dxa"/>
            <w:vAlign w:val="bottom"/>
          </w:tcPr>
          <w:p>
            <w:pPr>
              <w:spacing w:after="0"/>
              <w:rPr>
                <w:sz w:val="21"/>
                <w:szCs w:val="21"/>
                <w:color w:val="auto"/>
              </w:rPr>
            </w:pPr>
          </w:p>
        </w:tc>
      </w:tr>
      <w:tr>
        <w:trPr>
          <w:trHeight w:val="244"/>
        </w:trPr>
        <w:tc>
          <w:tcPr>
            <w:tcW w:w="45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Preclinical programs and other costs</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3,390</w:t>
            </w:r>
          </w:p>
        </w:tc>
        <w:tc>
          <w:tcPr>
            <w:tcW w:w="1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8,219</w:t>
            </w:r>
          </w:p>
        </w:tc>
        <w:tc>
          <w:tcPr>
            <w:tcW w:w="80" w:type="dxa"/>
            <w:vAlign w:val="bottom"/>
            <w:shd w:val="clear" w:color="auto" w:fill="E0E0E0"/>
          </w:tcPr>
          <w:p>
            <w:pPr>
              <w:spacing w:after="0"/>
              <w:rPr>
                <w:sz w:val="21"/>
                <w:szCs w:val="21"/>
                <w:color w:val="auto"/>
              </w:rPr>
            </w:pPr>
          </w:p>
        </w:tc>
      </w:tr>
      <w:tr>
        <w:trPr>
          <w:trHeight w:val="225"/>
        </w:trPr>
        <w:tc>
          <w:tcPr>
            <w:tcW w:w="4580" w:type="dxa"/>
            <w:vAlign w:val="bottom"/>
          </w:tcPr>
          <w:p>
            <w:pPr>
              <w:ind w:left="280"/>
              <w:spacing w:after="0" w:line="225" w:lineRule="exact"/>
              <w:rPr>
                <w:sz w:val="20"/>
                <w:szCs w:val="20"/>
                <w:color w:val="auto"/>
              </w:rPr>
            </w:pPr>
            <w:r>
              <w:rPr>
                <w:rFonts w:ascii="Arial" w:cs="Arial" w:eastAsia="Arial" w:hAnsi="Arial"/>
                <w:sz w:val="20"/>
                <w:szCs w:val="20"/>
                <w:color w:val="auto"/>
              </w:rPr>
              <w:t>Personnel-related costs, excluding stock-</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4580" w:type="dxa"/>
            <w:vAlign w:val="bottom"/>
            <w:tcBorders>
              <w:bottom w:val="single" w:sz="8" w:color="E0E0E0"/>
            </w:tcBorders>
          </w:tcPr>
          <w:p>
            <w:pPr>
              <w:ind w:left="440"/>
              <w:spacing w:after="0"/>
              <w:rPr>
                <w:sz w:val="20"/>
                <w:szCs w:val="20"/>
                <w:color w:val="auto"/>
              </w:rPr>
            </w:pPr>
            <w:r>
              <w:rPr>
                <w:rFonts w:ascii="Arial" w:cs="Arial" w:eastAsia="Arial" w:hAnsi="Arial"/>
                <w:sz w:val="20"/>
                <w:szCs w:val="20"/>
                <w:color w:val="auto"/>
              </w:rPr>
              <w:t>based compensation</w:t>
            </w: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12,289</w:t>
            </w:r>
          </w:p>
        </w:tc>
        <w:tc>
          <w:tcPr>
            <w:tcW w:w="14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13,952</w:t>
            </w:r>
          </w:p>
        </w:tc>
        <w:tc>
          <w:tcPr>
            <w:tcW w:w="80" w:type="dxa"/>
            <w:vAlign w:val="bottom"/>
            <w:tcBorders>
              <w:bottom w:val="single" w:sz="8" w:color="E0E0E0"/>
            </w:tcBorders>
          </w:tcPr>
          <w:p>
            <w:pPr>
              <w:spacing w:after="0"/>
              <w:rPr>
                <w:sz w:val="21"/>
                <w:szCs w:val="21"/>
                <w:color w:val="auto"/>
              </w:rPr>
            </w:pPr>
          </w:p>
        </w:tc>
      </w:tr>
      <w:tr>
        <w:trPr>
          <w:trHeight w:val="234"/>
        </w:trPr>
        <w:tc>
          <w:tcPr>
            <w:tcW w:w="4580" w:type="dxa"/>
            <w:vAlign w:val="bottom"/>
            <w:shd w:val="clear" w:color="auto" w:fill="E0E0E0"/>
          </w:tcPr>
          <w:p>
            <w:pPr>
              <w:spacing w:after="0"/>
              <w:rPr>
                <w:sz w:val="20"/>
                <w:szCs w:val="20"/>
                <w:color w:val="auto"/>
              </w:rPr>
            </w:pPr>
            <w:r>
              <w:rPr>
                <w:rFonts w:ascii="Arial" w:cs="Arial" w:eastAsia="Arial" w:hAnsi="Arial"/>
                <w:sz w:val="20"/>
                <w:szCs w:val="20"/>
                <w:color w:val="auto"/>
              </w:rPr>
              <w:t>Total research and development expenses</w:t>
            </w:r>
          </w:p>
        </w:tc>
        <w:tc>
          <w:tcPr>
            <w:tcW w:w="1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66,251</w:t>
            </w:r>
          </w:p>
        </w:tc>
        <w:tc>
          <w:tcPr>
            <w:tcW w:w="1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300" w:type="dxa"/>
            <w:vAlign w:val="bottom"/>
            <w:tcBorders>
              <w:bottom w:val="single" w:sz="8" w:color="auto"/>
            </w:tcBorders>
            <w:shd w:val="clear" w:color="auto" w:fill="E0E0E0"/>
          </w:tcPr>
          <w:p>
            <w:pPr>
              <w:spacing w:after="0"/>
              <w:rPr>
                <w:sz w:val="20"/>
                <w:szCs w:val="20"/>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89,399</w:t>
            </w:r>
          </w:p>
        </w:tc>
        <w:tc>
          <w:tcPr>
            <w:tcW w:w="80" w:type="dxa"/>
            <w:vAlign w:val="bottom"/>
            <w:shd w:val="clear" w:color="auto" w:fill="E0E0E0"/>
          </w:tcPr>
          <w:p>
            <w:pPr>
              <w:spacing w:after="0"/>
              <w:rPr>
                <w:sz w:val="20"/>
                <w:szCs w:val="20"/>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20"/>
                <w:szCs w:val="20"/>
                <w:color w:val="auto"/>
              </w:rPr>
              <w:t>General and administrative expenses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22,631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24,475</w:t>
            </w:r>
          </w:p>
        </w:tc>
        <w:tc>
          <w:tcPr>
            <w:tcW w:w="80" w:type="dxa"/>
            <w:vAlign w:val="bottom"/>
          </w:tcPr>
          <w:p>
            <w:pPr>
              <w:spacing w:after="0"/>
              <w:rPr>
                <w:sz w:val="20"/>
                <w:szCs w:val="20"/>
                <w:color w:val="auto"/>
              </w:rPr>
            </w:pPr>
          </w:p>
        </w:tc>
      </w:tr>
      <w:tr>
        <w:trPr>
          <w:trHeight w:val="244"/>
        </w:trPr>
        <w:tc>
          <w:tcPr>
            <w:tcW w:w="4580" w:type="dxa"/>
            <w:vAlign w:val="bottom"/>
            <w:shd w:val="clear" w:color="auto" w:fill="E0E0E0"/>
          </w:tcPr>
          <w:p>
            <w:pPr>
              <w:spacing w:after="0" w:line="243" w:lineRule="exact"/>
              <w:rPr>
                <w:sz w:val="20"/>
                <w:szCs w:val="20"/>
                <w:color w:val="auto"/>
              </w:rPr>
            </w:pPr>
            <w:r>
              <w:rPr>
                <w:rFonts w:ascii="Arial" w:cs="Arial" w:eastAsia="Arial" w:hAnsi="Arial"/>
                <w:sz w:val="20"/>
                <w:szCs w:val="20"/>
                <w:color w:val="auto"/>
              </w:rPr>
              <w:t>Other segment expenses</w:t>
            </w:r>
            <w:r>
              <w:rPr>
                <w:rFonts w:ascii="Arial" w:cs="Arial" w:eastAsia="Arial" w:hAnsi="Arial"/>
                <w:sz w:val="26"/>
                <w:szCs w:val="26"/>
                <w:color w:val="auto"/>
                <w:vertAlign w:val="superscript"/>
              </w:rPr>
              <w:t>(a)</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12,020</w:t>
            </w:r>
          </w:p>
        </w:tc>
        <w:tc>
          <w:tcPr>
            <w:tcW w:w="1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300" w:type="dxa"/>
            <w:vAlign w:val="bottom"/>
            <w:tcBorders>
              <w:bottom w:val="single" w:sz="8" w:color="auto"/>
            </w:tcBorders>
            <w:shd w:val="clear" w:color="auto" w:fill="E0E0E0"/>
          </w:tcPr>
          <w:p>
            <w:pPr>
              <w:spacing w:after="0"/>
              <w:rPr>
                <w:sz w:val="21"/>
                <w:szCs w:val="21"/>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11,592</w:t>
            </w:r>
          </w:p>
        </w:tc>
        <w:tc>
          <w:tcPr>
            <w:tcW w:w="80" w:type="dxa"/>
            <w:vAlign w:val="bottom"/>
            <w:shd w:val="clear" w:color="auto" w:fill="E0E0E0"/>
          </w:tcPr>
          <w:p>
            <w:pPr>
              <w:spacing w:after="0"/>
              <w:rPr>
                <w:sz w:val="21"/>
                <w:szCs w:val="21"/>
                <w:color w:val="auto"/>
              </w:rPr>
            </w:pPr>
          </w:p>
        </w:tc>
      </w:tr>
      <w:tr>
        <w:trPr>
          <w:trHeight w:val="234"/>
        </w:trPr>
        <w:tc>
          <w:tcPr>
            <w:tcW w:w="4580" w:type="dxa"/>
            <w:vAlign w:val="bottom"/>
          </w:tcPr>
          <w:p>
            <w:pPr>
              <w:ind w:left="280"/>
              <w:spacing w:after="0"/>
              <w:rPr>
                <w:sz w:val="20"/>
                <w:szCs w:val="20"/>
                <w:color w:val="auto"/>
              </w:rPr>
            </w:pPr>
            <w:r>
              <w:rPr>
                <w:rFonts w:ascii="Arial" w:cs="Arial" w:eastAsia="Arial" w:hAnsi="Arial"/>
                <w:sz w:val="20"/>
                <w:szCs w:val="20"/>
                <w:color w:val="auto"/>
              </w:rPr>
              <w:t>Total operating expenses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100,902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125,466</w:t>
            </w:r>
          </w:p>
        </w:tc>
        <w:tc>
          <w:tcPr>
            <w:tcW w:w="80" w:type="dxa"/>
            <w:vAlign w:val="bottom"/>
          </w:tcPr>
          <w:p>
            <w:pPr>
              <w:spacing w:after="0"/>
              <w:rPr>
                <w:sz w:val="20"/>
                <w:szCs w:val="20"/>
                <w:color w:val="auto"/>
              </w:rPr>
            </w:pPr>
          </w:p>
        </w:tc>
      </w:tr>
      <w:tr>
        <w:trPr>
          <w:trHeight w:val="244"/>
        </w:trPr>
        <w:tc>
          <w:tcPr>
            <w:tcW w:w="45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Loss from operations</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104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(100,902 )</w:t>
            </w:r>
          </w:p>
        </w:tc>
        <w:tc>
          <w:tcPr>
            <w:tcW w:w="8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(125,466 )</w:t>
            </w:r>
          </w:p>
        </w:tc>
      </w:tr>
      <w:tr>
        <w:trPr>
          <w:trHeight w:val="244"/>
        </w:trPr>
        <w:tc>
          <w:tcPr>
            <w:tcW w:w="4580" w:type="dxa"/>
            <w:vAlign w:val="bottom"/>
          </w:tcPr>
          <w:p>
            <w:pPr>
              <w:ind w:left="280"/>
              <w:spacing w:after="0"/>
              <w:rPr>
                <w:sz w:val="20"/>
                <w:szCs w:val="20"/>
                <w:color w:val="auto"/>
              </w:rPr>
            </w:pPr>
            <w:r>
              <w:rPr>
                <w:rFonts w:ascii="Arial" w:cs="Arial" w:eastAsia="Arial" w:hAnsi="Arial"/>
                <w:sz w:val="20"/>
                <w:szCs w:val="20"/>
                <w:color w:val="auto"/>
              </w:rPr>
              <w:t>Grant income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157</w:t>
            </w:r>
          </w:p>
        </w:tc>
        <w:tc>
          <w:tcPr>
            <w:tcW w:w="80" w:type="dxa"/>
            <w:vAlign w:val="bottom"/>
          </w:tcPr>
          <w:p>
            <w:pPr>
              <w:spacing w:after="0"/>
              <w:rPr>
                <w:sz w:val="21"/>
                <w:szCs w:val="21"/>
                <w:color w:val="auto"/>
              </w:rPr>
            </w:pPr>
          </w:p>
        </w:tc>
      </w:tr>
      <w:tr>
        <w:trPr>
          <w:trHeight w:val="244"/>
        </w:trPr>
        <w:tc>
          <w:tcPr>
            <w:tcW w:w="45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Other income, net</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3,962</w:t>
            </w:r>
          </w:p>
        </w:tc>
        <w:tc>
          <w:tcPr>
            <w:tcW w:w="1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300" w:type="dxa"/>
            <w:vAlign w:val="bottom"/>
            <w:tcBorders>
              <w:bottom w:val="single" w:sz="8" w:color="auto"/>
            </w:tcBorders>
            <w:shd w:val="clear" w:color="auto" w:fill="E0E0E0"/>
          </w:tcPr>
          <w:p>
            <w:pPr>
              <w:spacing w:after="0"/>
              <w:rPr>
                <w:sz w:val="21"/>
                <w:szCs w:val="21"/>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7,637</w:t>
            </w:r>
          </w:p>
        </w:tc>
        <w:tc>
          <w:tcPr>
            <w:tcW w:w="80" w:type="dxa"/>
            <w:vAlign w:val="bottom"/>
            <w:shd w:val="clear" w:color="auto" w:fill="E0E0E0"/>
          </w:tcPr>
          <w:p>
            <w:pPr>
              <w:spacing w:after="0"/>
              <w:rPr>
                <w:sz w:val="21"/>
                <w:szCs w:val="2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20"/>
                <w:szCs w:val="20"/>
                <w:color w:val="auto"/>
              </w:rPr>
              <w:t>Net loss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(96,940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(117,672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1" w:lineRule="exact"/>
        <w:rPr>
          <w:sz w:val="20"/>
          <w:szCs w:val="20"/>
          <w:color w:val="auto"/>
        </w:rPr>
      </w:pPr>
    </w:p>
    <w:p>
      <w:pPr>
        <w:ind w:left="500"/>
        <w:spacing w:after="0"/>
        <w:rPr>
          <w:sz w:val="20"/>
          <w:szCs w:val="20"/>
          <w:color w:val="auto"/>
        </w:rPr>
      </w:pPr>
      <w:r>
        <w:rPr>
          <w:rFonts w:ascii="Arial" w:cs="Arial" w:eastAsia="Arial" w:hAnsi="Arial"/>
          <w:sz w:val="26"/>
          <w:szCs w:val="26"/>
          <w:color w:val="auto"/>
          <w:vertAlign w:val="superscript"/>
        </w:rPr>
        <w:t>(a)</w:t>
      </w:r>
      <w:r>
        <w:rPr>
          <w:rFonts w:ascii="Arial" w:cs="Arial" w:eastAsia="Arial" w:hAnsi="Arial"/>
          <w:sz w:val="20"/>
          <w:szCs w:val="20"/>
          <w:color w:val="auto"/>
        </w:rPr>
        <w:t>Other segment expenses includes stock-based compensation and depreciation expenses.</w:t>
      </w:r>
    </w:p>
    <w:p>
      <w:pPr>
        <w:spacing w:after="0" w:line="287" w:lineRule="exact"/>
        <w:rPr>
          <w:sz w:val="20"/>
          <w:szCs w:val="20"/>
          <w:color w:val="auto"/>
        </w:rPr>
      </w:pPr>
    </w:p>
    <w:p>
      <w:pPr>
        <w:ind w:left="480" w:right="5960" w:hanging="480"/>
        <w:spacing w:after="0" w:line="386" w:lineRule="auto"/>
        <w:tabs>
          <w:tab w:leader="none" w:pos="222"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Commitments and Contingencies </w:t>
      </w:r>
      <w:r>
        <w:rPr>
          <w:rFonts w:ascii="Arial" w:cs="Arial" w:eastAsia="Arial" w:hAnsi="Arial"/>
          <w:sz w:val="19"/>
          <w:szCs w:val="19"/>
          <w:b w:val="1"/>
          <w:bCs w:val="1"/>
          <w:i w:val="1"/>
          <w:iCs w:val="1"/>
          <w:color w:val="auto"/>
        </w:rPr>
        <w:t>Legal Proceedings</w:t>
      </w:r>
    </w:p>
    <w:p>
      <w:pPr>
        <w:spacing w:after="0" w:line="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132</w:t>
      </w:r>
    </w:p>
    <w:p>
      <w:pPr>
        <w:sectPr>
          <w:pgSz w:w="12240" w:h="15840" w:orient="portrait"/>
          <w:cols w:equalWidth="0" w:num="1">
            <w:col w:w="9360"/>
          </w:cols>
          <w:pgMar w:left="1440" w:top="1416" w:right="1440" w:bottom="186" w:gutter="0" w:footer="0" w:header="0"/>
          <w:type w:val="continuous"/>
        </w:sectPr>
      </w:pPr>
    </w:p>
    <w:bookmarkStart w:id="138" w:name="page139"/>
    <w:bookmarkEnd w:id="138"/>
    <w:p>
      <w:pPr>
        <w:ind w:left="500"/>
        <w:spacing w:after="0"/>
        <w:rPr>
          <w:sz w:val="20"/>
          <w:szCs w:val="20"/>
          <w:color w:val="auto"/>
        </w:rPr>
      </w:pPr>
      <w:r>
        <w:rPr>
          <w:rFonts w:ascii="Arial" w:cs="Arial" w:eastAsia="Arial" w:hAnsi="Arial"/>
          <w:sz w:val="20"/>
          <w:szCs w:val="20"/>
          <w:b w:val="1"/>
          <w:bCs w:val="1"/>
          <w:color w:val="auto"/>
        </w:rPr>
        <w:t>Securities Class Actions</w:t>
      </w:r>
    </w:p>
    <w:p>
      <w:pPr>
        <w:spacing w:after="0" w:line="124"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20"/>
          <w:szCs w:val="20"/>
          <w:color w:val="auto"/>
        </w:rPr>
        <w:t>Starting in June 2021, putative securities class action lawsuits were filed in the U.S. District Court for the Western District of Washington against the Company and certain of its current and former members of management and the board of directors. After these lawsuits were consolidated and lead plaintiffs were appointed to represent the putative class, lead plaintiffs filed a consolidated amended complaint on January 7, 2022, which asserted violations of Sections 10(b) and 20(a) of the Exchange Act and SEC Rule 10b-5 and Sections 11, 12, and 15 of the Securities Act. The consolidated amended complaint alleged that the IPO and SPO registration statements and/or other public statements were materially false and misleading because they omitted to state that certain of the Company's former CEO’s published doctoral research papers at WSU contained allegedly improperly altered images. Lead plaintiffs sought unspecified compensatory damages, as well as equitable and injunctive relief on behalf of themselves and the purported class. On July 29, 2022, the court issued an order granting in part and denying in part the defendants’ motion to dismiss. The order dismissed the Section 10(b) and Section 20(a) claims arising under the Exchange Act, dismissed the Section 11 claim arising under the Securities Act as to all defendants other than the Company and its former CEO, dismissed the Section 12(a)(2) claim arising under the Securities Act as to the lead plaintiffs, and dismissed the Section 15 claim arising under the Securities Act against all defendants other than the Company's former CEO.</w:t>
      </w:r>
    </w:p>
    <w:p>
      <w:pPr>
        <w:spacing w:after="0" w:line="209"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On November 4, 2022, the Company and its former CEO filed their individual answers to the consolidated amended complaint. In mid-November 2022, the parties began conducting fact discovery.</w:t>
      </w:r>
    </w:p>
    <w:p>
      <w:pPr>
        <w:spacing w:after="0" w:line="16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On March 29, 2024, following a mediation and the parties’ agreement in the fourth quarter of 2022 to settle the securities class action for $10 million subject to the court’s approval, the court entered an order preliminarily approving a settlement of the securities class action.</w:t>
      </w:r>
    </w:p>
    <w:p>
      <w:pPr>
        <w:spacing w:after="0" w:line="18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On November 1, 2024, following class notice and a final approval hearing, the court entered a final written judgment and order granting final approval of the settlement and closed the case.</w:t>
      </w:r>
    </w:p>
    <w:p>
      <w:pPr>
        <w:spacing w:after="0" w:line="160"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20"/>
          <w:szCs w:val="20"/>
          <w:color w:val="auto"/>
        </w:rPr>
        <w:t>As a result of the foregoing, the Company recorded a legal settlement expense of $10.0 million in operating expenses in the fourth quarter of 2022. An accrued liability of $10.0 million was recorded on the accompanying condensed consolidated balance sheets as of December 31, 2023. Additionally, the Company recorded an insurance recovery of $1.6 million in operating expenses in the fourth quarter of 2023 and an insurance recovery receivable of $1.6 million on the accompanying condensed consolidated balance sheets as of December 31, 2023. This insurance recovery represents the amount of the settlement covered by the Company's insurers. The Company and its insurance providers paid the settlement fee during 2024 and no further liability exists following the court granting final approval of the settlement and closing the case in November 2024.</w:t>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Shareholder Derivative Actions</w:t>
      </w:r>
    </w:p>
    <w:p>
      <w:pPr>
        <w:spacing w:after="0" w:line="124"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9"/>
          <w:szCs w:val="19"/>
          <w:color w:val="auto"/>
        </w:rPr>
        <w:t>Starting in April 2022, shareholder derivative actions were filed in the U.S. District Court for the Western District of Washington against certain current and former members of the Company’s board of directors. The derivative complaints alleged that the Company’s board of directors breached its fiduciary duties by failing to prevent alleged misstatements in the Company’s public filings, failing to discover altered images in certain research papers, and failing to take appropriate action. The derivative complaints asserted claims for violations of Section 14(a) of the Exchange Act as well as claims for breach of fiduciary duty, contribution and indemnification, aiding and abetting, and waste of corporate assets.</w:t>
      </w:r>
    </w:p>
    <w:p>
      <w:pPr>
        <w:spacing w:after="0" w:line="180"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9"/>
          <w:szCs w:val="19"/>
          <w:color w:val="auto"/>
        </w:rPr>
        <w:t>On May 26, 2022, the court issued an order consolidating the derivative cases and staying them until further order of the court. On March 18, 2024, following a mediation and the parties entering into a stipulation of settlement to settle the consolidated derivative action for certain corporate governance reforms and the payment of a fee and expense award to plaintiffs’ counsel, plaintiffs filed an unopposed motion for preliminary approval of a settlement of the derivative action. On July 18, 2024, the court entered an order and judgment granting plaintiffs’ motion for final approval of derivative settlement, finding the</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133</w:t>
      </w:r>
    </w:p>
    <w:p>
      <w:pPr>
        <w:sectPr>
          <w:pgSz w:w="12240" w:h="15840" w:orient="portrait"/>
          <w:cols w:equalWidth="0" w:num="1">
            <w:col w:w="9360"/>
          </w:cols>
          <w:pgMar w:left="1440" w:top="1416" w:right="1440" w:bottom="186" w:gutter="0" w:footer="0" w:header="0"/>
          <w:type w:val="continuous"/>
        </w:sectPr>
      </w:pPr>
    </w:p>
    <w:bookmarkStart w:id="139" w:name="page140"/>
    <w:bookmarkEnd w:id="139"/>
    <w:p>
      <w:pPr>
        <w:jc w:val="both"/>
        <w:spacing w:after="0" w:line="282" w:lineRule="auto"/>
        <w:rPr>
          <w:sz w:val="20"/>
          <w:szCs w:val="20"/>
          <w:color w:val="auto"/>
        </w:rPr>
      </w:pPr>
      <w:r>
        <w:rPr>
          <w:rFonts w:ascii="Arial" w:cs="Arial" w:eastAsia="Arial" w:hAnsi="Arial"/>
          <w:sz w:val="20"/>
          <w:szCs w:val="20"/>
          <w:color w:val="auto"/>
        </w:rPr>
        <w:t>settlement to be fair, reasonable, and adequate to the settling parties and the Company’s shareholders, and dismissing the derivative action with prejudice.</w:t>
      </w:r>
    </w:p>
    <w:p>
      <w:pPr>
        <w:spacing w:after="0" w:line="16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Company paid the fee and expense award related to this shareholder derivative action settlement during the third quarter of 2024.</w:t>
      </w:r>
    </w:p>
    <w:p>
      <w:pPr>
        <w:spacing w:after="0" w:line="27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Government Investigation</w:t>
      </w:r>
    </w:p>
    <w:p>
      <w:pPr>
        <w:spacing w:after="0" w:line="12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In November 2022, the Company received a Civil Investigative Demand from the Civil Division of the Department of Justice, or the Demand. The Demand sought documents and information relating to the Company’s relationship with WSU, certain of its grant applications in 2016 and 2019 with the NIH, and the Company’s receipt of an NIH grant in 2020. The Company cooperated with the Department of Justice with respect to the Demand.</w:t>
      </w:r>
    </w:p>
    <w:p>
      <w:pPr>
        <w:spacing w:after="0" w:line="72"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 xml:space="preserve">In September 2024, the Company reached an agreement in principle (subject to approvals within the Department of Justice and the Office of Inspector General of the U.S. Department of Health and Humans Service) to settle the Department of Justice’s claims, including alleged violations of the False Claims Act in connection with the NIH grant applications and the Company’s receipt of an NIH grant in connection with one of those applications. This agreement also included the same claims alleged in a confidential, sealed </w:t>
      </w:r>
      <w:r>
        <w:rPr>
          <w:rFonts w:ascii="Arial" w:cs="Arial" w:eastAsia="Arial" w:hAnsi="Arial"/>
          <w:sz w:val="20"/>
          <w:szCs w:val="20"/>
          <w:i w:val="1"/>
          <w:iCs w:val="1"/>
          <w:color w:val="auto"/>
        </w:rPr>
        <w:t xml:space="preserve">qui tam </w:t>
      </w:r>
      <w:r>
        <w:rPr>
          <w:rFonts w:ascii="Arial" w:cs="Arial" w:eastAsia="Arial" w:hAnsi="Arial"/>
          <w:sz w:val="20"/>
          <w:szCs w:val="20"/>
          <w:color w:val="auto"/>
        </w:rPr>
        <w:t>complaint. On December 31, 2024, the Company entered into a settlement agreement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Department of Justice, OIG-HHS, and the </w:t>
      </w:r>
      <w:r>
        <w:rPr>
          <w:rFonts w:ascii="Arial" w:cs="Arial" w:eastAsia="Arial" w:hAnsi="Arial"/>
          <w:sz w:val="20"/>
          <w:szCs w:val="20"/>
          <w:i w:val="1"/>
          <w:iCs w:val="1"/>
          <w:color w:val="auto"/>
        </w:rPr>
        <w:t>qui tam</w:t>
      </w:r>
      <w:r>
        <w:rPr>
          <w:rFonts w:ascii="Arial" w:cs="Arial" w:eastAsia="Arial" w:hAnsi="Arial"/>
          <w:sz w:val="20"/>
          <w:szCs w:val="20"/>
          <w:color w:val="auto"/>
        </w:rPr>
        <w:t xml:space="preserve"> lawsuit relator in which the Company agreed to pay approximately $4.1 million.</w:t>
      </w:r>
    </w:p>
    <w:p>
      <w:pPr>
        <w:spacing w:after="0" w:line="19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Company recorded a legal expense of $4.1 million based on developments in the third quarter of 2024 and a corresponding accrued liability on the accompanying consolidated balance sheets as of December 31, 2024. The Company paid the $4.1 million settlement in January 2025.</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Indemnifications</w:t>
      </w:r>
    </w:p>
    <w:p>
      <w:pPr>
        <w:spacing w:after="0" w:line="116"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20"/>
          <w:szCs w:val="20"/>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w:t>
      </w:r>
    </w:p>
    <w:p>
      <w:pPr>
        <w:spacing w:after="0" w:line="33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Operating Leases</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December 31, 2024, the Company was not party to any finance leases.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134</w:t>
      </w:r>
    </w:p>
    <w:p>
      <w:pPr>
        <w:sectPr>
          <w:pgSz w:w="12240" w:h="15840" w:orient="portrait"/>
          <w:cols w:equalWidth="0" w:num="1">
            <w:col w:w="9360"/>
          </w:cols>
          <w:pgMar w:left="1440" w:top="1420" w:right="1440" w:bottom="186" w:gutter="0" w:footer="0" w:header="0"/>
          <w:type w:val="continuous"/>
        </w:sectPr>
      </w:pPr>
    </w:p>
    <w:bookmarkStart w:id="140" w:name="page141"/>
    <w:bookmarkEnd w:id="140"/>
    <w:p>
      <w:pPr>
        <w:jc w:val="both"/>
        <w:ind w:firstLine="490"/>
        <w:spacing w:after="0" w:line="282" w:lineRule="auto"/>
        <w:rPr>
          <w:sz w:val="20"/>
          <w:szCs w:val="20"/>
          <w:color w:val="auto"/>
        </w:rPr>
      </w:pPr>
      <w:r>
        <w:rPr>
          <w:rFonts w:ascii="Arial" w:cs="Arial" w:eastAsia="Arial" w:hAnsi="Arial"/>
          <w:sz w:val="20"/>
          <w:szCs w:val="20"/>
          <w:color w:val="auto"/>
        </w:rPr>
        <w:t>The following table reconciles the Company’s undiscounted operating lease cash flows to its operating lease liability (in thousands):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536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0E0E0"/>
            </w:tcBorders>
          </w:tcPr>
          <w:p>
            <w:pPr>
              <w:spacing w:after="0"/>
              <w:rPr>
                <w:sz w:val="17"/>
                <w:szCs w:val="17"/>
                <w:color w:val="auto"/>
              </w:rPr>
            </w:pPr>
          </w:p>
        </w:tc>
      </w:tr>
      <w:tr>
        <w:trPr>
          <w:trHeight w:val="220"/>
        </w:trPr>
        <w:tc>
          <w:tcPr>
            <w:tcW w:w="53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2025</w:t>
            </w: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494</w:t>
            </w:r>
          </w:p>
        </w:tc>
        <w:tc>
          <w:tcPr>
            <w:tcW w:w="80" w:type="dxa"/>
            <w:vAlign w:val="bottom"/>
            <w:shd w:val="clear" w:color="auto" w:fill="E0E0E0"/>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20"/>
                <w:szCs w:val="20"/>
                <w:color w:val="auto"/>
              </w:rPr>
              <w:t>2026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509</w:t>
            </w:r>
          </w:p>
        </w:tc>
        <w:tc>
          <w:tcPr>
            <w:tcW w:w="80" w:type="dxa"/>
            <w:vAlign w:val="bottom"/>
          </w:tcPr>
          <w:p>
            <w:pPr>
              <w:spacing w:after="0"/>
              <w:rPr>
                <w:sz w:val="19"/>
                <w:szCs w:val="19"/>
                <w:color w:val="auto"/>
              </w:rPr>
            </w:pPr>
          </w:p>
        </w:tc>
      </w:tr>
      <w:tr>
        <w:trPr>
          <w:trHeight w:val="230"/>
        </w:trPr>
        <w:tc>
          <w:tcPr>
            <w:tcW w:w="5360" w:type="dxa"/>
            <w:vAlign w:val="bottom"/>
            <w:shd w:val="clear" w:color="auto" w:fill="E0E0E0"/>
          </w:tcPr>
          <w:p>
            <w:pPr>
              <w:spacing w:after="0"/>
              <w:rPr>
                <w:sz w:val="20"/>
                <w:szCs w:val="20"/>
                <w:color w:val="auto"/>
              </w:rPr>
            </w:pPr>
            <w:r>
              <w:rPr>
                <w:rFonts w:ascii="Arial" w:cs="Arial" w:eastAsia="Arial" w:hAnsi="Arial"/>
                <w:sz w:val="20"/>
                <w:szCs w:val="20"/>
                <w:color w:val="auto"/>
              </w:rPr>
              <w:t>Thereafter</w:t>
            </w:r>
          </w:p>
        </w:tc>
        <w:tc>
          <w:tcPr>
            <w:tcW w:w="20" w:type="dxa"/>
            <w:vAlign w:val="bottom"/>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spacing w:after="0"/>
              <w:rPr>
                <w:sz w:val="19"/>
                <w:szCs w:val="19"/>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346</w:t>
            </w:r>
          </w:p>
        </w:tc>
        <w:tc>
          <w:tcPr>
            <w:tcW w:w="80" w:type="dxa"/>
            <w:vAlign w:val="bottom"/>
            <w:shd w:val="clear" w:color="auto" w:fill="E0E0E0"/>
          </w:tcPr>
          <w:p>
            <w:pPr>
              <w:spacing w:after="0"/>
              <w:rPr>
                <w:sz w:val="19"/>
                <w:szCs w:val="19"/>
                <w:color w:val="auto"/>
              </w:rPr>
            </w:pPr>
          </w:p>
        </w:tc>
      </w:tr>
      <w:tr>
        <w:trPr>
          <w:trHeight w:val="220"/>
        </w:trPr>
        <w:tc>
          <w:tcPr>
            <w:tcW w:w="5360" w:type="dxa"/>
            <w:vAlign w:val="bottom"/>
          </w:tcPr>
          <w:p>
            <w:pPr>
              <w:spacing w:after="0" w:line="220" w:lineRule="exact"/>
              <w:rPr>
                <w:sz w:val="20"/>
                <w:szCs w:val="20"/>
                <w:color w:val="auto"/>
              </w:rPr>
            </w:pPr>
            <w:r>
              <w:rPr>
                <w:rFonts w:ascii="Arial" w:cs="Arial" w:eastAsia="Arial" w:hAnsi="Arial"/>
                <w:sz w:val="20"/>
                <w:szCs w:val="20"/>
                <w:color w:val="auto"/>
              </w:rPr>
              <w:t>Total undiscounted lease payments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0" w:lineRule="exact"/>
              <w:rPr>
                <w:sz w:val="20"/>
                <w:szCs w:val="20"/>
                <w:color w:val="auto"/>
              </w:rPr>
            </w:pPr>
            <w:r>
              <w:rPr>
                <w:rFonts w:ascii="Arial" w:cs="Arial" w:eastAsia="Arial" w:hAnsi="Arial"/>
                <w:sz w:val="20"/>
                <w:szCs w:val="20"/>
                <w:color w:val="auto"/>
              </w:rPr>
              <w:t>1,349</w:t>
            </w:r>
          </w:p>
        </w:tc>
        <w:tc>
          <w:tcPr>
            <w:tcW w:w="80" w:type="dxa"/>
            <w:vAlign w:val="bottom"/>
          </w:tcPr>
          <w:p>
            <w:pPr>
              <w:spacing w:after="0"/>
              <w:rPr>
                <w:sz w:val="19"/>
                <w:szCs w:val="19"/>
                <w:color w:val="auto"/>
              </w:rPr>
            </w:pPr>
          </w:p>
        </w:tc>
      </w:tr>
      <w:tr>
        <w:trPr>
          <w:trHeight w:val="211"/>
        </w:trPr>
        <w:tc>
          <w:tcPr>
            <w:tcW w:w="5360" w:type="dxa"/>
            <w:vAlign w:val="bottom"/>
            <w:shd w:val="clear" w:color="auto" w:fill="E0E0E0"/>
          </w:tcPr>
          <w:p>
            <w:pPr>
              <w:spacing w:after="0" w:line="210" w:lineRule="exact"/>
              <w:rPr>
                <w:sz w:val="20"/>
                <w:szCs w:val="20"/>
                <w:color w:val="auto"/>
              </w:rPr>
            </w:pPr>
            <w:r>
              <w:rPr>
                <w:rFonts w:ascii="Arial" w:cs="Arial" w:eastAsia="Arial" w:hAnsi="Arial"/>
                <w:sz w:val="20"/>
                <w:szCs w:val="20"/>
                <w:color w:val="auto"/>
              </w:rPr>
              <w:t>Present value adjustment for minimum lease</w:t>
            </w:r>
          </w:p>
        </w:tc>
        <w:tc>
          <w:tcPr>
            <w:tcW w:w="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88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r>
      <w:tr>
        <w:trPr>
          <w:trHeight w:val="249"/>
        </w:trPr>
        <w:tc>
          <w:tcPr>
            <w:tcW w:w="5360" w:type="dxa"/>
            <w:vAlign w:val="bottom"/>
            <w:shd w:val="clear" w:color="auto" w:fill="E0E0E0"/>
          </w:tcPr>
          <w:p>
            <w:pPr>
              <w:ind w:left="180"/>
              <w:spacing w:after="0"/>
              <w:rPr>
                <w:sz w:val="20"/>
                <w:szCs w:val="20"/>
                <w:color w:val="auto"/>
              </w:rPr>
            </w:pPr>
            <w:r>
              <w:rPr>
                <w:rFonts w:ascii="Arial" w:cs="Arial" w:eastAsia="Arial" w:hAnsi="Arial"/>
                <w:sz w:val="20"/>
                <w:szCs w:val="20"/>
                <w:color w:val="auto"/>
              </w:rPr>
              <w:t>commitments</w:t>
            </w:r>
          </w:p>
        </w:tc>
        <w:tc>
          <w:tcPr>
            <w:tcW w:w="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6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(132)</w:t>
            </w:r>
          </w:p>
        </w:tc>
      </w:tr>
      <w:tr>
        <w:trPr>
          <w:trHeight w:val="220"/>
        </w:trPr>
        <w:tc>
          <w:tcPr>
            <w:tcW w:w="5360" w:type="dxa"/>
            <w:vAlign w:val="bottom"/>
          </w:tcPr>
          <w:p>
            <w:pPr>
              <w:ind w:left="280"/>
              <w:spacing w:after="0" w:line="220" w:lineRule="exact"/>
              <w:rPr>
                <w:sz w:val="20"/>
                <w:szCs w:val="20"/>
                <w:color w:val="auto"/>
              </w:rPr>
            </w:pPr>
            <w:r>
              <w:rPr>
                <w:rFonts w:ascii="Arial" w:cs="Arial" w:eastAsia="Arial" w:hAnsi="Arial"/>
                <w:sz w:val="20"/>
                <w:szCs w:val="20"/>
                <w:color w:val="auto"/>
              </w:rPr>
              <w:t>Net lease liability</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line="220"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1,217</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weighted average remaining lease term and the weighted average discount rate used to determine the operating lease liability were as follows: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5160" w:type="dxa"/>
            <w:vAlign w:val="bottom"/>
            <w:tcBorders>
              <w:bottom w:val="single" w:sz="8" w:color="E0E0E0"/>
            </w:tcBorders>
          </w:tcPr>
          <w:p>
            <w:pPr>
              <w:spacing w:after="0"/>
              <w:rPr>
                <w:sz w:val="17"/>
                <w:szCs w:val="17"/>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E0E0E0"/>
            </w:tcBorders>
          </w:tcPr>
          <w:p>
            <w:pPr>
              <w:spacing w:after="0"/>
              <w:rPr>
                <w:sz w:val="17"/>
                <w:szCs w:val="17"/>
                <w:color w:val="auto"/>
              </w:rPr>
            </w:pPr>
          </w:p>
        </w:tc>
      </w:tr>
      <w:tr>
        <w:trPr>
          <w:trHeight w:val="220"/>
        </w:trPr>
        <w:tc>
          <w:tcPr>
            <w:tcW w:w="51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Weighted average remaining lease term (years)</w:t>
            </w:r>
          </w:p>
        </w:tc>
        <w:tc>
          <w:tcPr>
            <w:tcW w:w="1140" w:type="dxa"/>
            <w:vAlign w:val="bottom"/>
            <w:shd w:val="clear" w:color="auto" w:fill="E0E0E0"/>
          </w:tcPr>
          <w:p>
            <w:pPr>
              <w:ind w:left="860"/>
              <w:spacing w:after="0" w:line="220" w:lineRule="exact"/>
              <w:rPr>
                <w:sz w:val="20"/>
                <w:szCs w:val="20"/>
                <w:color w:val="auto"/>
              </w:rPr>
            </w:pPr>
            <w:r>
              <w:rPr>
                <w:rFonts w:ascii="Arial" w:cs="Arial" w:eastAsia="Arial" w:hAnsi="Arial"/>
                <w:sz w:val="20"/>
                <w:szCs w:val="20"/>
                <w:color w:val="auto"/>
                <w:w w:val="93"/>
              </w:rPr>
              <w:t>2.7</w:t>
            </w:r>
          </w:p>
        </w:tc>
        <w:tc>
          <w:tcPr>
            <w:tcW w:w="260" w:type="dxa"/>
            <w:vAlign w:val="bottom"/>
            <w:shd w:val="clear" w:color="auto" w:fill="E0E0E0"/>
          </w:tcPr>
          <w:p>
            <w:pPr>
              <w:spacing w:after="0"/>
              <w:rPr>
                <w:sz w:val="19"/>
                <w:szCs w:val="19"/>
                <w:color w:val="auto"/>
              </w:rPr>
            </w:pPr>
          </w:p>
        </w:tc>
      </w:tr>
      <w:tr>
        <w:trPr>
          <w:trHeight w:val="271"/>
        </w:trPr>
        <w:tc>
          <w:tcPr>
            <w:tcW w:w="5160" w:type="dxa"/>
            <w:vAlign w:val="bottom"/>
          </w:tcPr>
          <w:p>
            <w:pPr>
              <w:spacing w:after="0"/>
              <w:rPr>
                <w:sz w:val="20"/>
                <w:szCs w:val="20"/>
                <w:color w:val="auto"/>
              </w:rPr>
            </w:pPr>
            <w:r>
              <w:rPr>
                <w:rFonts w:ascii="Arial" w:cs="Arial" w:eastAsia="Arial" w:hAnsi="Arial"/>
                <w:sz w:val="20"/>
                <w:szCs w:val="20"/>
                <w:color w:val="auto"/>
              </w:rPr>
              <w:t>Weighted average discount rate</w:t>
            </w:r>
          </w:p>
        </w:tc>
        <w:tc>
          <w:tcPr>
            <w:tcW w:w="1400" w:type="dxa"/>
            <w:vAlign w:val="bottom"/>
            <w:gridSpan w:val="2"/>
          </w:tcPr>
          <w:p>
            <w:pPr>
              <w:ind w:left="860"/>
              <w:spacing w:after="0"/>
              <w:rPr>
                <w:sz w:val="20"/>
                <w:szCs w:val="20"/>
                <w:color w:val="auto"/>
              </w:rPr>
            </w:pPr>
            <w:r>
              <w:rPr>
                <w:rFonts w:ascii="Arial" w:cs="Arial" w:eastAsia="Arial" w:hAnsi="Arial"/>
                <w:sz w:val="20"/>
                <w:szCs w:val="20"/>
                <w:color w:val="auto"/>
              </w:rPr>
              <w:t>8.1%</w:t>
            </w:r>
          </w:p>
        </w:tc>
      </w:tr>
    </w:tbl>
    <w:p>
      <w:pPr>
        <w:spacing w:after="0" w:line="25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Operating lease expense was $353,000 and $353,000 for the years ended December 31, 2024 and 2023, respectively. Separately, variable lease expense was $149,000 and $186,000 for operating leases during the years ended December 31, 2024 and 2023,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Common Stock</w:t>
      </w:r>
    </w:p>
    <w:p>
      <w:pPr>
        <w:spacing w:after="0" w:line="12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18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Company has reserved the following shares of common stock for future issuance, on an as-converted basis, as follows: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7"/>
                <w:szCs w:val="17"/>
                <w:color w:val="auto"/>
              </w:rPr>
            </w:pPr>
          </w:p>
        </w:tc>
      </w:tr>
      <w:tr>
        <w:trPr>
          <w:trHeight w:val="174"/>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10"/>
              <w:spacing w:after="0" w:line="174" w:lineRule="exact"/>
              <w:rPr>
                <w:sz w:val="20"/>
                <w:szCs w:val="20"/>
                <w:color w:val="auto"/>
              </w:rPr>
            </w:pPr>
            <w:r>
              <w:rPr>
                <w:rFonts w:ascii="Arial" w:cs="Arial" w:eastAsia="Arial" w:hAnsi="Arial"/>
                <w:sz w:val="16"/>
                <w:szCs w:val="16"/>
                <w:b w:val="1"/>
                <w:bCs w:val="1"/>
                <w:color w:val="auto"/>
              </w:rPr>
              <w:t>2024</w:t>
            </w:r>
          </w:p>
        </w:tc>
        <w:tc>
          <w:tcPr>
            <w:tcW w:w="1400" w:type="dxa"/>
            <w:vAlign w:val="bottom"/>
            <w:gridSpan w:val="2"/>
          </w:tcPr>
          <w:p>
            <w:pPr>
              <w:jc w:val="right"/>
              <w:ind w:right="360"/>
              <w:spacing w:after="0" w:line="174"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r>
      <w:tr>
        <w:trPr>
          <w:trHeight w:val="201"/>
        </w:trPr>
        <w:tc>
          <w:tcPr>
            <w:tcW w:w="3840" w:type="dxa"/>
            <w:vAlign w:val="bottom"/>
            <w:tcBorders>
              <w:top w:val="single" w:sz="8" w:color="E0E0E0"/>
            </w:tcBorders>
            <w:shd w:val="clear" w:color="auto" w:fill="E0E0E0"/>
          </w:tcPr>
          <w:p>
            <w:pPr>
              <w:spacing w:after="0" w:line="201" w:lineRule="exact"/>
              <w:rPr>
                <w:sz w:val="20"/>
                <w:szCs w:val="20"/>
                <w:color w:val="auto"/>
              </w:rPr>
            </w:pPr>
            <w:r>
              <w:rPr>
                <w:rFonts w:ascii="Arial" w:cs="Arial" w:eastAsia="Arial" w:hAnsi="Arial"/>
                <w:sz w:val="20"/>
                <w:szCs w:val="20"/>
                <w:color w:val="auto"/>
              </w:rPr>
              <w:t>Shares issuable upon the exercise of</w:t>
            </w:r>
          </w:p>
        </w:tc>
        <w:tc>
          <w:tcPr>
            <w:tcW w:w="100" w:type="dxa"/>
            <w:vAlign w:val="bottom"/>
            <w:tcBorders>
              <w:top w:val="single" w:sz="8" w:color="E0E0E0"/>
            </w:tcBorders>
            <w:shd w:val="clear" w:color="auto" w:fill="E0E0E0"/>
          </w:tcPr>
          <w:p>
            <w:pPr>
              <w:spacing w:after="0"/>
              <w:rPr>
                <w:sz w:val="17"/>
                <w:szCs w:val="17"/>
                <w:color w:val="auto"/>
              </w:rPr>
            </w:pPr>
          </w:p>
        </w:tc>
        <w:tc>
          <w:tcPr>
            <w:tcW w:w="1160" w:type="dxa"/>
            <w:vAlign w:val="bottom"/>
            <w:tcBorders>
              <w:top w:val="single" w:sz="8" w:color="auto"/>
            </w:tcBorders>
            <w:shd w:val="clear" w:color="auto" w:fill="E0E0E0"/>
          </w:tcPr>
          <w:p>
            <w:pPr>
              <w:spacing w:after="0"/>
              <w:rPr>
                <w:sz w:val="17"/>
                <w:szCs w:val="17"/>
                <w:color w:val="auto"/>
              </w:rPr>
            </w:pPr>
          </w:p>
        </w:tc>
        <w:tc>
          <w:tcPr>
            <w:tcW w:w="160" w:type="dxa"/>
            <w:vAlign w:val="bottom"/>
            <w:tcBorders>
              <w:top w:val="single" w:sz="8" w:color="E0E0E0"/>
            </w:tcBorders>
            <w:shd w:val="clear" w:color="auto" w:fill="E0E0E0"/>
          </w:tcPr>
          <w:p>
            <w:pPr>
              <w:spacing w:after="0"/>
              <w:rPr>
                <w:sz w:val="17"/>
                <w:szCs w:val="17"/>
                <w:color w:val="auto"/>
              </w:rPr>
            </w:pPr>
          </w:p>
        </w:tc>
        <w:tc>
          <w:tcPr>
            <w:tcW w:w="1240" w:type="dxa"/>
            <w:vAlign w:val="bottom"/>
            <w:tcBorders>
              <w:top w:val="single" w:sz="8" w:color="auto"/>
            </w:tcBorders>
            <w:shd w:val="clear" w:color="auto" w:fill="E0E0E0"/>
          </w:tcPr>
          <w:p>
            <w:pPr>
              <w:spacing w:after="0"/>
              <w:rPr>
                <w:sz w:val="17"/>
                <w:szCs w:val="17"/>
                <w:color w:val="auto"/>
              </w:rPr>
            </w:pPr>
          </w:p>
        </w:tc>
        <w:tc>
          <w:tcPr>
            <w:tcW w:w="60" w:type="dxa"/>
            <w:vAlign w:val="bottom"/>
            <w:tcBorders>
              <w:top w:val="single" w:sz="8" w:color="E0E0E0"/>
            </w:tcBorders>
            <w:shd w:val="clear" w:color="auto" w:fill="E0E0E0"/>
          </w:tcPr>
          <w:p>
            <w:pPr>
              <w:spacing w:after="0"/>
              <w:rPr>
                <w:sz w:val="17"/>
                <w:szCs w:val="17"/>
                <w:color w:val="auto"/>
              </w:rPr>
            </w:pPr>
          </w:p>
        </w:tc>
      </w:tr>
      <w:tr>
        <w:trPr>
          <w:trHeight w:val="230"/>
        </w:trPr>
        <w:tc>
          <w:tcPr>
            <w:tcW w:w="3840" w:type="dxa"/>
            <w:vAlign w:val="bottom"/>
            <w:shd w:val="clear" w:color="auto" w:fill="E0E0E0"/>
          </w:tcPr>
          <w:p>
            <w:pPr>
              <w:spacing w:after="0"/>
              <w:rPr>
                <w:sz w:val="20"/>
                <w:szCs w:val="20"/>
                <w:color w:val="auto"/>
              </w:rPr>
            </w:pPr>
            <w:r>
              <w:rPr>
                <w:rFonts w:ascii="Arial" w:cs="Arial" w:eastAsia="Arial" w:hAnsi="Arial"/>
                <w:sz w:val="20"/>
                <w:szCs w:val="20"/>
                <w:color w:val="auto"/>
              </w:rPr>
              <w:t>outstanding</w:t>
            </w: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30"/>
        </w:trPr>
        <w:tc>
          <w:tcPr>
            <w:tcW w:w="3840" w:type="dxa"/>
            <w:vAlign w:val="bottom"/>
            <w:shd w:val="clear" w:color="auto" w:fill="E0E0E0"/>
          </w:tcPr>
          <w:p>
            <w:pPr>
              <w:ind w:left="180"/>
              <w:spacing w:after="0"/>
              <w:rPr>
                <w:sz w:val="20"/>
                <w:szCs w:val="20"/>
                <w:color w:val="auto"/>
              </w:rPr>
            </w:pPr>
            <w:r>
              <w:rPr>
                <w:rFonts w:ascii="Arial" w:cs="Arial" w:eastAsia="Arial" w:hAnsi="Arial"/>
                <w:sz w:val="20"/>
                <w:szCs w:val="20"/>
                <w:color w:val="auto"/>
              </w:rPr>
              <w:t>common stock options and the vesting of</w:t>
            </w: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30"/>
        </w:trPr>
        <w:tc>
          <w:tcPr>
            <w:tcW w:w="3840" w:type="dxa"/>
            <w:vAlign w:val="bottom"/>
            <w:shd w:val="clear" w:color="auto" w:fill="E0E0E0"/>
          </w:tcPr>
          <w:p>
            <w:pPr>
              <w:ind w:left="180"/>
              <w:spacing w:after="0"/>
              <w:rPr>
                <w:sz w:val="20"/>
                <w:szCs w:val="20"/>
                <w:color w:val="auto"/>
              </w:rPr>
            </w:pPr>
            <w:r>
              <w:rPr>
                <w:rFonts w:ascii="Arial" w:cs="Arial" w:eastAsia="Arial" w:hAnsi="Arial"/>
                <w:sz w:val="20"/>
                <w:szCs w:val="20"/>
                <w:color w:val="auto"/>
              </w:rPr>
              <w:t>outstanding common restricted stock</w:t>
            </w:r>
          </w:p>
        </w:tc>
        <w:tc>
          <w:tcPr>
            <w:tcW w:w="10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49"/>
        </w:trPr>
        <w:tc>
          <w:tcPr>
            <w:tcW w:w="3840" w:type="dxa"/>
            <w:vAlign w:val="bottom"/>
            <w:shd w:val="clear" w:color="auto" w:fill="E0E0E0"/>
          </w:tcPr>
          <w:p>
            <w:pPr>
              <w:ind w:left="180"/>
              <w:spacing w:after="0"/>
              <w:rPr>
                <w:sz w:val="20"/>
                <w:szCs w:val="20"/>
                <w:color w:val="auto"/>
              </w:rPr>
            </w:pPr>
            <w:r>
              <w:rPr>
                <w:rFonts w:ascii="Arial" w:cs="Arial" w:eastAsia="Arial" w:hAnsi="Arial"/>
                <w:sz w:val="20"/>
                <w:szCs w:val="20"/>
                <w:color w:val="auto"/>
              </w:rPr>
              <w:t>units granted</w:t>
            </w:r>
          </w:p>
        </w:tc>
        <w:tc>
          <w:tcPr>
            <w:tcW w:w="100" w:type="dxa"/>
            <w:vAlign w:val="bottom"/>
            <w:shd w:val="clear" w:color="auto" w:fill="E0E0E0"/>
          </w:tcPr>
          <w:p>
            <w:pPr>
              <w:spacing w:after="0"/>
              <w:rPr>
                <w:sz w:val="21"/>
                <w:szCs w:val="21"/>
                <w:color w:val="auto"/>
              </w:rPr>
            </w:pP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10,234,971</w:t>
            </w:r>
          </w:p>
        </w:tc>
        <w:tc>
          <w:tcPr>
            <w:tcW w:w="160" w:type="dxa"/>
            <w:vAlign w:val="bottom"/>
            <w:shd w:val="clear" w:color="auto" w:fill="E0E0E0"/>
          </w:tcPr>
          <w:p>
            <w:pPr>
              <w:spacing w:after="0"/>
              <w:rPr>
                <w:sz w:val="21"/>
                <w:szCs w:val="21"/>
                <w:color w:val="auto"/>
              </w:rPr>
            </w:pPr>
          </w:p>
        </w:tc>
        <w:tc>
          <w:tcPr>
            <w:tcW w:w="12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7,130,956</w:t>
            </w:r>
          </w:p>
        </w:tc>
        <w:tc>
          <w:tcPr>
            <w:tcW w:w="60" w:type="dxa"/>
            <w:vAlign w:val="bottom"/>
            <w:shd w:val="clear" w:color="auto" w:fill="E0E0E0"/>
          </w:tcPr>
          <w:p>
            <w:pPr>
              <w:spacing w:after="0"/>
              <w:rPr>
                <w:sz w:val="21"/>
                <w:szCs w:val="21"/>
                <w:color w:val="auto"/>
              </w:rPr>
            </w:pPr>
          </w:p>
        </w:tc>
      </w:tr>
      <w:tr>
        <w:trPr>
          <w:trHeight w:val="211"/>
        </w:trPr>
        <w:tc>
          <w:tcPr>
            <w:tcW w:w="3840" w:type="dxa"/>
            <w:vAlign w:val="bottom"/>
          </w:tcPr>
          <w:p>
            <w:pPr>
              <w:spacing w:after="0" w:line="210" w:lineRule="exact"/>
              <w:rPr>
                <w:sz w:val="20"/>
                <w:szCs w:val="20"/>
                <w:color w:val="auto"/>
              </w:rPr>
            </w:pPr>
            <w:r>
              <w:rPr>
                <w:rFonts w:ascii="Arial" w:cs="Arial" w:eastAsia="Arial" w:hAnsi="Arial"/>
                <w:sz w:val="20"/>
                <w:szCs w:val="20"/>
                <w:color w:val="auto"/>
              </w:rPr>
              <w:t>Shares available for future grant under the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3840" w:type="dxa"/>
            <w:vAlign w:val="bottom"/>
          </w:tcPr>
          <w:p>
            <w:pPr>
              <w:ind w:left="180"/>
              <w:spacing w:after="0"/>
              <w:rPr>
                <w:sz w:val="20"/>
                <w:szCs w:val="20"/>
                <w:color w:val="auto"/>
              </w:rPr>
            </w:pPr>
            <w:r>
              <w:rPr>
                <w:rFonts w:ascii="Arial" w:cs="Arial" w:eastAsia="Arial" w:hAnsi="Arial"/>
                <w:sz w:val="20"/>
                <w:szCs w:val="20"/>
                <w:color w:val="auto"/>
              </w:rPr>
              <w:t>Equity Incentive Plan</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1,666,381</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3,158,094</w:t>
            </w:r>
          </w:p>
        </w:tc>
        <w:tc>
          <w:tcPr>
            <w:tcW w:w="60" w:type="dxa"/>
            <w:vAlign w:val="bottom"/>
          </w:tcPr>
          <w:p>
            <w:pPr>
              <w:spacing w:after="0"/>
              <w:rPr>
                <w:sz w:val="21"/>
                <w:szCs w:val="21"/>
                <w:color w:val="auto"/>
              </w:rPr>
            </w:pPr>
          </w:p>
        </w:tc>
      </w:tr>
      <w:tr>
        <w:trPr>
          <w:trHeight w:val="211"/>
        </w:trPr>
        <w:tc>
          <w:tcPr>
            <w:tcW w:w="3840" w:type="dxa"/>
            <w:vAlign w:val="bottom"/>
            <w:shd w:val="clear" w:color="auto" w:fill="E0E0E0"/>
          </w:tcPr>
          <w:p>
            <w:pPr>
              <w:spacing w:after="0" w:line="210" w:lineRule="exact"/>
              <w:rPr>
                <w:sz w:val="20"/>
                <w:szCs w:val="20"/>
                <w:color w:val="auto"/>
              </w:rPr>
            </w:pPr>
            <w:r>
              <w:rPr>
                <w:rFonts w:ascii="Arial" w:cs="Arial" w:eastAsia="Arial" w:hAnsi="Arial"/>
                <w:sz w:val="20"/>
                <w:szCs w:val="20"/>
                <w:color w:val="auto"/>
              </w:rPr>
              <w:t>Shares available for future grant under the</w:t>
            </w:r>
          </w:p>
        </w:tc>
        <w:tc>
          <w:tcPr>
            <w:tcW w:w="100" w:type="dxa"/>
            <w:vAlign w:val="bottom"/>
            <w:shd w:val="clear" w:color="auto" w:fill="E0E0E0"/>
          </w:tcPr>
          <w:p>
            <w:pPr>
              <w:spacing w:after="0"/>
              <w:rPr>
                <w:sz w:val="18"/>
                <w:szCs w:val="18"/>
                <w:color w:val="auto"/>
              </w:rPr>
            </w:pPr>
          </w:p>
        </w:tc>
        <w:tc>
          <w:tcPr>
            <w:tcW w:w="116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2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r>
      <w:tr>
        <w:trPr>
          <w:trHeight w:val="249"/>
        </w:trPr>
        <w:tc>
          <w:tcPr>
            <w:tcW w:w="3840" w:type="dxa"/>
            <w:vAlign w:val="bottom"/>
            <w:shd w:val="clear" w:color="auto" w:fill="E0E0E0"/>
          </w:tcPr>
          <w:p>
            <w:pPr>
              <w:ind w:left="180"/>
              <w:spacing w:after="0"/>
              <w:rPr>
                <w:sz w:val="20"/>
                <w:szCs w:val="20"/>
                <w:color w:val="auto"/>
              </w:rPr>
            </w:pPr>
            <w:r>
              <w:rPr>
                <w:rFonts w:ascii="Arial" w:cs="Arial" w:eastAsia="Arial" w:hAnsi="Arial"/>
                <w:sz w:val="20"/>
                <w:szCs w:val="20"/>
                <w:color w:val="auto"/>
              </w:rPr>
              <w:t>Employee Stock Purchase Plan</w:t>
            </w:r>
          </w:p>
        </w:tc>
        <w:tc>
          <w:tcPr>
            <w:tcW w:w="126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1,338,444</w:t>
            </w:r>
          </w:p>
        </w:tc>
        <w:tc>
          <w:tcPr>
            <w:tcW w:w="14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1,128,732</w:t>
            </w:r>
          </w:p>
        </w:tc>
        <w:tc>
          <w:tcPr>
            <w:tcW w:w="60" w:type="dxa"/>
            <w:vAlign w:val="bottom"/>
            <w:shd w:val="clear" w:color="auto" w:fill="E0E0E0"/>
          </w:tcPr>
          <w:p>
            <w:pPr>
              <w:spacing w:after="0"/>
              <w:rPr>
                <w:sz w:val="21"/>
                <w:szCs w:val="21"/>
                <w:color w:val="auto"/>
              </w:rPr>
            </w:pPr>
          </w:p>
        </w:tc>
      </w:tr>
      <w:tr>
        <w:trPr>
          <w:trHeight w:val="211"/>
        </w:trPr>
        <w:tc>
          <w:tcPr>
            <w:tcW w:w="3840" w:type="dxa"/>
            <w:vAlign w:val="bottom"/>
          </w:tcPr>
          <w:p>
            <w:pPr>
              <w:spacing w:after="0" w:line="210" w:lineRule="exact"/>
              <w:rPr>
                <w:sz w:val="20"/>
                <w:szCs w:val="20"/>
                <w:color w:val="auto"/>
              </w:rPr>
            </w:pPr>
            <w:r>
              <w:rPr>
                <w:rFonts w:ascii="Arial" w:cs="Arial" w:eastAsia="Arial" w:hAnsi="Arial"/>
                <w:sz w:val="20"/>
                <w:szCs w:val="20"/>
                <w:color w:val="auto"/>
              </w:rPr>
              <w:t>Shares available for future grant under the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20"/>
                <w:szCs w:val="20"/>
                <w:color w:val="auto"/>
              </w:rPr>
              <w:t>2024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3840" w:type="dxa"/>
            <w:vAlign w:val="bottom"/>
          </w:tcPr>
          <w:p>
            <w:pPr>
              <w:ind w:left="180"/>
              <w:spacing w:after="0"/>
              <w:rPr>
                <w:sz w:val="20"/>
                <w:szCs w:val="20"/>
                <w:color w:val="auto"/>
              </w:rPr>
            </w:pPr>
            <w:r>
              <w:rPr>
                <w:rFonts w:ascii="Arial" w:cs="Arial" w:eastAsia="Arial" w:hAnsi="Arial"/>
                <w:sz w:val="20"/>
                <w:szCs w:val="20"/>
                <w:color w:val="auto"/>
              </w:rPr>
              <w:t>Inducement Equity Incentive Plan</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350,000</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r>
      <w:tr>
        <w:trPr>
          <w:trHeight w:val="220"/>
        </w:trPr>
        <w:tc>
          <w:tcPr>
            <w:tcW w:w="3840" w:type="dxa"/>
            <w:vAlign w:val="bottom"/>
            <w:tcBorders>
              <w:top w:val="single" w:sz="8" w:color="E0E0E0"/>
            </w:tcBorders>
            <w:shd w:val="clear" w:color="auto" w:fill="E0E0E0"/>
          </w:tcPr>
          <w:p>
            <w:pPr>
              <w:ind w:left="280"/>
              <w:spacing w:after="0" w:line="220" w:lineRule="exact"/>
              <w:rPr>
                <w:sz w:val="20"/>
                <w:szCs w:val="20"/>
                <w:color w:val="auto"/>
              </w:rPr>
            </w:pPr>
            <w:r>
              <w:rPr>
                <w:rFonts w:ascii="Arial" w:cs="Arial" w:eastAsia="Arial" w:hAnsi="Arial"/>
                <w:sz w:val="20"/>
                <w:szCs w:val="20"/>
                <w:color w:val="auto"/>
              </w:rPr>
              <w:t>Total</w:t>
            </w:r>
          </w:p>
        </w:tc>
        <w:tc>
          <w:tcPr>
            <w:tcW w:w="10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13,589,796</w:t>
            </w:r>
          </w:p>
        </w:tc>
        <w:tc>
          <w:tcPr>
            <w:tcW w:w="160" w:type="dxa"/>
            <w:vAlign w:val="bottom"/>
            <w:tcBorders>
              <w:top w:val="single" w:sz="8" w:color="E0E0E0"/>
            </w:tcBorders>
            <w:shd w:val="clear" w:color="auto" w:fill="E0E0E0"/>
          </w:tcPr>
          <w:p>
            <w:pPr>
              <w:spacing w:after="0"/>
              <w:rPr>
                <w:sz w:val="19"/>
                <w:szCs w:val="19"/>
                <w:color w:val="auto"/>
              </w:rPr>
            </w:pPr>
          </w:p>
        </w:tc>
        <w:tc>
          <w:tcPr>
            <w:tcW w:w="12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11,417,782</w:t>
            </w:r>
          </w:p>
        </w:tc>
        <w:tc>
          <w:tcPr>
            <w:tcW w:w="60" w:type="dxa"/>
            <w:vAlign w:val="bottom"/>
            <w:tcBorders>
              <w:top w:val="single" w:sz="8" w:color="E0E0E0"/>
            </w:tcBorders>
            <w:shd w:val="clear" w:color="auto" w:fill="E0E0E0"/>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Company’s 2020 Equity Incentive Plan, or the 2020 Plan, provides for annual increases in the number of shares that may be issued under the 2020 Plan on January 1, 2021 and each subsequent January 1, thereafter, by a number of shares equal to the least of (1) 3,230,000 shares, (2) 5% of the</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135</w:t>
      </w:r>
    </w:p>
    <w:p>
      <w:pPr>
        <w:sectPr>
          <w:pgSz w:w="12240" w:h="15840" w:orient="portrait"/>
          <w:cols w:equalWidth="0" w:num="1">
            <w:col w:w="9360"/>
          </w:cols>
          <w:pgMar w:left="1440" w:top="1420" w:right="1440" w:bottom="186" w:gutter="0" w:footer="0" w:header="0"/>
          <w:type w:val="continuous"/>
        </w:sectPr>
      </w:pPr>
    </w:p>
    <w:bookmarkStart w:id="141" w:name="page142"/>
    <w:bookmarkEnd w:id="141"/>
    <w:p>
      <w:pPr>
        <w:jc w:val="both"/>
        <w:spacing w:after="0" w:line="282" w:lineRule="auto"/>
        <w:rPr>
          <w:sz w:val="20"/>
          <w:szCs w:val="20"/>
          <w:color w:val="auto"/>
        </w:rPr>
      </w:pPr>
      <w:r>
        <w:rPr>
          <w:rFonts w:ascii="Arial" w:cs="Arial" w:eastAsia="Arial" w:hAnsi="Arial"/>
          <w:sz w:val="20"/>
          <w:szCs w:val="20"/>
          <w:color w:val="auto"/>
        </w:rPr>
        <w:t>number of shares of common stock issued and outstanding on the immediately preceding December 31, and (3) an amount determined by the Company’s board of directors.</w:t>
      </w:r>
    </w:p>
    <w:p>
      <w:pPr>
        <w:spacing w:after="0" w:line="229"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The Company’s 2020 Employee Stock Purchase Plan, or the ESPP, provides for annual increases in the number of shares that may be issued under the ESPP on January 1, 2021 and each subsequent January 1, thereafter, by a number of shares equal to the least of (1) 646,000 shares, (2) 1% of the number of shares of common stock issued and outstanding on the immediately preceding December 31, and (3) an amount determined by the Company’s board of directors.</w:t>
      </w:r>
    </w:p>
    <w:p>
      <w:pPr>
        <w:spacing w:after="0" w:line="262"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20"/>
          <w:szCs w:val="20"/>
          <w:color w:val="auto"/>
        </w:rPr>
        <w:t>Effective January 1, 2024, the Company’s 2020 Plan and ESPP reserves increased by 1,908,630 shares and 381,726 shares, respectively.</w:t>
      </w:r>
    </w:p>
    <w:p>
      <w:pPr>
        <w:spacing w:after="0" w:line="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In February 2024, the board of directors adopted the Athira Pharma, Inc. 2024 Inducement Equity Incentive Plan, or the 2024 Inducement Plan, and, subject to the adjustment provisions of the 2024 Inducement Plan, reserved 750,000 shares of the Company's common stock for issuance pursuant to equity awards granted under the 2024 Inducement Plan.</w:t>
      </w:r>
    </w:p>
    <w:p>
      <w:pPr>
        <w:spacing w:after="0" w:line="17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Effective January 1, 2025, the Company’s 2020 Plan and ESPP reserves increased by 1,952,047 shares and 390,409 shares,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Stock-based Compensation</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Stock-based compensation expense recognized was as follows (in thousands):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7"/>
                <w:szCs w:val="17"/>
                <w:color w:val="auto"/>
              </w:rPr>
            </w:pPr>
          </w:p>
        </w:tc>
      </w:tr>
      <w:tr>
        <w:trPr>
          <w:trHeight w:val="174"/>
        </w:trPr>
        <w:tc>
          <w:tcPr>
            <w:tcW w:w="43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5"/>
              <w:spacing w:after="0" w:line="174"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5"/>
              <w:spacing w:after="0" w:line="174"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0E0E0"/>
            </w:tcBorders>
          </w:tcPr>
          <w:p>
            <w:pPr>
              <w:spacing w:after="0"/>
              <w:rPr>
                <w:sz w:val="15"/>
                <w:szCs w:val="15"/>
                <w:color w:val="auto"/>
              </w:rPr>
            </w:pPr>
          </w:p>
        </w:tc>
      </w:tr>
      <w:tr>
        <w:trPr>
          <w:trHeight w:val="220"/>
        </w:trPr>
        <w:tc>
          <w:tcPr>
            <w:tcW w:w="43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Research and development</w:t>
            </w: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shd w:val="clear" w:color="auto" w:fill="E0E0E0"/>
              </w:rPr>
              <w:t>$</w:t>
            </w:r>
          </w:p>
        </w:tc>
        <w:tc>
          <w:tcPr>
            <w:tcW w:w="7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4,043</w:t>
            </w:r>
          </w:p>
        </w:tc>
        <w:tc>
          <w:tcPr>
            <w:tcW w:w="140" w:type="dxa"/>
            <w:vAlign w:val="bottom"/>
            <w:shd w:val="clear" w:color="auto" w:fill="E0E0E0"/>
          </w:tcPr>
          <w:p>
            <w:pPr>
              <w:spacing w:after="0"/>
              <w:rPr>
                <w:sz w:val="19"/>
                <w:szCs w:val="19"/>
                <w:color w:val="auto"/>
              </w:rPr>
            </w:pPr>
          </w:p>
        </w:tc>
        <w:tc>
          <w:tcPr>
            <w:tcW w:w="2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7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4,003</w:t>
            </w:r>
          </w:p>
        </w:tc>
        <w:tc>
          <w:tcPr>
            <w:tcW w:w="60" w:type="dxa"/>
            <w:vAlign w:val="bottom"/>
            <w:shd w:val="clear" w:color="auto" w:fill="E0E0E0"/>
          </w:tcPr>
          <w:p>
            <w:pPr>
              <w:spacing w:after="0"/>
              <w:rPr>
                <w:sz w:val="19"/>
                <w:szCs w:val="19"/>
                <w:color w:val="auto"/>
              </w:rPr>
            </w:pPr>
          </w:p>
        </w:tc>
      </w:tr>
      <w:tr>
        <w:trPr>
          <w:trHeight w:val="230"/>
        </w:trPr>
        <w:tc>
          <w:tcPr>
            <w:tcW w:w="438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General and administrative</w:t>
            </w:r>
          </w:p>
        </w:tc>
        <w:tc>
          <w:tcPr>
            <w:tcW w:w="10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7,006</w:t>
            </w:r>
          </w:p>
        </w:tc>
        <w:tc>
          <w:tcPr>
            <w:tcW w:w="14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6,620</w:t>
            </w:r>
          </w:p>
        </w:tc>
        <w:tc>
          <w:tcPr>
            <w:tcW w:w="60" w:type="dxa"/>
            <w:vAlign w:val="bottom"/>
            <w:tcBorders>
              <w:bottom w:val="single" w:sz="8" w:color="E0E0E0"/>
            </w:tcBorders>
          </w:tcPr>
          <w:p>
            <w:pPr>
              <w:spacing w:after="0"/>
              <w:rPr>
                <w:sz w:val="19"/>
                <w:szCs w:val="19"/>
                <w:color w:val="auto"/>
              </w:rPr>
            </w:pPr>
          </w:p>
        </w:tc>
      </w:tr>
      <w:tr>
        <w:trPr>
          <w:trHeight w:val="220"/>
        </w:trPr>
        <w:tc>
          <w:tcPr>
            <w:tcW w:w="4380" w:type="dxa"/>
            <w:vAlign w:val="bottom"/>
            <w:shd w:val="clear" w:color="auto" w:fill="E0E0E0"/>
          </w:tcPr>
          <w:p>
            <w:pPr>
              <w:ind w:left="280"/>
              <w:spacing w:after="0" w:line="220" w:lineRule="exact"/>
              <w:rPr>
                <w:sz w:val="20"/>
                <w:szCs w:val="20"/>
                <w:color w:val="auto"/>
              </w:rPr>
            </w:pPr>
            <w:r>
              <w:rPr>
                <w:rFonts w:ascii="Arial" w:cs="Arial" w:eastAsia="Arial" w:hAnsi="Arial"/>
                <w:sz w:val="20"/>
                <w:szCs w:val="20"/>
                <w:color w:val="auto"/>
              </w:rPr>
              <w:t>Total stock-based compensation expense</w:t>
            </w:r>
          </w:p>
        </w:tc>
        <w:tc>
          <w:tcPr>
            <w:tcW w:w="10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spacing w:after="0" w:line="220" w:lineRule="exact"/>
              <w:rPr>
                <w:sz w:val="20"/>
                <w:szCs w:val="20"/>
                <w:color w:val="auto"/>
              </w:rPr>
            </w:pPr>
            <w:r>
              <w:rPr>
                <w:rFonts w:ascii="Arial" w:cs="Arial" w:eastAsia="Arial" w:hAnsi="Arial"/>
                <w:sz w:val="20"/>
                <w:szCs w:val="20"/>
                <w:color w:val="auto"/>
                <w:shd w:val="clear" w:color="auto" w:fill="E0E0E0"/>
              </w:rPr>
              <w:t>$</w:t>
            </w:r>
          </w:p>
        </w:tc>
        <w:tc>
          <w:tcPr>
            <w:tcW w:w="7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11,049</w:t>
            </w:r>
          </w:p>
        </w:tc>
        <w:tc>
          <w:tcPr>
            <w:tcW w:w="14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7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10,623</w:t>
            </w:r>
          </w:p>
        </w:tc>
        <w:tc>
          <w:tcPr>
            <w:tcW w:w="60" w:type="dxa"/>
            <w:vAlign w:val="bottom"/>
            <w:shd w:val="clear" w:color="auto" w:fill="E0E0E0"/>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Valuation Assumptions</w:t>
      </w:r>
    </w:p>
    <w:p>
      <w:pPr>
        <w:spacing w:after="0" w:line="116"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fair value of stock options was determined using the Black-Scholes option-pricing model and the assumptions below. Each of these inputs is subjective and generally required significant judgment.</w:t>
      </w:r>
    </w:p>
    <w:p>
      <w:pPr>
        <w:spacing w:after="0" w:line="53" w:lineRule="exact"/>
        <w:rPr>
          <w:sz w:val="20"/>
          <w:szCs w:val="20"/>
          <w:color w:val="auto"/>
        </w:rPr>
      </w:pPr>
    </w:p>
    <w:p>
      <w:pPr>
        <w:jc w:val="both"/>
        <w:ind w:left="980" w:hanging="490"/>
        <w:spacing w:after="0" w:line="261"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Fair Value of Common Stock</w:t>
      </w:r>
      <w:r>
        <w:rPr>
          <w:rFonts w:ascii="Arial" w:cs="Arial" w:eastAsia="Arial" w:hAnsi="Arial"/>
          <w:sz w:val="20"/>
          <w:szCs w:val="20"/>
          <w:color w:val="auto"/>
        </w:rPr>
        <w:t>—The fair value of each share of common stock is based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closing price of the Company’s common stock on the date of grant, or other relevant determination date, as reported on The Nasdaq Global Select Market.</w:t>
      </w:r>
    </w:p>
    <w:p>
      <w:pPr>
        <w:spacing w:after="0" w:line="73" w:lineRule="exact"/>
        <w:rPr>
          <w:rFonts w:ascii="Arial" w:cs="Arial" w:eastAsia="Arial" w:hAnsi="Arial"/>
          <w:sz w:val="20"/>
          <w:szCs w:val="20"/>
          <w:color w:val="auto"/>
        </w:rPr>
      </w:pPr>
    </w:p>
    <w:p>
      <w:pPr>
        <w:jc w:val="both"/>
        <w:ind w:left="980" w:hanging="490"/>
        <w:spacing w:after="0" w:line="261"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—The risk-free interest rate is based on the U.S. Treasury zero coupon</w:t>
      </w:r>
      <w:r>
        <w:rPr>
          <w:rFonts w:ascii="Arial" w:cs="Arial" w:eastAsia="Arial" w:hAnsi="Arial"/>
          <w:sz w:val="20"/>
          <w:szCs w:val="20"/>
          <w:i w:val="1"/>
          <w:iCs w:val="1"/>
          <w:color w:val="auto"/>
        </w:rPr>
        <w:t xml:space="preserve"> </w:t>
      </w:r>
      <w:r>
        <w:rPr>
          <w:rFonts w:ascii="Arial" w:cs="Arial" w:eastAsia="Arial" w:hAnsi="Arial"/>
          <w:sz w:val="20"/>
          <w:szCs w:val="20"/>
          <w:color w:val="auto"/>
        </w:rPr>
        <w:t>issues in effect at the time of grant for periods corresponding with the expected term of the option.</w:t>
      </w:r>
    </w:p>
    <w:p>
      <w:pPr>
        <w:spacing w:after="0" w:line="73" w:lineRule="exact"/>
        <w:rPr>
          <w:rFonts w:ascii="Arial" w:cs="Arial" w:eastAsia="Arial" w:hAnsi="Arial"/>
          <w:sz w:val="20"/>
          <w:szCs w:val="20"/>
          <w:color w:val="auto"/>
        </w:rPr>
      </w:pPr>
    </w:p>
    <w:p>
      <w:pPr>
        <w:jc w:val="both"/>
        <w:ind w:left="980" w:hanging="490"/>
        <w:spacing w:after="0" w:line="247"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—Because the Company was previously privately held and did not have any</w:t>
      </w:r>
      <w:r>
        <w:rPr>
          <w:rFonts w:ascii="Arial" w:cs="Arial" w:eastAsia="Arial" w:hAnsi="Arial"/>
          <w:sz w:val="20"/>
          <w:szCs w:val="20"/>
          <w:i w:val="1"/>
          <w:iCs w:val="1"/>
          <w:color w:val="auto"/>
        </w:rPr>
        <w:t xml:space="preserve"> </w:t>
      </w:r>
      <w:r>
        <w:rPr>
          <w:rFonts w:ascii="Arial" w:cs="Arial" w:eastAsia="Arial" w:hAnsi="Arial"/>
          <w:sz w:val="20"/>
          <w:szCs w:val="20"/>
          <w:color w:val="auto"/>
        </w:rPr>
        <w:t>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86" w:lineRule="exact"/>
        <w:rPr>
          <w:rFonts w:ascii="Arial" w:cs="Arial" w:eastAsia="Arial" w:hAnsi="Arial"/>
          <w:sz w:val="20"/>
          <w:szCs w:val="20"/>
          <w:color w:val="auto"/>
        </w:rPr>
      </w:pPr>
    </w:p>
    <w:p>
      <w:pPr>
        <w:jc w:val="both"/>
        <w:ind w:left="980" w:hanging="490"/>
        <w:spacing w:after="0" w:line="254"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—The expected term represents the period that the stock-based awards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to be outstanding and is determined using the simplified method (based on the midpoint between the vesting date and the end of the contractual term) as the Company has limited history of relevant stock option exercise activity.</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136</w:t>
      </w:r>
    </w:p>
    <w:p>
      <w:pPr>
        <w:sectPr>
          <w:pgSz w:w="12240" w:h="15840" w:orient="portrait"/>
          <w:cols w:equalWidth="0" w:num="1">
            <w:col w:w="9360"/>
          </w:cols>
          <w:pgMar w:left="1440" w:top="1420" w:right="1440" w:bottom="186" w:gutter="0" w:footer="0" w:header="0"/>
          <w:type w:val="continuous"/>
        </w:sectPr>
      </w:pPr>
    </w:p>
    <w:bookmarkStart w:id="142" w:name="page143"/>
    <w:bookmarkEnd w:id="142"/>
    <w:p>
      <w:pPr>
        <w:jc w:val="both"/>
        <w:ind w:left="980" w:hanging="490"/>
        <w:spacing w:after="0" w:line="261"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Expected Dividend Yield</w:t>
      </w:r>
      <w:r>
        <w:rPr>
          <w:rFonts w:ascii="Arial" w:cs="Arial" w:eastAsia="Arial" w:hAnsi="Arial"/>
          <w:sz w:val="20"/>
          <w:szCs w:val="20"/>
          <w:color w:val="auto"/>
        </w:rPr>
        <w:t>—The Company has never paid dividends on its common stock and</w:t>
      </w:r>
      <w:r>
        <w:rPr>
          <w:rFonts w:ascii="Arial" w:cs="Arial" w:eastAsia="Arial" w:hAnsi="Arial"/>
          <w:sz w:val="20"/>
          <w:szCs w:val="20"/>
          <w:i w:val="1"/>
          <w:iCs w:val="1"/>
          <w:color w:val="auto"/>
        </w:rPr>
        <w:t xml:space="preserve"> </w:t>
      </w:r>
      <w:r>
        <w:rPr>
          <w:rFonts w:ascii="Arial" w:cs="Arial" w:eastAsia="Arial" w:hAnsi="Arial"/>
          <w:sz w:val="20"/>
          <w:szCs w:val="20"/>
          <w:color w:val="auto"/>
        </w:rPr>
        <w:t>has no plans to pay dividends going forward. Therefore, it used an expected dividend yield of zero.</w:t>
      </w:r>
    </w:p>
    <w:p>
      <w:pPr>
        <w:spacing w:after="0" w:line="18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fair value of each stock option was estimated using the Black-Scholes option-pricing model with the following weighted-average assumptions: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4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43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50"/>
              <w:spacing w:after="0" w:line="174" w:lineRule="exact"/>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4"/>
              <w:spacing w:after="0" w:line="174" w:lineRule="exact"/>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5"/>
                <w:szCs w:val="15"/>
                <w:color w:val="auto"/>
              </w:rPr>
            </w:pPr>
          </w:p>
        </w:tc>
      </w:tr>
      <w:tr>
        <w:trPr>
          <w:trHeight w:val="220"/>
        </w:trPr>
        <w:tc>
          <w:tcPr>
            <w:tcW w:w="43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Risk-free interest rate</w:t>
            </w:r>
          </w:p>
        </w:tc>
        <w:tc>
          <w:tcPr>
            <w:tcW w:w="80" w:type="dxa"/>
            <w:vAlign w:val="bottom"/>
            <w:shd w:val="clear" w:color="auto" w:fill="E0E0E0"/>
          </w:tcPr>
          <w:p>
            <w:pPr>
              <w:spacing w:after="0"/>
              <w:rPr>
                <w:sz w:val="19"/>
                <w:szCs w:val="19"/>
                <w:color w:val="auto"/>
              </w:rPr>
            </w:pPr>
          </w:p>
        </w:tc>
        <w:tc>
          <w:tcPr>
            <w:tcW w:w="1080" w:type="dxa"/>
            <w:vAlign w:val="bottom"/>
            <w:gridSpan w:val="2"/>
          </w:tcPr>
          <w:p>
            <w:pPr>
              <w:jc w:val="right"/>
              <w:ind w:right="80"/>
              <w:spacing w:after="0" w:line="220" w:lineRule="exact"/>
              <w:rPr>
                <w:sz w:val="20"/>
                <w:szCs w:val="20"/>
                <w:color w:val="auto"/>
              </w:rPr>
            </w:pPr>
            <w:r>
              <w:rPr>
                <w:rFonts w:ascii="Arial" w:cs="Arial" w:eastAsia="Arial" w:hAnsi="Arial"/>
                <w:sz w:val="20"/>
                <w:szCs w:val="20"/>
                <w:color w:val="auto"/>
              </w:rPr>
              <w:t>4.13%</w:t>
            </w:r>
          </w:p>
        </w:tc>
        <w:tc>
          <w:tcPr>
            <w:tcW w:w="102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3.54%</w:t>
            </w: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Expected volatility</w:t>
            </w: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97.21%</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99.18%</w:t>
            </w:r>
          </w:p>
        </w:tc>
      </w:tr>
      <w:tr>
        <w:trPr>
          <w:trHeight w:val="230"/>
        </w:trPr>
        <w:tc>
          <w:tcPr>
            <w:tcW w:w="4380" w:type="dxa"/>
            <w:vAlign w:val="bottom"/>
            <w:shd w:val="clear" w:color="auto" w:fill="E0E0E0"/>
          </w:tcPr>
          <w:p>
            <w:pPr>
              <w:spacing w:after="0"/>
              <w:rPr>
                <w:sz w:val="20"/>
                <w:szCs w:val="20"/>
                <w:color w:val="auto"/>
              </w:rPr>
            </w:pPr>
            <w:r>
              <w:rPr>
                <w:rFonts w:ascii="Arial" w:cs="Arial" w:eastAsia="Arial" w:hAnsi="Arial"/>
                <w:sz w:val="20"/>
                <w:szCs w:val="20"/>
                <w:color w:val="auto"/>
              </w:rPr>
              <w:t>Expected term (in years)</w:t>
            </w:r>
          </w:p>
        </w:tc>
        <w:tc>
          <w:tcPr>
            <w:tcW w:w="90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5.88</w:t>
            </w:r>
          </w:p>
        </w:tc>
        <w:tc>
          <w:tcPr>
            <w:tcW w:w="26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5.84</w:t>
            </w:r>
          </w:p>
        </w:tc>
        <w:tc>
          <w:tcPr>
            <w:tcW w:w="180" w:type="dxa"/>
            <w:vAlign w:val="bottom"/>
            <w:shd w:val="clear" w:color="auto" w:fill="E0E0E0"/>
          </w:tcPr>
          <w:p>
            <w:pPr>
              <w:spacing w:after="0"/>
              <w:rPr>
                <w:sz w:val="19"/>
                <w:szCs w:val="19"/>
                <w:color w:val="auto"/>
              </w:rPr>
            </w:pPr>
          </w:p>
        </w:tc>
      </w:tr>
      <w:tr>
        <w:trPr>
          <w:trHeight w:val="271"/>
        </w:trPr>
        <w:tc>
          <w:tcPr>
            <w:tcW w:w="438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8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3714750</wp:posOffset>
                </wp:positionH>
                <wp:positionV relativeFrom="paragraph">
                  <wp:posOffset>-609600</wp:posOffset>
                </wp:positionV>
                <wp:extent cx="532765" cy="1460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765" cy="146050"/>
                        </a:xfrm>
                        <a:prstGeom prst="rect">
                          <a:avLst/>
                        </a:prstGeom>
                        <a:solidFill>
                          <a:srgbClr val="E0E0E0"/>
                        </a:solidFill>
                      </wps:spPr>
                      <wps:bodyPr/>
                    </wps:wsp>
                  </a:graphicData>
                </a:graphic>
              </wp:anchor>
            </w:drawing>
          </mc:Choice>
          <mc:Fallback>
            <w:pict>
              <v:rect id="Shape 28" o:spid="_x0000_s1053" style="position:absolute;margin-left:292.5pt;margin-top:-48pt;width:41.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4406265</wp:posOffset>
                </wp:positionH>
                <wp:positionV relativeFrom="paragraph">
                  <wp:posOffset>-609600</wp:posOffset>
                </wp:positionV>
                <wp:extent cx="532765" cy="14605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765" cy="146050"/>
                        </a:xfrm>
                        <a:prstGeom prst="rect">
                          <a:avLst/>
                        </a:prstGeom>
                        <a:solidFill>
                          <a:srgbClr val="E0E0E0"/>
                        </a:solidFill>
                      </wps:spPr>
                      <wps:bodyPr/>
                    </wps:wsp>
                  </a:graphicData>
                </a:graphic>
              </wp:anchor>
            </w:drawing>
          </mc:Choice>
          <mc:Fallback>
            <w:pict>
              <v:rect id="Shape 29" o:spid="_x0000_s1054" style="position:absolute;margin-left:346.95pt;margin-top:-48pt;width:41.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9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grant date fair value of restricted stock units is based upon the fair market value of the Company’s common stock based on its closing price as reported on the date of grant on the Nasdaq Global Select Market.</w:t>
      </w:r>
    </w:p>
    <w:p>
      <w:pPr>
        <w:spacing w:after="0" w:line="25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The fair value of options granted during the years ended December 31, 2024 and 2023 was $10.6 million and $9.8 million, respectively. The fair value of restricted stock units granted during the year ended December 31, 2024 and 2023 was $0.4 million and $0.5 million, respectively.</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Option Activity</w:t>
      </w:r>
    </w:p>
    <w:p>
      <w:pPr>
        <w:spacing w:after="0" w:line="11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Changes in shares available for grant under the 2020 Plan and the 2024 Inducement Plan during the year ended December 31, 2024 were as follows: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Shares</w:t>
            </w:r>
          </w:p>
        </w:tc>
      </w:tr>
      <w:tr>
        <w:trPr>
          <w:trHeight w:val="184"/>
        </w:trPr>
        <w:tc>
          <w:tcPr>
            <w:tcW w:w="536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Available</w:t>
            </w:r>
          </w:p>
        </w:tc>
      </w:tr>
      <w:tr>
        <w:trPr>
          <w:trHeight w:val="203"/>
        </w:trPr>
        <w:tc>
          <w:tcPr>
            <w:tcW w:w="536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for Grant</w:t>
            </w:r>
          </w:p>
        </w:tc>
      </w:tr>
      <w:tr>
        <w:trPr>
          <w:trHeight w:val="220"/>
        </w:trPr>
        <w:tc>
          <w:tcPr>
            <w:tcW w:w="536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Shares available for grant at December 31, 2023</w:t>
            </w:r>
          </w:p>
        </w:tc>
        <w:tc>
          <w:tcPr>
            <w:tcW w:w="11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3,158,094</w:t>
            </w:r>
          </w:p>
        </w:tc>
        <w:tc>
          <w:tcPr>
            <w:tcW w:w="80" w:type="dxa"/>
            <w:vAlign w:val="bottom"/>
            <w:tcBorders>
              <w:top w:val="single" w:sz="8" w:color="E0E0E0"/>
            </w:tcBorders>
            <w:shd w:val="clear" w:color="auto" w:fill="E0E0E0"/>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20"/>
                <w:szCs w:val="20"/>
                <w:color w:val="auto"/>
              </w:rPr>
              <w:t>2020 Plan reserve increase on January 1, 2024</w:t>
            </w:r>
          </w:p>
        </w:tc>
        <w:tc>
          <w:tcPr>
            <w:tcW w:w="1120" w:type="dxa"/>
            <w:vAlign w:val="bottom"/>
          </w:tcPr>
          <w:p>
            <w:pPr>
              <w:jc w:val="right"/>
              <w:spacing w:after="0"/>
              <w:rPr>
                <w:sz w:val="20"/>
                <w:szCs w:val="20"/>
                <w:color w:val="auto"/>
              </w:rPr>
            </w:pPr>
            <w:r>
              <w:rPr>
                <w:rFonts w:ascii="Arial" w:cs="Arial" w:eastAsia="Arial" w:hAnsi="Arial"/>
                <w:sz w:val="20"/>
                <w:szCs w:val="20"/>
                <w:color w:val="auto"/>
              </w:rPr>
              <w:t>1,908,630</w:t>
            </w:r>
          </w:p>
        </w:tc>
        <w:tc>
          <w:tcPr>
            <w:tcW w:w="80" w:type="dxa"/>
            <w:vAlign w:val="bottom"/>
          </w:tcPr>
          <w:p>
            <w:pPr>
              <w:spacing w:after="0"/>
              <w:rPr>
                <w:sz w:val="19"/>
                <w:szCs w:val="19"/>
                <w:color w:val="auto"/>
              </w:rPr>
            </w:pPr>
          </w:p>
        </w:tc>
      </w:tr>
      <w:tr>
        <w:trPr>
          <w:trHeight w:val="211"/>
        </w:trPr>
        <w:tc>
          <w:tcPr>
            <w:tcW w:w="5360" w:type="dxa"/>
            <w:vAlign w:val="bottom"/>
            <w:shd w:val="clear" w:color="auto" w:fill="E0E0E0"/>
          </w:tcPr>
          <w:p>
            <w:pPr>
              <w:spacing w:after="0" w:line="210" w:lineRule="exact"/>
              <w:rPr>
                <w:sz w:val="20"/>
                <w:szCs w:val="20"/>
                <w:color w:val="auto"/>
              </w:rPr>
            </w:pPr>
            <w:r>
              <w:rPr>
                <w:rFonts w:ascii="Arial" w:cs="Arial" w:eastAsia="Arial" w:hAnsi="Arial"/>
                <w:sz w:val="20"/>
                <w:szCs w:val="20"/>
                <w:color w:val="auto"/>
              </w:rPr>
              <w:t>Shares reserved upon adoption of the</w:t>
            </w:r>
          </w:p>
        </w:tc>
        <w:tc>
          <w:tcPr>
            <w:tcW w:w="11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r>
      <w:tr>
        <w:trPr>
          <w:trHeight w:val="249"/>
        </w:trPr>
        <w:tc>
          <w:tcPr>
            <w:tcW w:w="5360" w:type="dxa"/>
            <w:vAlign w:val="bottom"/>
            <w:shd w:val="clear" w:color="auto" w:fill="E0E0E0"/>
          </w:tcPr>
          <w:p>
            <w:pPr>
              <w:ind w:left="180"/>
              <w:spacing w:after="0"/>
              <w:rPr>
                <w:sz w:val="20"/>
                <w:szCs w:val="20"/>
                <w:color w:val="auto"/>
              </w:rPr>
            </w:pPr>
            <w:r>
              <w:rPr>
                <w:rFonts w:ascii="Arial" w:cs="Arial" w:eastAsia="Arial" w:hAnsi="Arial"/>
                <w:sz w:val="20"/>
                <w:szCs w:val="20"/>
                <w:color w:val="auto"/>
              </w:rPr>
              <w:t>2024 Inducement Plan</w:t>
            </w:r>
          </w:p>
        </w:tc>
        <w:tc>
          <w:tcPr>
            <w:tcW w:w="11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750,000</w:t>
            </w:r>
          </w:p>
        </w:tc>
        <w:tc>
          <w:tcPr>
            <w:tcW w:w="80" w:type="dxa"/>
            <w:vAlign w:val="bottom"/>
            <w:shd w:val="clear" w:color="auto" w:fill="E0E0E0"/>
          </w:tcPr>
          <w:p>
            <w:pPr>
              <w:spacing w:after="0"/>
              <w:rPr>
                <w:sz w:val="21"/>
                <w:szCs w:val="2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20"/>
                <w:szCs w:val="20"/>
                <w:color w:val="auto"/>
              </w:rPr>
              <w:t>Options and restricted stock units granted</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(5,986,613)</w:t>
            </w:r>
          </w:p>
        </w:tc>
      </w:tr>
      <w:tr>
        <w:trPr>
          <w:trHeight w:val="211"/>
        </w:trPr>
        <w:tc>
          <w:tcPr>
            <w:tcW w:w="5360" w:type="dxa"/>
            <w:vAlign w:val="bottom"/>
            <w:shd w:val="clear" w:color="auto" w:fill="E0E0E0"/>
          </w:tcPr>
          <w:p>
            <w:pPr>
              <w:spacing w:after="0" w:line="210" w:lineRule="exact"/>
              <w:rPr>
                <w:sz w:val="20"/>
                <w:szCs w:val="20"/>
                <w:color w:val="auto"/>
              </w:rPr>
            </w:pPr>
            <w:r>
              <w:rPr>
                <w:rFonts w:ascii="Arial" w:cs="Arial" w:eastAsia="Arial" w:hAnsi="Arial"/>
                <w:sz w:val="20"/>
                <w:szCs w:val="20"/>
                <w:color w:val="auto"/>
              </w:rPr>
              <w:t>Options and restricted stock units forfeited,</w:t>
            </w:r>
          </w:p>
        </w:tc>
        <w:tc>
          <w:tcPr>
            <w:tcW w:w="11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r>
      <w:tr>
        <w:trPr>
          <w:trHeight w:val="249"/>
        </w:trPr>
        <w:tc>
          <w:tcPr>
            <w:tcW w:w="5360" w:type="dxa"/>
            <w:vAlign w:val="bottom"/>
            <w:shd w:val="clear" w:color="auto" w:fill="E0E0E0"/>
          </w:tcPr>
          <w:p>
            <w:pPr>
              <w:ind w:left="180"/>
              <w:spacing w:after="0"/>
              <w:rPr>
                <w:sz w:val="20"/>
                <w:szCs w:val="20"/>
                <w:color w:val="auto"/>
              </w:rPr>
            </w:pPr>
            <w:r>
              <w:rPr>
                <w:rFonts w:ascii="Arial" w:cs="Arial" w:eastAsia="Arial" w:hAnsi="Arial"/>
                <w:sz w:val="20"/>
                <w:szCs w:val="20"/>
                <w:color w:val="auto"/>
              </w:rPr>
              <w:t>cancelled, or expired</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2,186,270</w:t>
            </w:r>
          </w:p>
        </w:tc>
        <w:tc>
          <w:tcPr>
            <w:tcW w:w="80" w:type="dxa"/>
            <w:vAlign w:val="bottom"/>
            <w:shd w:val="clear" w:color="auto" w:fill="E0E0E0"/>
          </w:tcPr>
          <w:p>
            <w:pPr>
              <w:spacing w:after="0"/>
              <w:rPr>
                <w:sz w:val="21"/>
                <w:szCs w:val="21"/>
                <w:color w:val="auto"/>
              </w:rPr>
            </w:pPr>
          </w:p>
        </w:tc>
      </w:tr>
      <w:tr>
        <w:trPr>
          <w:trHeight w:val="220"/>
        </w:trPr>
        <w:tc>
          <w:tcPr>
            <w:tcW w:w="5360" w:type="dxa"/>
            <w:vAlign w:val="bottom"/>
          </w:tcPr>
          <w:p>
            <w:pPr>
              <w:spacing w:after="0" w:line="220" w:lineRule="exact"/>
              <w:rPr>
                <w:sz w:val="20"/>
                <w:szCs w:val="20"/>
                <w:color w:val="auto"/>
              </w:rPr>
            </w:pPr>
            <w:r>
              <w:rPr>
                <w:rFonts w:ascii="Arial" w:cs="Arial" w:eastAsia="Arial" w:hAnsi="Arial"/>
                <w:sz w:val="20"/>
                <w:szCs w:val="20"/>
                <w:color w:val="auto"/>
              </w:rPr>
              <w:t>Shares available for grant at December 31, 2024</w:t>
            </w:r>
          </w:p>
        </w:tc>
        <w:tc>
          <w:tcPr>
            <w:tcW w:w="11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2,016,381</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A summary of stock option activity under the 2020 Plan and the 2024 Inducement Plan for the year ended December 31, 2024 was as follows: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Arial" w:cs="Arial" w:eastAsia="Arial" w:hAnsi="Arial"/>
                <w:sz w:val="16"/>
                <w:szCs w:val="16"/>
                <w:b w:val="1"/>
                <w:bCs w:val="1"/>
                <w:color w:val="auto"/>
                <w:w w:val="98"/>
              </w:rPr>
              <w:t>Weighted-</w:t>
            </w: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center"/>
              <w:ind w:right="31"/>
              <w:spacing w:after="0"/>
              <w:rPr>
                <w:sz w:val="20"/>
                <w:szCs w:val="20"/>
                <w:color w:val="auto"/>
              </w:rPr>
            </w:pPr>
            <w:r>
              <w:rPr>
                <w:rFonts w:ascii="Arial" w:cs="Arial" w:eastAsia="Arial" w:hAnsi="Arial"/>
                <w:sz w:val="16"/>
                <w:szCs w:val="16"/>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48"/>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1"/>
              <w:spacing w:after="0"/>
              <w:rPr>
                <w:sz w:val="20"/>
                <w:szCs w:val="20"/>
                <w:color w:val="auto"/>
              </w:rPr>
            </w:pPr>
            <w:r>
              <w:rPr>
                <w:rFonts w:ascii="Arial" w:cs="Arial" w:eastAsia="Arial" w:hAnsi="Arial"/>
                <w:sz w:val="16"/>
                <w:szCs w:val="16"/>
                <w:b w:val="1"/>
                <w:bCs w:val="1"/>
                <w:color w:val="auto"/>
              </w:rPr>
              <w:t>Intrinsic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8"/>
              <w:spacing w:after="0"/>
              <w:rPr>
                <w:sz w:val="20"/>
                <w:szCs w:val="20"/>
                <w:color w:val="auto"/>
              </w:rPr>
            </w:pPr>
            <w:r>
              <w:rPr>
                <w:rFonts w:ascii="Arial" w:cs="Arial" w:eastAsia="Arial" w:hAnsi="Arial"/>
                <w:sz w:val="16"/>
                <w:szCs w:val="16"/>
                <w:b w:val="1"/>
                <w:bCs w:val="1"/>
                <w:color w:val="auto"/>
              </w:rPr>
              <w:t>Exercise</w:t>
            </w: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1"/>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5"/>
                <w:szCs w:val="15"/>
                <w:color w:val="auto"/>
              </w:rPr>
            </w:pPr>
          </w:p>
        </w:tc>
        <w:tc>
          <w:tcPr>
            <w:tcW w:w="13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5"/>
                <w:szCs w:val="15"/>
                <w:color w:val="auto"/>
              </w:rPr>
            </w:pPr>
          </w:p>
        </w:tc>
        <w:tc>
          <w:tcPr>
            <w:tcW w:w="980" w:type="dxa"/>
            <w:vAlign w:val="bottom"/>
          </w:tcPr>
          <w:p>
            <w:pPr>
              <w:jc w:val="center"/>
              <w:ind w:right="68"/>
              <w:spacing w:after="0"/>
              <w:rPr>
                <w:sz w:val="20"/>
                <w:szCs w:val="20"/>
                <w:color w:val="auto"/>
              </w:rPr>
            </w:pPr>
            <w:r>
              <w:rPr>
                <w:rFonts w:ascii="Arial" w:cs="Arial" w:eastAsia="Arial" w:hAnsi="Arial"/>
                <w:sz w:val="16"/>
                <w:szCs w:val="16"/>
                <w:b w:val="1"/>
                <w:bCs w:val="1"/>
                <w:color w:val="auto"/>
                <w:w w:val="99"/>
              </w:rPr>
              <w:t>price</w:t>
            </w: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1"/>
              <w:spacing w:after="0"/>
              <w:rPr>
                <w:sz w:val="20"/>
                <w:szCs w:val="20"/>
                <w:color w:val="auto"/>
              </w:rPr>
            </w:pPr>
            <w:r>
              <w:rPr>
                <w:rFonts w:ascii="Arial" w:cs="Arial" w:eastAsia="Arial" w:hAnsi="Arial"/>
                <w:sz w:val="16"/>
                <w:szCs w:val="16"/>
                <w:b w:val="1"/>
                <w:bCs w:val="1"/>
                <w:color w:val="auto"/>
              </w:rPr>
              <w:t>(in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6"/>
                <w:szCs w:val="16"/>
                <w:b w:val="1"/>
                <w:bCs w:val="1"/>
                <w:color w:val="auto"/>
              </w:rPr>
              <w:t>per Share</w:t>
            </w:r>
          </w:p>
        </w:tc>
        <w:tc>
          <w:tcPr>
            <w:tcW w:w="1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1"/>
              <w:spacing w:after="0"/>
              <w:rPr>
                <w:sz w:val="20"/>
                <w:szCs w:val="20"/>
                <w:color w:val="auto"/>
              </w:rPr>
            </w:pPr>
            <w:r>
              <w:rPr>
                <w:rFonts w:ascii="Arial" w:cs="Arial" w:eastAsia="Arial" w:hAnsi="Arial"/>
                <w:sz w:val="16"/>
                <w:szCs w:val="16"/>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0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Balance at December 31, 2023</w:t>
            </w: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6,820,869</w:t>
            </w:r>
          </w:p>
        </w:tc>
        <w:tc>
          <w:tcPr>
            <w:tcW w:w="20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7.97</w:t>
            </w:r>
          </w:p>
        </w:tc>
        <w:tc>
          <w:tcPr>
            <w:tcW w:w="18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8.24</w:t>
            </w:r>
          </w:p>
        </w:tc>
        <w:tc>
          <w:tcPr>
            <w:tcW w:w="20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387</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20"/>
                <w:szCs w:val="20"/>
                <w:color w:val="auto"/>
              </w:rPr>
              <w:t>Granted</w:t>
            </w:r>
          </w:p>
        </w:tc>
        <w:tc>
          <w:tcPr>
            <w:tcW w:w="1160" w:type="dxa"/>
            <w:vAlign w:val="bottom"/>
          </w:tcPr>
          <w:p>
            <w:pPr>
              <w:jc w:val="right"/>
              <w:spacing w:after="0"/>
              <w:rPr>
                <w:sz w:val="20"/>
                <w:szCs w:val="20"/>
                <w:color w:val="auto"/>
              </w:rPr>
            </w:pPr>
            <w:r>
              <w:rPr>
                <w:rFonts w:ascii="Arial" w:cs="Arial" w:eastAsia="Arial" w:hAnsi="Arial"/>
                <w:sz w:val="20"/>
                <w:szCs w:val="20"/>
                <w:color w:val="auto"/>
              </w:rPr>
              <w:t>5,052,871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E0E0E0"/>
          </w:tcPr>
          <w:p>
            <w:pPr>
              <w:spacing w:after="0"/>
              <w:rPr>
                <w:sz w:val="20"/>
                <w:szCs w:val="20"/>
                <w:color w:val="auto"/>
              </w:rPr>
            </w:pPr>
            <w:r>
              <w:rPr>
                <w:rFonts w:ascii="Arial" w:cs="Arial" w:eastAsia="Arial" w:hAnsi="Arial"/>
                <w:sz w:val="20"/>
                <w:szCs w:val="20"/>
                <w:color w:val="auto"/>
              </w:rPr>
              <w:t>Exercised</w:t>
            </w:r>
          </w:p>
        </w:tc>
        <w:tc>
          <w:tcPr>
            <w:tcW w:w="11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(75,660)</w:t>
            </w:r>
          </w:p>
        </w:tc>
        <w:tc>
          <w:tcPr>
            <w:tcW w:w="2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Arial" w:cs="Arial" w:eastAsia="Arial" w:hAnsi="Arial"/>
                <w:sz w:val="20"/>
                <w:szCs w:val="20"/>
                <w:color w:val="auto"/>
              </w:rPr>
              <w:t>0.16</w:t>
            </w:r>
          </w:p>
        </w:tc>
        <w:tc>
          <w:tcPr>
            <w:tcW w:w="18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Forfeited/expired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(2,185,770)</w:t>
            </w:r>
          </w:p>
        </w:tc>
        <w:tc>
          <w:tcPr>
            <w:tcW w:w="200" w:type="dxa"/>
            <w:vAlign w:val="bottom"/>
            <w:tcBorders>
              <w:bottom w:val="single" w:sz="8" w:color="E0E0E0"/>
            </w:tcBorders>
          </w:tcPr>
          <w:p>
            <w:pPr>
              <w:spacing w:after="0"/>
              <w:rPr>
                <w:sz w:val="19"/>
                <w:szCs w:val="19"/>
                <w:color w:val="auto"/>
              </w:rPr>
            </w:pPr>
          </w:p>
        </w:tc>
        <w:tc>
          <w:tcPr>
            <w:tcW w:w="140" w:type="dxa"/>
            <w:vAlign w:val="bottom"/>
            <w:tcBorders>
              <w:bottom w:val="single" w:sz="8" w:color="E0E0E0"/>
            </w:tcBorders>
          </w:tcPr>
          <w:p>
            <w:pPr>
              <w:spacing w:after="0"/>
              <w:rPr>
                <w:sz w:val="19"/>
                <w:szCs w:val="19"/>
                <w:color w:val="auto"/>
              </w:rPr>
            </w:pPr>
          </w:p>
        </w:tc>
        <w:tc>
          <w:tcPr>
            <w:tcW w:w="980" w:type="dxa"/>
            <w:vAlign w:val="bottom"/>
            <w:tcBorders>
              <w:bottom w:val="single" w:sz="8" w:color="E0E0E0"/>
            </w:tcBorders>
          </w:tcPr>
          <w:p>
            <w:pPr>
              <w:jc w:val="right"/>
              <w:spacing w:after="0"/>
              <w:rPr>
                <w:sz w:val="20"/>
                <w:szCs w:val="20"/>
                <w:color w:val="auto"/>
              </w:rPr>
            </w:pPr>
            <w:r>
              <w:rPr>
                <w:rFonts w:ascii="Arial" w:cs="Arial" w:eastAsia="Arial" w:hAnsi="Arial"/>
                <w:sz w:val="20"/>
                <w:szCs w:val="20"/>
                <w:color w:val="auto"/>
              </w:rPr>
              <w:t>4.21</w:t>
            </w:r>
          </w:p>
        </w:tc>
        <w:tc>
          <w:tcPr>
            <w:tcW w:w="180" w:type="dxa"/>
            <w:vAlign w:val="bottom"/>
            <w:tcBorders>
              <w:bottom w:val="single" w:sz="8" w:color="E0E0E0"/>
            </w:tcBorders>
          </w:tcPr>
          <w:p>
            <w:pPr>
              <w:spacing w:after="0"/>
              <w:rPr>
                <w:sz w:val="19"/>
                <w:szCs w:val="19"/>
                <w:color w:val="auto"/>
              </w:rPr>
            </w:pPr>
          </w:p>
        </w:tc>
        <w:tc>
          <w:tcPr>
            <w:tcW w:w="1160" w:type="dxa"/>
            <w:vAlign w:val="bottom"/>
            <w:tcBorders>
              <w:bottom w:val="single" w:sz="8" w:color="E0E0E0"/>
            </w:tcBorders>
          </w:tcPr>
          <w:p>
            <w:pPr>
              <w:spacing w:after="0"/>
              <w:rPr>
                <w:sz w:val="19"/>
                <w:szCs w:val="19"/>
                <w:color w:val="auto"/>
              </w:rPr>
            </w:pPr>
          </w:p>
        </w:tc>
        <w:tc>
          <w:tcPr>
            <w:tcW w:w="20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100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Balance at December 31, 2024</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9,612,310</w:t>
            </w:r>
          </w:p>
        </w:tc>
        <w:tc>
          <w:tcPr>
            <w:tcW w:w="20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rPr>
              <w:t>$</w:t>
            </w:r>
          </w:p>
        </w:tc>
        <w:tc>
          <w:tcPr>
            <w:tcW w:w="9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6.08</w:t>
            </w:r>
          </w:p>
        </w:tc>
        <w:tc>
          <w:tcPr>
            <w:tcW w:w="1340" w:type="dxa"/>
            <w:vAlign w:val="bottom"/>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8.08</w:t>
            </w:r>
          </w:p>
        </w:tc>
        <w:tc>
          <w:tcPr>
            <w:tcW w:w="320" w:type="dxa"/>
            <w:vAlign w:val="bottom"/>
            <w:gridSpan w:val="2"/>
            <w:shd w:val="clear" w:color="auto" w:fill="E0E0E0"/>
          </w:tcPr>
          <w:p>
            <w:pPr>
              <w:jc w:val="right"/>
              <w:spacing w:after="0" w:line="220" w:lineRule="exact"/>
              <w:rPr>
                <w:sz w:val="20"/>
                <w:szCs w:val="20"/>
                <w:color w:val="auto"/>
              </w:rPr>
            </w:pPr>
            <w:r>
              <w:rPr>
                <w:rFonts w:ascii="Arial" w:cs="Arial" w:eastAsia="Arial" w:hAnsi="Arial"/>
                <w:sz w:val="20"/>
                <w:szCs w:val="20"/>
                <w:color w:val="auto"/>
              </w:rPr>
              <w:t>$</w:t>
            </w:r>
          </w:p>
        </w:tc>
        <w:tc>
          <w:tcPr>
            <w:tcW w:w="10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130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20"/>
                <w:szCs w:val="20"/>
                <w:color w:val="auto"/>
              </w:rPr>
              <w:t>Expected to vest</w:t>
            </w: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3.79</w:t>
            </w:r>
          </w:p>
        </w:tc>
        <w:tc>
          <w:tcPr>
            <w:tcW w:w="1340" w:type="dxa"/>
            <w:vAlign w:val="bottom"/>
            <w:gridSpan w:val="2"/>
            <w:vMerge w:val="restart"/>
          </w:tcPr>
          <w:p>
            <w:pPr>
              <w:jc w:val="right"/>
              <w:spacing w:after="0"/>
              <w:rPr>
                <w:sz w:val="20"/>
                <w:szCs w:val="20"/>
                <w:color w:val="auto"/>
              </w:rPr>
            </w:pPr>
            <w:r>
              <w:rPr>
                <w:rFonts w:ascii="Arial" w:cs="Arial" w:eastAsia="Arial" w:hAnsi="Arial"/>
                <w:sz w:val="20"/>
                <w:szCs w:val="20"/>
                <w:color w:val="auto"/>
              </w:rPr>
              <w:t>8.82</w:t>
            </w:r>
          </w:p>
        </w:tc>
        <w:tc>
          <w:tcPr>
            <w:tcW w:w="3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87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200" w:type="dxa"/>
            <w:vAlign w:val="bottom"/>
            <w:tcBorders>
              <w:bottom w:val="single" w:sz="8" w:color="E0E0E0"/>
            </w:tcBorders>
            <w:vMerge w:val="continue"/>
          </w:tcPr>
          <w:p>
            <w:pPr>
              <w:spacing w:after="0"/>
              <w:rPr>
                <w:sz w:val="22"/>
                <w:szCs w:val="22"/>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4,055,037</w:t>
            </w:r>
          </w:p>
        </w:tc>
        <w:tc>
          <w:tcPr>
            <w:tcW w:w="200" w:type="dxa"/>
            <w:vAlign w:val="bottom"/>
            <w:tcBorders>
              <w:bottom w:val="single" w:sz="8" w:color="E0E0E0"/>
            </w:tcBorders>
          </w:tcPr>
          <w:p>
            <w:pPr>
              <w:spacing w:after="0"/>
              <w:rPr>
                <w:sz w:val="22"/>
                <w:szCs w:val="22"/>
                <w:color w:val="auto"/>
              </w:rPr>
            </w:pPr>
          </w:p>
        </w:tc>
        <w:tc>
          <w:tcPr>
            <w:tcW w:w="140" w:type="dxa"/>
            <w:vAlign w:val="bottom"/>
            <w:tcBorders>
              <w:bottom w:val="single" w:sz="8" w:color="E0E0E0"/>
            </w:tcBorders>
            <w:vMerge w:val="continue"/>
          </w:tcPr>
          <w:p>
            <w:pPr>
              <w:spacing w:after="0"/>
              <w:rPr>
                <w:sz w:val="22"/>
                <w:szCs w:val="22"/>
                <w:color w:val="auto"/>
              </w:rPr>
            </w:pPr>
          </w:p>
        </w:tc>
        <w:tc>
          <w:tcPr>
            <w:tcW w:w="980" w:type="dxa"/>
            <w:vAlign w:val="bottom"/>
            <w:tcBorders>
              <w:bottom w:val="single" w:sz="8" w:color="E0E0E0"/>
            </w:tcBorders>
            <w:vMerge w:val="continue"/>
          </w:tcPr>
          <w:p>
            <w:pPr>
              <w:spacing w:after="0"/>
              <w:rPr>
                <w:sz w:val="22"/>
                <w:szCs w:val="22"/>
                <w:color w:val="auto"/>
              </w:rPr>
            </w:pPr>
          </w:p>
        </w:tc>
        <w:tc>
          <w:tcPr>
            <w:tcW w:w="1340" w:type="dxa"/>
            <w:vAlign w:val="bottom"/>
            <w:tcBorders>
              <w:bottom w:val="single" w:sz="8" w:color="E0E0E0"/>
            </w:tcBorders>
            <w:gridSpan w:val="2"/>
            <w:vMerge w:val="continue"/>
          </w:tcPr>
          <w:p>
            <w:pPr>
              <w:spacing w:after="0"/>
              <w:rPr>
                <w:sz w:val="22"/>
                <w:szCs w:val="22"/>
                <w:color w:val="auto"/>
              </w:rPr>
            </w:pPr>
          </w:p>
        </w:tc>
        <w:tc>
          <w:tcPr>
            <w:tcW w:w="320" w:type="dxa"/>
            <w:vAlign w:val="bottom"/>
            <w:tcBorders>
              <w:bottom w:val="single" w:sz="8" w:color="E0E0E0"/>
            </w:tcBorders>
            <w:gridSpan w:val="2"/>
            <w:vMerge w:val="continue"/>
          </w:tcPr>
          <w:p>
            <w:pPr>
              <w:spacing w:after="0"/>
              <w:rPr>
                <w:sz w:val="22"/>
                <w:szCs w:val="22"/>
                <w:color w:val="auto"/>
              </w:rPr>
            </w:pPr>
          </w:p>
        </w:tc>
        <w:tc>
          <w:tcPr>
            <w:tcW w:w="1000" w:type="dxa"/>
            <w:vAlign w:val="bottom"/>
            <w:tcBorders>
              <w:bottom w:val="single" w:sz="8" w:color="E0E0E0"/>
            </w:tcBorders>
            <w:vMerge w:val="continue"/>
          </w:tcPr>
          <w:p>
            <w:pPr>
              <w:spacing w:after="0"/>
              <w:rPr>
                <w:sz w:val="22"/>
                <w:szCs w:val="22"/>
                <w:color w:val="auto"/>
              </w:rPr>
            </w:pP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200" w:type="dxa"/>
            <w:vAlign w:val="bottom"/>
            <w:shd w:val="clear" w:color="auto" w:fill="E0E0E0"/>
          </w:tcPr>
          <w:p>
            <w:pPr>
              <w:spacing w:after="0" w:line="215" w:lineRule="exact"/>
              <w:rPr>
                <w:sz w:val="20"/>
                <w:szCs w:val="20"/>
                <w:color w:val="auto"/>
              </w:rPr>
            </w:pPr>
            <w:r>
              <w:rPr>
                <w:rFonts w:ascii="Arial" w:cs="Arial" w:eastAsia="Arial" w:hAnsi="Arial"/>
                <w:sz w:val="20"/>
                <w:szCs w:val="20"/>
                <w:color w:val="auto"/>
              </w:rPr>
              <w:t>Options exercisable</w:t>
            </w:r>
          </w:p>
        </w:tc>
        <w:tc>
          <w:tcPr>
            <w:tcW w:w="1160" w:type="dxa"/>
            <w:vAlign w:val="bottom"/>
            <w:tcBorders>
              <w:bottom w:val="single" w:sz="8" w:color="auto"/>
            </w:tcBorders>
            <w:shd w:val="clear" w:color="auto" w:fill="E0E0E0"/>
          </w:tcPr>
          <w:p>
            <w:pPr>
              <w:jc w:val="right"/>
              <w:spacing w:after="0" w:line="215" w:lineRule="exact"/>
              <w:rPr>
                <w:sz w:val="20"/>
                <w:szCs w:val="20"/>
                <w:color w:val="auto"/>
              </w:rPr>
            </w:pPr>
            <w:r>
              <w:rPr>
                <w:rFonts w:ascii="Arial" w:cs="Arial" w:eastAsia="Arial" w:hAnsi="Arial"/>
                <w:sz w:val="20"/>
                <w:szCs w:val="20"/>
                <w:color w:val="auto"/>
              </w:rPr>
              <w:t>5,557,273</w:t>
            </w:r>
          </w:p>
        </w:tc>
        <w:tc>
          <w:tcPr>
            <w:tcW w:w="200" w:type="dxa"/>
            <w:vAlign w:val="bottom"/>
            <w:shd w:val="clear" w:color="auto" w:fill="E0E0E0"/>
          </w:tcPr>
          <w:p>
            <w:pPr>
              <w:spacing w:after="0"/>
              <w:rPr>
                <w:sz w:val="18"/>
                <w:szCs w:val="18"/>
                <w:color w:val="auto"/>
              </w:rPr>
            </w:pPr>
          </w:p>
        </w:tc>
        <w:tc>
          <w:tcPr>
            <w:tcW w:w="140" w:type="dxa"/>
            <w:vAlign w:val="bottom"/>
            <w:shd w:val="clear" w:color="auto" w:fill="E0E0E0"/>
          </w:tcPr>
          <w:p>
            <w:pPr>
              <w:jc w:val="right"/>
              <w:spacing w:after="0" w:line="215" w:lineRule="exact"/>
              <w:rPr>
                <w:sz w:val="20"/>
                <w:szCs w:val="20"/>
                <w:color w:val="auto"/>
              </w:rPr>
            </w:pPr>
            <w:r>
              <w:rPr>
                <w:rFonts w:ascii="Arial" w:cs="Arial" w:eastAsia="Arial" w:hAnsi="Arial"/>
                <w:sz w:val="20"/>
                <w:szCs w:val="20"/>
                <w:color w:val="auto"/>
                <w:w w:val="89"/>
              </w:rPr>
              <w:t>$</w:t>
            </w:r>
          </w:p>
        </w:tc>
        <w:tc>
          <w:tcPr>
            <w:tcW w:w="980" w:type="dxa"/>
            <w:vAlign w:val="bottom"/>
            <w:shd w:val="clear" w:color="auto" w:fill="E0E0E0"/>
          </w:tcPr>
          <w:p>
            <w:pPr>
              <w:jc w:val="right"/>
              <w:spacing w:after="0" w:line="215" w:lineRule="exact"/>
              <w:rPr>
                <w:sz w:val="20"/>
                <w:szCs w:val="20"/>
                <w:color w:val="auto"/>
              </w:rPr>
            </w:pPr>
            <w:r>
              <w:rPr>
                <w:rFonts w:ascii="Arial" w:cs="Arial" w:eastAsia="Arial" w:hAnsi="Arial"/>
                <w:sz w:val="20"/>
                <w:szCs w:val="20"/>
                <w:color w:val="auto"/>
              </w:rPr>
              <w:t>7.75</w:t>
            </w:r>
          </w:p>
        </w:tc>
        <w:tc>
          <w:tcPr>
            <w:tcW w:w="1340" w:type="dxa"/>
            <w:vAlign w:val="bottom"/>
            <w:gridSpan w:val="2"/>
            <w:shd w:val="clear" w:color="auto" w:fill="E0E0E0"/>
          </w:tcPr>
          <w:p>
            <w:pPr>
              <w:jc w:val="right"/>
              <w:spacing w:after="0" w:line="215" w:lineRule="exact"/>
              <w:rPr>
                <w:sz w:val="20"/>
                <w:szCs w:val="20"/>
                <w:color w:val="auto"/>
              </w:rPr>
            </w:pPr>
            <w:r>
              <w:rPr>
                <w:rFonts w:ascii="Arial" w:cs="Arial" w:eastAsia="Arial" w:hAnsi="Arial"/>
                <w:sz w:val="20"/>
                <w:szCs w:val="20"/>
                <w:color w:val="auto"/>
              </w:rPr>
              <w:t>7.53</w:t>
            </w:r>
          </w:p>
        </w:tc>
        <w:tc>
          <w:tcPr>
            <w:tcW w:w="320" w:type="dxa"/>
            <w:vAlign w:val="bottom"/>
            <w:gridSpan w:val="2"/>
            <w:shd w:val="clear" w:color="auto" w:fill="E0E0E0"/>
          </w:tcPr>
          <w:p>
            <w:pPr>
              <w:jc w:val="right"/>
              <w:spacing w:after="0" w:line="215" w:lineRule="exact"/>
              <w:rPr>
                <w:sz w:val="20"/>
                <w:szCs w:val="20"/>
                <w:color w:val="auto"/>
              </w:rPr>
            </w:pPr>
            <w:r>
              <w:rPr>
                <w:rFonts w:ascii="Arial" w:cs="Arial" w:eastAsia="Arial" w:hAnsi="Arial"/>
                <w:sz w:val="20"/>
                <w:szCs w:val="20"/>
                <w:color w:val="auto"/>
              </w:rPr>
              <w:t>$</w:t>
            </w:r>
          </w:p>
        </w:tc>
        <w:tc>
          <w:tcPr>
            <w:tcW w:w="1000" w:type="dxa"/>
            <w:vAlign w:val="bottom"/>
            <w:shd w:val="clear" w:color="auto" w:fill="E0E0E0"/>
          </w:tcPr>
          <w:p>
            <w:pPr>
              <w:jc w:val="right"/>
              <w:spacing w:after="0" w:line="215" w:lineRule="exact"/>
              <w:rPr>
                <w:sz w:val="20"/>
                <w:szCs w:val="20"/>
                <w:color w:val="auto"/>
              </w:rPr>
            </w:pPr>
            <w:r>
              <w:rPr>
                <w:rFonts w:ascii="Arial" w:cs="Arial" w:eastAsia="Arial" w:hAnsi="Arial"/>
                <w:sz w:val="20"/>
                <w:szCs w:val="20"/>
                <w:color w:val="auto"/>
              </w:rPr>
              <w:t>43</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34" w:right="1440" w:bottom="186"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137</w:t>
      </w:r>
    </w:p>
    <w:p>
      <w:pPr>
        <w:sectPr>
          <w:pgSz w:w="12240" w:h="15840" w:orient="portrait"/>
          <w:cols w:equalWidth="0" w:num="1">
            <w:col w:w="9360"/>
          </w:cols>
          <w:pgMar w:left="1440" w:top="1434" w:right="1440" w:bottom="186" w:gutter="0" w:footer="0" w:header="0"/>
          <w:type w:val="continuous"/>
        </w:sectPr>
      </w:pPr>
    </w:p>
    <w:bookmarkStart w:id="143" w:name="page144"/>
    <w:bookmarkEnd w:id="143"/>
    <w:p>
      <w:pPr>
        <w:spacing w:after="0" w:line="251"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total fair value of options granted that vested during the years ended December 31, 2024 and 2023 was $11.0 million and $9.8 million, respectively.</w:t>
      </w:r>
    </w:p>
    <w:p>
      <w:pPr>
        <w:spacing w:after="0" w:line="160"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20"/>
          <w:szCs w:val="20"/>
          <w:color w:val="auto"/>
        </w:rPr>
        <w:t>The aggregate intrinsic value in the table above is calculated as the difference between the exercise price of the underlying options and the estimated fair value of the Company’s common stock underlying all options that were in-the-money at December 31, 2024. The aggregate intrinsic value of options exercised was $0.2 million and $0.2 million during the year ended December 31, 2024 and 2023, respectively, determined as of the date of option exercise. As of December 31, 2024, there was $9.8 million of total unrecognized compensation cost related to non-vested stock options. The Company expects to recognize this cost over a remaining weighted-average period of 1.99 years. The Company utilizes newly issued shares to satisfy option exercises.</w:t>
      </w:r>
    </w:p>
    <w:p>
      <w:pPr>
        <w:spacing w:after="0" w:line="19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Stock options outstanding and exercisable under the 2020 Plan and the 2024 Inducement Plan consisted of the following at December 31, 2024:</w:t>
      </w:r>
    </w:p>
    <w:p>
      <w:pPr>
        <w:spacing w:after="0" w:line="362"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1340" w:type="dxa"/>
            <w:vAlign w:val="bottom"/>
            <w:vMerge w:val="restart"/>
          </w:tcPr>
          <w:p>
            <w:pPr>
              <w:spacing w:after="0"/>
              <w:rPr>
                <w:sz w:val="20"/>
                <w:szCs w:val="20"/>
                <w:color w:val="auto"/>
              </w:rPr>
            </w:pPr>
            <w:r>
              <w:rPr>
                <w:rFonts w:ascii="Arial" w:cs="Arial" w:eastAsia="Arial" w:hAnsi="Arial"/>
                <w:sz w:val="16"/>
                <w:szCs w:val="16"/>
                <w:b w:val="1"/>
                <w:bCs w:val="1"/>
                <w:color w:val="auto"/>
                <w:w w:val="98"/>
              </w:rPr>
              <w:t xml:space="preserve">Exercise Price </w:t>
            </w: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w:t>
            </w: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6"/>
                <w:szCs w:val="16"/>
                <w:b w:val="1"/>
                <w:bCs w:val="1"/>
                <w:color w:val="auto"/>
              </w:rPr>
              <w:t>Options</w:t>
            </w:r>
          </w:p>
        </w:tc>
        <w:tc>
          <w:tcPr>
            <w:tcW w:w="18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40" w:type="dxa"/>
            <w:vAlign w:val="bottom"/>
            <w:tcBorders>
              <w:bottom w:val="single" w:sz="8" w:color="auto"/>
            </w:tcBorders>
            <w:vMerge w:val="continue"/>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Arial" w:cs="Arial" w:eastAsia="Arial" w:hAnsi="Arial"/>
                <w:sz w:val="16"/>
                <w:szCs w:val="16"/>
                <w:b w:val="1"/>
                <w:bCs w:val="1"/>
                <w:color w:val="auto"/>
              </w:rPr>
              <w:t>Outstanding</w:t>
            </w:r>
          </w:p>
        </w:tc>
        <w:tc>
          <w:tcPr>
            <w:tcW w:w="180" w:type="dxa"/>
            <w:vAlign w:val="bottom"/>
          </w:tcPr>
          <w:p>
            <w:pPr>
              <w:spacing w:after="0"/>
              <w:rPr>
                <w:sz w:val="17"/>
                <w:szCs w:val="17"/>
                <w:color w:val="auto"/>
              </w:rPr>
            </w:pPr>
          </w:p>
        </w:tc>
        <w:tc>
          <w:tcPr>
            <w:tcW w:w="1340" w:type="dxa"/>
            <w:vAlign w:val="bottom"/>
          </w:tcPr>
          <w:p>
            <w:pPr>
              <w:jc w:val="right"/>
              <w:ind w:right="148"/>
              <w:spacing w:after="0"/>
              <w:rPr>
                <w:sz w:val="20"/>
                <w:szCs w:val="20"/>
                <w:color w:val="auto"/>
              </w:rPr>
            </w:pPr>
            <w:r>
              <w:rPr>
                <w:rFonts w:ascii="Arial" w:cs="Arial" w:eastAsia="Arial" w:hAnsi="Arial"/>
                <w:sz w:val="16"/>
                <w:szCs w:val="16"/>
                <w:b w:val="1"/>
                <w:bCs w:val="1"/>
                <w:color w:val="auto"/>
              </w:rPr>
              <w:t>Exercisable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340" w:type="dxa"/>
            <w:vAlign w:val="bottom"/>
            <w:tcBorders>
              <w:top w:val="single" w:sz="8" w:color="E0E0E0"/>
            </w:tcBorders>
            <w:shd w:val="clear" w:color="auto" w:fill="E0E0E0"/>
          </w:tcPr>
          <w:p>
            <w:pPr>
              <w:spacing w:after="0"/>
              <w:rPr>
                <w:sz w:val="20"/>
                <w:szCs w:val="20"/>
                <w:color w:val="auto"/>
              </w:rPr>
            </w:pPr>
            <w:r>
              <w:rPr>
                <w:rFonts w:ascii="Arial" w:cs="Arial" w:eastAsia="Arial" w:hAnsi="Arial"/>
                <w:sz w:val="20"/>
                <w:szCs w:val="20"/>
                <w:color w:val="auto"/>
              </w:rPr>
              <w:t>0.43 to 0.71</w:t>
            </w:r>
          </w:p>
        </w:tc>
        <w:tc>
          <w:tcPr>
            <w:tcW w:w="22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tcBorders>
            <w:shd w:val="clear" w:color="auto" w:fill="E0E0E0"/>
          </w:tcPr>
          <w:p>
            <w:pPr>
              <w:spacing w:after="0"/>
              <w:rPr>
                <w:sz w:val="20"/>
                <w:szCs w:val="20"/>
                <w:color w:val="auto"/>
              </w:rPr>
            </w:pPr>
          </w:p>
        </w:tc>
        <w:tc>
          <w:tcPr>
            <w:tcW w:w="132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964,067</w:t>
            </w:r>
          </w:p>
        </w:tc>
        <w:tc>
          <w:tcPr>
            <w:tcW w:w="180" w:type="dxa"/>
            <w:vAlign w:val="bottom"/>
            <w:tcBorders>
              <w:top w:val="single" w:sz="8" w:color="E0E0E0"/>
            </w:tcBorders>
            <w:shd w:val="clear" w:color="auto" w:fill="E0E0E0"/>
          </w:tcPr>
          <w:p>
            <w:pPr>
              <w:spacing w:after="0"/>
              <w:rPr>
                <w:sz w:val="20"/>
                <w:szCs w:val="20"/>
                <w:color w:val="auto"/>
              </w:rPr>
            </w:pPr>
          </w:p>
        </w:tc>
        <w:tc>
          <w:tcPr>
            <w:tcW w:w="134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310,581</w:t>
            </w:r>
          </w:p>
        </w:tc>
        <w:tc>
          <w:tcPr>
            <w:tcW w:w="6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0"/>
                <w:szCs w:val="20"/>
                <w:color w:val="auto"/>
              </w:rPr>
            </w:pPr>
            <w:r>
              <w:rPr>
                <w:rFonts w:ascii="Arial" w:cs="Arial" w:eastAsia="Arial" w:hAnsi="Arial"/>
                <w:sz w:val="20"/>
                <w:szCs w:val="20"/>
                <w:color w:val="auto"/>
              </w:rPr>
              <w:t>1.04 to 4.22</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5,771,807</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2,834,921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340" w:type="dxa"/>
            <w:vAlign w:val="bottom"/>
            <w:shd w:val="clear" w:color="auto" w:fill="E0E0E0"/>
          </w:tcPr>
          <w:p>
            <w:pPr>
              <w:spacing w:after="0"/>
              <w:rPr>
                <w:sz w:val="20"/>
                <w:szCs w:val="20"/>
                <w:color w:val="auto"/>
              </w:rPr>
            </w:pPr>
            <w:r>
              <w:rPr>
                <w:rFonts w:ascii="Arial" w:cs="Arial" w:eastAsia="Arial" w:hAnsi="Arial"/>
                <w:sz w:val="20"/>
                <w:szCs w:val="20"/>
                <w:color w:val="auto"/>
              </w:rPr>
              <w:t>8.93 to 19.94</w:t>
            </w:r>
          </w:p>
        </w:tc>
        <w:tc>
          <w:tcPr>
            <w:tcW w:w="2200" w:type="dxa"/>
            <w:vAlign w:val="bottom"/>
            <w:shd w:val="clear" w:color="auto" w:fill="E0E0E0"/>
          </w:tcPr>
          <w:p>
            <w:pPr>
              <w:spacing w:after="0"/>
              <w:rPr>
                <w:sz w:val="21"/>
                <w:szCs w:val="21"/>
                <w:color w:val="auto"/>
              </w:rPr>
            </w:pPr>
          </w:p>
        </w:tc>
        <w:tc>
          <w:tcPr>
            <w:tcW w:w="144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2,528,788</w:t>
            </w:r>
          </w:p>
        </w:tc>
        <w:tc>
          <w:tcPr>
            <w:tcW w:w="15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2,136,223</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0"/>
                <w:szCs w:val="20"/>
                <w:color w:val="auto"/>
              </w:rPr>
            </w:pPr>
            <w:r>
              <w:rPr>
                <w:rFonts w:ascii="Arial" w:cs="Arial" w:eastAsia="Arial" w:hAnsi="Arial"/>
                <w:sz w:val="20"/>
                <w:szCs w:val="20"/>
                <w:color w:val="auto"/>
              </w:rPr>
              <w:t>20.55 to 29.41</w:t>
            </w:r>
          </w:p>
        </w:tc>
        <w:tc>
          <w:tcPr>
            <w:tcW w:w="22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347,648</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275,548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40" w:type="dxa"/>
            <w:vAlign w:val="bottom"/>
            <w:tcBorders>
              <w:top w:val="single" w:sz="8" w:color="E0E0E0"/>
            </w:tcBorders>
            <w:shd w:val="clear" w:color="auto" w:fill="E0E0E0"/>
          </w:tcPr>
          <w:p>
            <w:pPr>
              <w:ind w:left="280"/>
              <w:spacing w:after="0"/>
              <w:rPr>
                <w:sz w:val="20"/>
                <w:szCs w:val="20"/>
                <w:color w:val="auto"/>
              </w:rPr>
            </w:pPr>
            <w:r>
              <w:rPr>
                <w:rFonts w:ascii="Arial" w:cs="Arial" w:eastAsia="Arial" w:hAnsi="Arial"/>
                <w:sz w:val="20"/>
                <w:szCs w:val="20"/>
                <w:color w:val="auto"/>
              </w:rPr>
              <w:t>Total</w:t>
            </w:r>
          </w:p>
        </w:tc>
        <w:tc>
          <w:tcPr>
            <w:tcW w:w="22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tcBorders>
            <w:shd w:val="clear" w:color="auto" w:fill="E0E0E0"/>
          </w:tcPr>
          <w:p>
            <w:pPr>
              <w:spacing w:after="0"/>
              <w:rPr>
                <w:sz w:val="20"/>
                <w:szCs w:val="20"/>
                <w:color w:val="auto"/>
              </w:rPr>
            </w:pPr>
          </w:p>
        </w:tc>
        <w:tc>
          <w:tcPr>
            <w:tcW w:w="13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9,612,310</w:t>
            </w:r>
          </w:p>
        </w:tc>
        <w:tc>
          <w:tcPr>
            <w:tcW w:w="180" w:type="dxa"/>
            <w:vAlign w:val="bottom"/>
            <w:tcBorders>
              <w:top w:val="single" w:sz="8" w:color="E0E0E0"/>
            </w:tcBorders>
            <w:shd w:val="clear" w:color="auto" w:fill="E0E0E0"/>
          </w:tcPr>
          <w:p>
            <w:pPr>
              <w:spacing w:after="0"/>
              <w:rPr>
                <w:sz w:val="20"/>
                <w:szCs w:val="20"/>
                <w:color w:val="auto"/>
              </w:rPr>
            </w:pPr>
          </w:p>
        </w:tc>
        <w:tc>
          <w:tcPr>
            <w:tcW w:w="13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5,557,273</w:t>
            </w:r>
          </w:p>
        </w:tc>
        <w:tc>
          <w:tcPr>
            <w:tcW w:w="6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12121"/>
        </w:rPr>
        <w:t>Restricted Stock Unit Activity</w:t>
      </w:r>
    </w:p>
    <w:p>
      <w:pPr>
        <w:spacing w:after="0" w:line="23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212121"/>
        </w:rPr>
        <w:t>A summary of restricted stock unit, or RSU, activity for the year ended December 31, 2024 is as follows: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Weighted-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Share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3"/>
              <w:spacing w:after="0"/>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Equivalent</w:t>
            </w:r>
          </w:p>
        </w:tc>
        <w:tc>
          <w:tcPr>
            <w:tcW w:w="6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Non-vested at December 31, 2023</w:t>
            </w:r>
          </w:p>
        </w:tc>
        <w:tc>
          <w:tcPr>
            <w:tcW w:w="80" w:type="dxa"/>
            <w:vAlign w:val="bottom"/>
            <w:tcBorders>
              <w:top w:val="single" w:sz="8" w:color="E0E0E0"/>
            </w:tcBorders>
            <w:shd w:val="clear" w:color="auto" w:fill="E0E0E0"/>
          </w:tcPr>
          <w:p>
            <w:pPr>
              <w:spacing w:after="0"/>
              <w:rPr>
                <w:sz w:val="19"/>
                <w:szCs w:val="19"/>
                <w:color w:val="auto"/>
              </w:rPr>
            </w:pPr>
          </w:p>
        </w:tc>
        <w:tc>
          <w:tcPr>
            <w:tcW w:w="9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310,087</w:t>
            </w:r>
          </w:p>
        </w:tc>
        <w:tc>
          <w:tcPr>
            <w:tcW w:w="12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shd w:val="clear" w:color="auto" w:fill="E0E0E0"/>
              </w:rPr>
              <w:t>$</w:t>
            </w:r>
          </w:p>
        </w:tc>
        <w:tc>
          <w:tcPr>
            <w:tcW w:w="82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11.44</w:t>
            </w:r>
          </w:p>
        </w:tc>
        <w:tc>
          <w:tcPr>
            <w:tcW w:w="6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Granted</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933,742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E0E0E0"/>
          </w:tcPr>
          <w:p>
            <w:pPr>
              <w:spacing w:after="0"/>
              <w:rPr>
                <w:sz w:val="20"/>
                <w:szCs w:val="20"/>
                <w:color w:val="auto"/>
              </w:rPr>
            </w:pPr>
            <w:r>
              <w:rPr>
                <w:rFonts w:ascii="Arial" w:cs="Arial" w:eastAsia="Arial" w:hAnsi="Arial"/>
                <w:sz w:val="20"/>
                <w:szCs w:val="20"/>
                <w:color w:val="auto"/>
              </w:rPr>
              <w:t>Cancelled</w:t>
            </w:r>
          </w:p>
        </w:tc>
        <w:tc>
          <w:tcPr>
            <w:tcW w:w="1120" w:type="dxa"/>
            <w:vAlign w:val="bottom"/>
            <w:gridSpan w:val="3"/>
            <w:shd w:val="clear" w:color="auto" w:fill="E0E0E0"/>
          </w:tcPr>
          <w:p>
            <w:pPr>
              <w:jc w:val="right"/>
              <w:ind w:right="40"/>
              <w:spacing w:after="0"/>
              <w:rPr>
                <w:sz w:val="20"/>
                <w:szCs w:val="20"/>
                <w:color w:val="auto"/>
              </w:rPr>
            </w:pPr>
            <w:r>
              <w:rPr>
                <w:rFonts w:ascii="Arial" w:cs="Arial" w:eastAsia="Arial" w:hAnsi="Arial"/>
                <w:sz w:val="20"/>
                <w:szCs w:val="20"/>
                <w:color w:val="auto"/>
              </w:rPr>
              <w:t>(500)</w:t>
            </w:r>
          </w:p>
        </w:tc>
        <w:tc>
          <w:tcPr>
            <w:tcW w:w="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2.51</w:t>
            </w:r>
          </w:p>
        </w:tc>
        <w:tc>
          <w:tcPr>
            <w:tcW w:w="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Vested</w:t>
            </w:r>
          </w:p>
        </w:tc>
        <w:tc>
          <w:tcPr>
            <w:tcW w:w="1120" w:type="dxa"/>
            <w:vAlign w:val="bottom"/>
            <w:gridSpan w:val="3"/>
          </w:tcPr>
          <w:p>
            <w:pPr>
              <w:jc w:val="right"/>
              <w:ind w:right="40"/>
              <w:spacing w:after="0"/>
              <w:rPr>
                <w:sz w:val="20"/>
                <w:szCs w:val="20"/>
                <w:color w:val="auto"/>
              </w:rPr>
            </w:pPr>
            <w:r>
              <w:rPr>
                <w:rFonts w:ascii="Arial" w:cs="Arial" w:eastAsia="Arial" w:hAnsi="Arial"/>
                <w:sz w:val="20"/>
                <w:szCs w:val="20"/>
                <w:color w:val="auto"/>
              </w:rPr>
              <w:t>(620,668)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Non-vested at December 31, 2024</w:t>
            </w:r>
          </w:p>
        </w:tc>
        <w:tc>
          <w:tcPr>
            <w:tcW w:w="80" w:type="dxa"/>
            <w:vAlign w:val="bottom"/>
            <w:tcBorders>
              <w:top w:val="single" w:sz="8" w:color="E0E0E0"/>
            </w:tcBorders>
            <w:shd w:val="clear" w:color="auto" w:fill="E0E0E0"/>
          </w:tcPr>
          <w:p>
            <w:pPr>
              <w:spacing w:after="0"/>
              <w:rPr>
                <w:sz w:val="19"/>
                <w:szCs w:val="19"/>
                <w:color w:val="auto"/>
              </w:rPr>
            </w:pPr>
          </w:p>
        </w:tc>
        <w:tc>
          <w:tcPr>
            <w:tcW w:w="9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622,661</w:t>
            </w:r>
          </w:p>
        </w:tc>
        <w:tc>
          <w:tcPr>
            <w:tcW w:w="12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0.46</w:t>
            </w:r>
          </w:p>
        </w:tc>
        <w:tc>
          <w:tcPr>
            <w:tcW w:w="6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212121"/>
        </w:rPr>
        <w:t>As of December 31, 2024, there was $0.2 million of total unrecognized compensation cost related to non-vested RSUs. The Company expects to recognize this cost over a remaining weighted-average period of 0.77 years.</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12121"/>
        </w:rPr>
        <w:t>Employee Stock Purchase Plan</w:t>
      </w:r>
    </w:p>
    <w:p>
      <w:pPr>
        <w:spacing w:after="0" w:line="116"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212121"/>
        </w:rPr>
        <w:t>Under the ESPP, eligible employees can authorize payroll deductions for amounts up to the lesser of 15% of their qualifying wages or the statutory limit under the U.S. Internal Revenue Code. The ESPP provides for offering periods of six months in duration with one purchase period per offering period beginning May 18 and November 18 of each year. Participants in an offering period will be granted the right to purchase shares of our common stock at a price per share that is 85% of the lesser of the fair market value of the shares at (1) the first day of the offering period or (2) the end of each purchase period within the offering period. A maximum of 10,000 shares of common stock may be purchased by each participant at the purchase date during the offering period. The fair market value of the ESPP options granted is determined using the Black-Scholes model and is amortized on a straight-line basis. Stock-based</w:t>
      </w:r>
    </w:p>
    <w:p>
      <w:pPr>
        <w:sectPr>
          <w:pgSz w:w="12240" w:h="15840" w:orient="portrait"/>
          <w:cols w:equalWidth="0" w:num="1">
            <w:col w:w="9360"/>
          </w:cols>
          <w:pgMar w:left="1440" w:top="1440" w:right="1440" w:bottom="186"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ectPr>
          <w:pgSz w:w="12240" w:h="15840" w:orient="portrait"/>
          <w:cols w:equalWidth="0" w:num="1">
            <w:col w:w="9360"/>
          </w:cols>
          <w:pgMar w:left="1440" w:top="1440" w:right="1440" w:bottom="186" w:gutter="0" w:footer="0" w:header="0"/>
          <w:type w:val="continuous"/>
        </w:sectPr>
      </w:pPr>
    </w:p>
    <w:bookmarkStart w:id="144" w:name="page145"/>
    <w:bookmarkEnd w:id="144"/>
    <w:p>
      <w:pPr>
        <w:jc w:val="both"/>
        <w:spacing w:after="0" w:line="261" w:lineRule="auto"/>
        <w:rPr>
          <w:sz w:val="20"/>
          <w:szCs w:val="20"/>
          <w:color w:val="auto"/>
        </w:rPr>
      </w:pPr>
      <w:r>
        <w:rPr>
          <w:rFonts w:ascii="Arial" w:cs="Arial" w:eastAsia="Arial" w:hAnsi="Arial"/>
          <w:sz w:val="20"/>
          <w:szCs w:val="20"/>
          <w:color w:val="212121"/>
        </w:rPr>
        <w:t xml:space="preserve">compensation expense recognized during the years ended December 31, 2024 and 2023 associated with the ESPP was $0.1 million and $0.1 million, respectively. </w:t>
      </w:r>
      <w:r>
        <w:rPr>
          <w:rFonts w:ascii="Arial" w:cs="Arial" w:eastAsia="Arial" w:hAnsi="Arial"/>
          <w:sz w:val="20"/>
          <w:szCs w:val="20"/>
          <w:color w:val="000000"/>
        </w:rPr>
        <w:t>During the year ended December 31, 2024, the</w:t>
      </w:r>
      <w:r>
        <w:rPr>
          <w:rFonts w:ascii="Arial" w:cs="Arial" w:eastAsia="Arial" w:hAnsi="Arial"/>
          <w:sz w:val="20"/>
          <w:szCs w:val="20"/>
          <w:color w:val="212121"/>
        </w:rPr>
        <w:t xml:space="preserve"> </w:t>
      </w:r>
      <w:r>
        <w:rPr>
          <w:rFonts w:ascii="Arial" w:cs="Arial" w:eastAsia="Arial" w:hAnsi="Arial"/>
          <w:sz w:val="20"/>
          <w:szCs w:val="20"/>
          <w:color w:val="000000"/>
        </w:rPr>
        <w:t>Company issued 172,014 shares of common stock to employees under the ESPP.</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10. Income Taxes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Components of Income and Income Tax</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Company did not record a provision (benefit) for income taxes for the years ended December 31,</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2024 and 2023. Net loss is attributable to the following tax jurisdictions (in thousands):</w:t>
      </w:r>
    </w:p>
    <w:p>
      <w:pPr>
        <w:spacing w:after="0" w:line="205"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5"/>
          </w:tcPr>
          <w:p>
            <w:pPr>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43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05"/>
              <w:spacing w:after="0" w:line="174"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top w:val="single" w:sz="8" w:color="auto"/>
              <w:bottom w:val="single" w:sz="8" w:color="E0E0E0"/>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85"/>
              <w:spacing w:after="0" w:line="174" w:lineRule="exact"/>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0E0E0"/>
            </w:tcBorders>
          </w:tcPr>
          <w:p>
            <w:pPr>
              <w:spacing w:after="0"/>
              <w:rPr>
                <w:sz w:val="15"/>
                <w:szCs w:val="15"/>
                <w:color w:val="auto"/>
              </w:rPr>
            </w:pPr>
          </w:p>
        </w:tc>
      </w:tr>
      <w:tr>
        <w:trPr>
          <w:trHeight w:val="220"/>
        </w:trPr>
        <w:tc>
          <w:tcPr>
            <w:tcW w:w="43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United States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shd w:val="clear" w:color="auto" w:fill="E0E0E0"/>
              </w:rPr>
              <w:t>$</w:t>
            </w:r>
          </w:p>
        </w:tc>
        <w:tc>
          <w:tcPr>
            <w:tcW w:w="76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(96,910</w:t>
            </w:r>
          </w:p>
        </w:tc>
        <w:tc>
          <w:tcPr>
            <w:tcW w:w="160" w:type="dxa"/>
            <w:vAlign w:val="bottom"/>
            <w:shd w:val="clear" w:color="auto" w:fill="E0E0E0"/>
          </w:tcPr>
          <w:p>
            <w:pPr>
              <w:jc w:val="right"/>
              <w:ind w:right="20"/>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93"/>
                <w:shd w:val="clear" w:color="auto" w:fill="E0E0E0"/>
              </w:rPr>
              <w:t>$(117,440)</w:t>
            </w:r>
          </w:p>
        </w:tc>
        <w:tc>
          <w:tcPr>
            <w:tcW w:w="80" w:type="dxa"/>
            <w:vAlign w:val="bottom"/>
            <w:shd w:val="clear" w:color="auto" w:fill="E0E0E0"/>
          </w:tcPr>
          <w:p>
            <w:pPr>
              <w:spacing w:after="0"/>
              <w:rPr>
                <w:sz w:val="19"/>
                <w:szCs w:val="19"/>
                <w:color w:val="auto"/>
              </w:rPr>
            </w:pPr>
          </w:p>
        </w:tc>
      </w:tr>
      <w:tr>
        <w:trPr>
          <w:trHeight w:val="230"/>
        </w:trPr>
        <w:tc>
          <w:tcPr>
            <w:tcW w:w="4380" w:type="dxa"/>
            <w:vAlign w:val="bottom"/>
            <w:tcBorders>
              <w:bottom w:val="single" w:sz="8" w:color="E0E0E0"/>
            </w:tcBorders>
          </w:tcPr>
          <w:p>
            <w:pPr>
              <w:spacing w:after="0"/>
              <w:rPr>
                <w:sz w:val="20"/>
                <w:szCs w:val="20"/>
                <w:color w:val="auto"/>
              </w:rPr>
            </w:pPr>
            <w:r>
              <w:rPr>
                <w:rFonts w:ascii="Arial" w:cs="Arial" w:eastAsia="Arial" w:hAnsi="Arial"/>
                <w:sz w:val="20"/>
                <w:szCs w:val="20"/>
                <w:color w:val="auto"/>
              </w:rPr>
              <w:t>Foreign</w:t>
            </w:r>
          </w:p>
        </w:tc>
        <w:tc>
          <w:tcPr>
            <w:tcW w:w="10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160" w:type="dxa"/>
            <w:vAlign w:val="bottom"/>
            <w:tcBorders>
              <w:bottom w:val="single" w:sz="8" w:color="E0E0E0"/>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w:t>
            </w:r>
          </w:p>
        </w:tc>
        <w:tc>
          <w:tcPr>
            <w:tcW w:w="80" w:type="dxa"/>
            <w:vAlign w:val="bottom"/>
            <w:tcBorders>
              <w:bottom w:val="single" w:sz="8" w:color="E0E0E0"/>
            </w:tcBorders>
          </w:tcPr>
          <w:p>
            <w:pPr>
              <w:spacing w:after="0"/>
              <w:rPr>
                <w:sz w:val="19"/>
                <w:szCs w:val="19"/>
                <w:color w:val="auto"/>
              </w:rPr>
            </w:pPr>
          </w:p>
        </w:tc>
      </w:tr>
      <w:tr>
        <w:trPr>
          <w:trHeight w:val="220"/>
        </w:trPr>
        <w:tc>
          <w:tcPr>
            <w:tcW w:w="4380" w:type="dxa"/>
            <w:vAlign w:val="bottom"/>
            <w:shd w:val="clear" w:color="auto" w:fill="E0E0E0"/>
          </w:tcPr>
          <w:p>
            <w:pPr>
              <w:ind w:left="340"/>
              <w:spacing w:after="0" w:line="220" w:lineRule="exact"/>
              <w:rPr>
                <w:sz w:val="20"/>
                <w:szCs w:val="20"/>
                <w:color w:val="auto"/>
              </w:rPr>
            </w:pPr>
            <w:r>
              <w:rPr>
                <w:rFonts w:ascii="Arial" w:cs="Arial" w:eastAsia="Arial" w:hAnsi="Arial"/>
                <w:sz w:val="20"/>
                <w:szCs w:val="20"/>
                <w:color w:val="auto"/>
              </w:rPr>
              <w:t>Net Loss</w:t>
            </w:r>
          </w:p>
        </w:tc>
        <w:tc>
          <w:tcPr>
            <w:tcW w:w="1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line="220"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(96,940</w:t>
            </w:r>
          </w:p>
        </w:tc>
        <w:tc>
          <w:tcPr>
            <w:tcW w:w="160" w:type="dxa"/>
            <w:vAlign w:val="bottom"/>
            <w:shd w:val="clear" w:color="auto" w:fill="E0E0E0"/>
          </w:tcPr>
          <w:p>
            <w:pPr>
              <w:jc w:val="right"/>
              <w:ind w:right="20"/>
              <w:spacing w:after="0"/>
              <w:rPr>
                <w:sz w:val="20"/>
                <w:szCs w:val="20"/>
                <w:color w:val="auto"/>
              </w:rPr>
            </w:pPr>
            <w:r>
              <w:rPr>
                <w:rFonts w:ascii="Arial" w:cs="Arial" w:eastAsia="Arial" w:hAnsi="Arial"/>
                <w:sz w:val="16"/>
                <w:szCs w:val="16"/>
                <w:color w:val="auto"/>
                <w:w w:val="74"/>
              </w:rPr>
              <w:t>)</w:t>
            </w:r>
          </w:p>
        </w:tc>
        <w:tc>
          <w:tcPr>
            <w:tcW w:w="92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u w:val="single" w:color="auto"/>
                <w:color w:val="auto"/>
                <w:w w:val="99"/>
              </w:rPr>
              <w:t>$</w:t>
            </w:r>
            <w:r>
              <w:rPr>
                <w:rFonts w:ascii="Arial" w:cs="Arial" w:eastAsia="Arial" w:hAnsi="Arial"/>
                <w:sz w:val="20"/>
                <w:szCs w:val="20"/>
                <w:color w:val="auto"/>
                <w:w w:val="99"/>
              </w:rPr>
              <w:t>(117,672</w:t>
            </w:r>
          </w:p>
        </w:tc>
        <w:tc>
          <w:tcPr>
            <w:tcW w:w="8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490"/>
        <w:spacing w:after="0" w:line="282" w:lineRule="auto"/>
        <w:rPr>
          <w:sz w:val="20"/>
          <w:szCs w:val="20"/>
          <w:color w:val="auto"/>
        </w:rPr>
      </w:pPr>
      <w:r>
        <w:rPr>
          <w:rFonts w:ascii="Arial" w:cs="Arial" w:eastAsia="Arial" w:hAnsi="Arial"/>
          <w:sz w:val="20"/>
          <w:szCs w:val="20"/>
          <w:color w:val="auto"/>
        </w:rPr>
        <w:t>The provision for income taxes differs from the amount expected by applying the federal statutory rates to the net loss before taxes as follows: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12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2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4440" w:type="dxa"/>
            <w:vAlign w:val="bottom"/>
            <w:tcBorders>
              <w:bottom w:val="single" w:sz="8" w:color="E0E0E0"/>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46"/>
              <w:spacing w:after="0" w:line="174" w:lineRule="exact"/>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3"/>
              <w:spacing w:after="0" w:line="174" w:lineRule="exact"/>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440" w:type="dxa"/>
            <w:vAlign w:val="bottom"/>
            <w:tcBorders>
              <w:right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Federal statutory income tax rate</w:t>
            </w:r>
          </w:p>
        </w:tc>
        <w:tc>
          <w:tcPr>
            <w:tcW w:w="1100" w:type="dxa"/>
            <w:vAlign w:val="bottom"/>
            <w:gridSpan w:val="2"/>
          </w:tcPr>
          <w:p>
            <w:pPr>
              <w:jc w:val="right"/>
              <w:ind w:right="80"/>
              <w:spacing w:after="0" w:line="220" w:lineRule="exact"/>
              <w:rPr>
                <w:sz w:val="20"/>
                <w:szCs w:val="20"/>
                <w:color w:val="auto"/>
              </w:rPr>
            </w:pPr>
            <w:r>
              <w:rPr>
                <w:rFonts w:ascii="Arial" w:cs="Arial" w:eastAsia="Arial" w:hAnsi="Arial"/>
                <w:sz w:val="20"/>
                <w:szCs w:val="20"/>
                <w:color w:val="auto"/>
              </w:rPr>
              <w:t>21.0%</w:t>
            </w:r>
          </w:p>
        </w:tc>
        <w:tc>
          <w:tcPr>
            <w:tcW w:w="102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20"/>
                <w:szCs w:val="20"/>
                <w:color w:val="auto"/>
              </w:rPr>
              <w:t>State taxes</w:t>
            </w:r>
          </w:p>
        </w:tc>
        <w:tc>
          <w:tcPr>
            <w:tcW w:w="11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40" w:type="dxa"/>
            <w:vAlign w:val="bottom"/>
            <w:tcBorders>
              <w:right w:val="single" w:sz="8" w:color="E0E0E0"/>
            </w:tcBorders>
            <w:shd w:val="clear" w:color="auto" w:fill="E0E0E0"/>
          </w:tcPr>
          <w:p>
            <w:pPr>
              <w:spacing w:after="0"/>
              <w:rPr>
                <w:sz w:val="20"/>
                <w:szCs w:val="20"/>
                <w:color w:val="auto"/>
              </w:rPr>
            </w:pPr>
            <w:r>
              <w:rPr>
                <w:rFonts w:ascii="Arial" w:cs="Arial" w:eastAsia="Arial" w:hAnsi="Arial"/>
                <w:sz w:val="20"/>
                <w:szCs w:val="20"/>
                <w:color w:val="auto"/>
              </w:rPr>
              <w:t>Stock-based compensation</w:t>
            </w:r>
          </w:p>
        </w:tc>
        <w:tc>
          <w:tcPr>
            <w:tcW w:w="1100" w:type="dxa"/>
            <w:vAlign w:val="bottom"/>
            <w:gridSpan w:val="2"/>
            <w:shd w:val="clear" w:color="auto" w:fill="E0E0E0"/>
          </w:tcPr>
          <w:p>
            <w:pPr>
              <w:jc w:val="right"/>
              <w:ind w:right="180"/>
              <w:spacing w:after="0"/>
              <w:rPr>
                <w:sz w:val="20"/>
                <w:szCs w:val="20"/>
                <w:color w:val="auto"/>
              </w:rPr>
            </w:pPr>
            <w:r>
              <w:rPr>
                <w:rFonts w:ascii="Arial" w:cs="Arial" w:eastAsia="Arial" w:hAnsi="Arial"/>
                <w:sz w:val="20"/>
                <w:szCs w:val="20"/>
                <w:color w:val="auto"/>
              </w:rPr>
              <w:t>(1.8)</w:t>
            </w:r>
          </w:p>
        </w:tc>
        <w:tc>
          <w:tcPr>
            <w:tcW w:w="1020" w:type="dxa"/>
            <w:vAlign w:val="bottom"/>
            <w:gridSpan w:val="2"/>
            <w:shd w:val="clear" w:color="auto" w:fill="E0E0E0"/>
          </w:tcPr>
          <w:p>
            <w:pPr>
              <w:jc w:val="right"/>
              <w:ind w:right="120"/>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20"/>
                <w:szCs w:val="20"/>
                <w:color w:val="auto"/>
              </w:rPr>
              <w:t>Non-deductible expenses and others</w:t>
            </w:r>
          </w:p>
        </w:tc>
        <w:tc>
          <w:tcPr>
            <w:tcW w:w="1100" w:type="dxa"/>
            <w:vAlign w:val="bottom"/>
            <w:gridSpan w:val="2"/>
          </w:tcPr>
          <w:p>
            <w:pPr>
              <w:jc w:val="right"/>
              <w:ind w:right="180"/>
              <w:spacing w:after="0"/>
              <w:rPr>
                <w:sz w:val="20"/>
                <w:szCs w:val="20"/>
                <w:color w:val="auto"/>
              </w:rPr>
            </w:pPr>
            <w:r>
              <w:rPr>
                <w:rFonts w:ascii="Arial" w:cs="Arial" w:eastAsia="Arial" w:hAnsi="Arial"/>
                <w:sz w:val="20"/>
                <w:szCs w:val="20"/>
                <w:color w:val="auto"/>
              </w:rPr>
              <w:t>(0.9)</w:t>
            </w: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30"/>
        </w:trPr>
        <w:tc>
          <w:tcPr>
            <w:tcW w:w="4440" w:type="dxa"/>
            <w:vAlign w:val="bottom"/>
            <w:tcBorders>
              <w:right w:val="single" w:sz="8" w:color="E0E0E0"/>
            </w:tcBorders>
            <w:shd w:val="clear" w:color="auto" w:fill="E0E0E0"/>
          </w:tcPr>
          <w:p>
            <w:pPr>
              <w:spacing w:after="0"/>
              <w:rPr>
                <w:sz w:val="20"/>
                <w:szCs w:val="20"/>
                <w:color w:val="auto"/>
              </w:rPr>
            </w:pPr>
            <w:r>
              <w:rPr>
                <w:rFonts w:ascii="Arial" w:cs="Arial" w:eastAsia="Arial" w:hAnsi="Arial"/>
                <w:sz w:val="20"/>
                <w:szCs w:val="20"/>
                <w:color w:val="auto"/>
              </w:rPr>
              <w:t>Tax credits</w:t>
            </w:r>
          </w:p>
        </w:tc>
        <w:tc>
          <w:tcPr>
            <w:tcW w:w="8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3.1</w:t>
            </w:r>
          </w:p>
        </w:tc>
        <w:tc>
          <w:tcPr>
            <w:tcW w:w="26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4.2</w:t>
            </w:r>
          </w:p>
        </w:tc>
        <w:tc>
          <w:tcPr>
            <w:tcW w:w="1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20"/>
                <w:szCs w:val="20"/>
                <w:color w:val="auto"/>
              </w:rPr>
              <w:t>Change in valuation allowance</w:t>
            </w:r>
          </w:p>
        </w:tc>
        <w:tc>
          <w:tcPr>
            <w:tcW w:w="1100" w:type="dxa"/>
            <w:vAlign w:val="bottom"/>
            <w:gridSpan w:val="2"/>
          </w:tcPr>
          <w:p>
            <w:pPr>
              <w:jc w:val="right"/>
              <w:ind w:right="180"/>
              <w:spacing w:after="0"/>
              <w:rPr>
                <w:sz w:val="20"/>
                <w:szCs w:val="20"/>
                <w:color w:val="auto"/>
              </w:rPr>
            </w:pPr>
            <w:r>
              <w:rPr>
                <w:rFonts w:ascii="Arial" w:cs="Arial" w:eastAsia="Arial" w:hAnsi="Arial"/>
                <w:sz w:val="20"/>
                <w:szCs w:val="20"/>
                <w:color w:val="auto"/>
              </w:rPr>
              <w:t>(21.4)</w:t>
            </w: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(24.0)</w:t>
            </w:r>
          </w:p>
        </w:tc>
        <w:tc>
          <w:tcPr>
            <w:tcW w:w="0" w:type="dxa"/>
            <w:vAlign w:val="bottom"/>
          </w:tcPr>
          <w:p>
            <w:pPr>
              <w:spacing w:after="0"/>
              <w:rPr>
                <w:sz w:val="1"/>
                <w:szCs w:val="1"/>
                <w:color w:val="auto"/>
              </w:rPr>
            </w:pPr>
          </w:p>
        </w:tc>
      </w:tr>
      <w:tr>
        <w:trPr>
          <w:trHeight w:val="20"/>
        </w:trPr>
        <w:tc>
          <w:tcPr>
            <w:tcW w:w="4440" w:type="dxa"/>
            <w:vAlign w:val="bottom"/>
            <w:tcBorders>
              <w:right w:val="single" w:sz="8" w:color="E0E0E0"/>
            </w:tcBorders>
            <w:vMerge w:val="restart"/>
            <w:shd w:val="clear" w:color="auto" w:fill="E0E0E0"/>
          </w:tcPr>
          <w:p>
            <w:pPr>
              <w:spacing w:after="0"/>
              <w:rPr>
                <w:sz w:val="20"/>
                <w:szCs w:val="20"/>
                <w:color w:val="auto"/>
              </w:rPr>
            </w:pPr>
            <w:r>
              <w:rPr>
                <w:rFonts w:ascii="Arial" w:cs="Arial" w:eastAsia="Arial" w:hAnsi="Arial"/>
                <w:sz w:val="20"/>
                <w:szCs w:val="20"/>
                <w:color w:val="auto"/>
              </w:rPr>
              <w:t>Effective income tax rate</w:t>
            </w: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40" w:type="dxa"/>
            <w:vAlign w:val="bottom"/>
            <w:tcBorders>
              <w:right w:val="single" w:sz="8" w:color="E0E0E0"/>
            </w:tcBorders>
            <w:vMerge w:val="continue"/>
            <w:shd w:val="clear" w:color="auto" w:fill="E0E0E0"/>
          </w:tcPr>
          <w:p>
            <w:pPr>
              <w:spacing w:after="0"/>
              <w:rPr>
                <w:sz w:val="19"/>
                <w:szCs w:val="19"/>
                <w:color w:val="auto"/>
              </w:rPr>
            </w:pPr>
          </w:p>
        </w:tc>
        <w:tc>
          <w:tcPr>
            <w:tcW w:w="1100" w:type="dxa"/>
            <w:vAlign w:val="bottom"/>
            <w:gridSpan w:val="2"/>
          </w:tcPr>
          <w:p>
            <w:pPr>
              <w:jc w:val="right"/>
              <w:ind w:right="80"/>
              <w:spacing w:after="0" w:line="220" w:lineRule="exact"/>
              <w:rPr>
                <w:sz w:val="20"/>
                <w:szCs w:val="20"/>
                <w:color w:val="auto"/>
              </w:rPr>
            </w:pPr>
            <w:r>
              <w:rPr>
                <w:rFonts w:ascii="Arial" w:cs="Arial" w:eastAsia="Arial" w:hAnsi="Arial"/>
                <w:sz w:val="20"/>
                <w:szCs w:val="20"/>
                <w:color w:val="auto"/>
              </w:rPr>
              <w:t>—%</w:t>
            </w:r>
          </w:p>
        </w:tc>
        <w:tc>
          <w:tcPr>
            <w:tcW w:w="102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3709670</wp:posOffset>
                </wp:positionH>
                <wp:positionV relativeFrom="paragraph">
                  <wp:posOffset>-1056640</wp:posOffset>
                </wp:positionV>
                <wp:extent cx="537210" cy="1460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 cy="146050"/>
                        </a:xfrm>
                        <a:prstGeom prst="rect">
                          <a:avLst/>
                        </a:prstGeom>
                        <a:solidFill>
                          <a:srgbClr val="E0E0E0"/>
                        </a:solidFill>
                      </wps:spPr>
                      <wps:bodyPr/>
                    </wps:wsp>
                  </a:graphicData>
                </a:graphic>
              </wp:anchor>
            </w:drawing>
          </mc:Choice>
          <mc:Fallback>
            <w:pict>
              <v:rect id="Shape 30" o:spid="_x0000_s1055" style="position:absolute;margin-left:292.1pt;margin-top:-83.1999pt;width:42.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4400550</wp:posOffset>
                </wp:positionH>
                <wp:positionV relativeFrom="paragraph">
                  <wp:posOffset>-1056640</wp:posOffset>
                </wp:positionV>
                <wp:extent cx="538480" cy="14605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480" cy="146050"/>
                        </a:xfrm>
                        <a:prstGeom prst="rect">
                          <a:avLst/>
                        </a:prstGeom>
                        <a:solidFill>
                          <a:srgbClr val="E0E0E0"/>
                        </a:solidFill>
                      </wps:spPr>
                      <wps:bodyPr/>
                    </wps:wsp>
                  </a:graphicData>
                </a:graphic>
              </wp:anchor>
            </w:drawing>
          </mc:Choice>
          <mc:Fallback>
            <w:pict>
              <v:rect id="Shape 31" o:spid="_x0000_s1056" style="position:absolute;margin-left:346.5pt;margin-top:-83.1999pt;width:42.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3709670</wp:posOffset>
                </wp:positionH>
                <wp:positionV relativeFrom="paragraph">
                  <wp:posOffset>-173990</wp:posOffset>
                </wp:positionV>
                <wp:extent cx="537210" cy="14541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 cy="145415"/>
                        </a:xfrm>
                        <a:prstGeom prst="rect">
                          <a:avLst/>
                        </a:prstGeom>
                        <a:solidFill>
                          <a:srgbClr val="E0E0E0"/>
                        </a:solidFill>
                      </wps:spPr>
                      <wps:bodyPr/>
                    </wps:wsp>
                  </a:graphicData>
                </a:graphic>
              </wp:anchor>
            </w:drawing>
          </mc:Choice>
          <mc:Fallback>
            <w:pict>
              <v:rect id="Shape 32" o:spid="_x0000_s1057" style="position:absolute;margin-left:292.1pt;margin-top:-13.6999pt;width:42.3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4400550</wp:posOffset>
                </wp:positionH>
                <wp:positionV relativeFrom="paragraph">
                  <wp:posOffset>-173990</wp:posOffset>
                </wp:positionV>
                <wp:extent cx="538480" cy="14541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480" cy="145415"/>
                        </a:xfrm>
                        <a:prstGeom prst="rect">
                          <a:avLst/>
                        </a:prstGeom>
                        <a:solidFill>
                          <a:srgbClr val="E0E0E0"/>
                        </a:solidFill>
                      </wps:spPr>
                      <wps:bodyPr/>
                    </wps:wsp>
                  </a:graphicData>
                </a:graphic>
              </wp:anchor>
            </w:drawing>
          </mc:Choice>
          <mc:Fallback>
            <w:pict>
              <v:rect id="Shape 33" o:spid="_x0000_s1058" style="position:absolute;margin-left:346.5pt;margin-top:-13.6999pt;width:42.4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5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Deferred Tax Assets and Liabilities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color w:val="212121"/>
        </w:rPr>
        <w:t>The components of the Company’s deferred tax assets and liabilities were as follows (in thousands):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7"/>
          </w:tcPr>
          <w:p>
            <w:pPr>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43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01"/>
              <w:spacing w:after="0" w:line="174"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bottom w:val="single" w:sz="8" w:color="E0E0E0"/>
            </w:tcBorders>
          </w:tcPr>
          <w:p>
            <w:pPr>
              <w:spacing w:after="0"/>
              <w:rPr>
                <w:sz w:val="15"/>
                <w:szCs w:val="15"/>
                <w:color w:val="auto"/>
              </w:rPr>
            </w:pPr>
          </w:p>
        </w:tc>
        <w:tc>
          <w:tcPr>
            <w:tcW w:w="40" w:type="dxa"/>
            <w:vAlign w:val="bottom"/>
            <w:tcBorders>
              <w:top w:val="single" w:sz="8" w:color="auto"/>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81"/>
              <w:spacing w:after="0" w:line="174" w:lineRule="exact"/>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0E0E0"/>
            </w:tcBorders>
          </w:tcPr>
          <w:p>
            <w:pPr>
              <w:spacing w:after="0"/>
              <w:rPr>
                <w:sz w:val="15"/>
                <w:szCs w:val="15"/>
                <w:color w:val="auto"/>
              </w:rPr>
            </w:pPr>
          </w:p>
        </w:tc>
      </w:tr>
      <w:tr>
        <w:trPr>
          <w:trHeight w:val="220"/>
        </w:trPr>
        <w:tc>
          <w:tcPr>
            <w:tcW w:w="43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Deferred tax assets: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30"/>
        </w:trPr>
        <w:tc>
          <w:tcPr>
            <w:tcW w:w="4380" w:type="dxa"/>
            <w:vAlign w:val="bottom"/>
          </w:tcPr>
          <w:p>
            <w:pPr>
              <w:ind w:left="280"/>
              <w:spacing w:after="0"/>
              <w:rPr>
                <w:sz w:val="20"/>
                <w:szCs w:val="20"/>
                <w:color w:val="auto"/>
              </w:rPr>
            </w:pPr>
            <w:r>
              <w:rPr>
                <w:rFonts w:ascii="Arial" w:cs="Arial" w:eastAsia="Arial" w:hAnsi="Arial"/>
                <w:sz w:val="20"/>
                <w:szCs w:val="20"/>
                <w:color w:val="auto"/>
              </w:rPr>
              <w:t>Net operating loss carryforwards</w:t>
            </w:r>
          </w:p>
        </w:tc>
        <w:tc>
          <w:tcPr>
            <w:tcW w:w="1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43,414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31,342</w:t>
            </w:r>
          </w:p>
        </w:tc>
        <w:tc>
          <w:tcPr>
            <w:tcW w:w="80" w:type="dxa"/>
            <w:vAlign w:val="bottom"/>
          </w:tcPr>
          <w:p>
            <w:pPr>
              <w:spacing w:after="0"/>
              <w:rPr>
                <w:sz w:val="19"/>
                <w:szCs w:val="19"/>
                <w:color w:val="auto"/>
              </w:rPr>
            </w:pPr>
          </w:p>
        </w:tc>
      </w:tr>
      <w:tr>
        <w:trPr>
          <w:trHeight w:val="211"/>
        </w:trPr>
        <w:tc>
          <w:tcPr>
            <w:tcW w:w="4380" w:type="dxa"/>
            <w:vAlign w:val="bottom"/>
            <w:shd w:val="clear" w:color="auto" w:fill="E0E0E0"/>
          </w:tcPr>
          <w:p>
            <w:pPr>
              <w:ind w:left="280"/>
              <w:spacing w:after="0" w:line="210" w:lineRule="exact"/>
              <w:rPr>
                <w:sz w:val="20"/>
                <w:szCs w:val="20"/>
                <w:color w:val="auto"/>
              </w:rPr>
            </w:pPr>
            <w:r>
              <w:rPr>
                <w:rFonts w:ascii="Arial" w:cs="Arial" w:eastAsia="Arial" w:hAnsi="Arial"/>
                <w:sz w:val="20"/>
                <w:szCs w:val="20"/>
                <w:color w:val="auto"/>
              </w:rPr>
              <w:t>Research and development tax credit</w:t>
            </w:r>
          </w:p>
        </w:tc>
        <w:tc>
          <w:tcPr>
            <w:tcW w:w="1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4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r>
      <w:tr>
        <w:trPr>
          <w:trHeight w:val="249"/>
        </w:trPr>
        <w:tc>
          <w:tcPr>
            <w:tcW w:w="4380" w:type="dxa"/>
            <w:vAlign w:val="bottom"/>
            <w:shd w:val="clear" w:color="auto" w:fill="E0E0E0"/>
          </w:tcPr>
          <w:p>
            <w:pPr>
              <w:ind w:left="460"/>
              <w:spacing w:after="0"/>
              <w:rPr>
                <w:sz w:val="20"/>
                <w:szCs w:val="20"/>
                <w:color w:val="auto"/>
              </w:rPr>
            </w:pPr>
            <w:r>
              <w:rPr>
                <w:rFonts w:ascii="Arial" w:cs="Arial" w:eastAsia="Arial" w:hAnsi="Arial"/>
                <w:sz w:val="20"/>
                <w:szCs w:val="20"/>
                <w:color w:val="auto"/>
              </w:rPr>
              <w:t>carryforwards</w:t>
            </w:r>
          </w:p>
        </w:tc>
        <w:tc>
          <w:tcPr>
            <w:tcW w:w="10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7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12,362</w:t>
            </w:r>
          </w:p>
        </w:tc>
        <w:tc>
          <w:tcPr>
            <w:tcW w:w="12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7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9,327</w:t>
            </w:r>
          </w:p>
        </w:tc>
        <w:tc>
          <w:tcPr>
            <w:tcW w:w="80" w:type="dxa"/>
            <w:vAlign w:val="bottom"/>
            <w:shd w:val="clear" w:color="auto" w:fill="E0E0E0"/>
          </w:tcPr>
          <w:p>
            <w:pPr>
              <w:spacing w:after="0"/>
              <w:rPr>
                <w:sz w:val="21"/>
                <w:szCs w:val="21"/>
                <w:color w:val="auto"/>
              </w:rPr>
            </w:pPr>
          </w:p>
        </w:tc>
      </w:tr>
      <w:tr>
        <w:trPr>
          <w:trHeight w:val="230"/>
        </w:trPr>
        <w:tc>
          <w:tcPr>
            <w:tcW w:w="4380" w:type="dxa"/>
            <w:vAlign w:val="bottom"/>
          </w:tcPr>
          <w:p>
            <w:pPr>
              <w:ind w:left="280"/>
              <w:spacing w:after="0"/>
              <w:rPr>
                <w:sz w:val="20"/>
                <w:szCs w:val="20"/>
                <w:color w:val="auto"/>
              </w:rPr>
            </w:pPr>
            <w:r>
              <w:rPr>
                <w:rFonts w:ascii="Arial" w:cs="Arial" w:eastAsia="Arial" w:hAnsi="Arial"/>
                <w:sz w:val="20"/>
                <w:szCs w:val="20"/>
                <w:color w:val="auto"/>
              </w:rPr>
              <w:t>Accrued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538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2,828</w:t>
            </w:r>
          </w:p>
        </w:tc>
        <w:tc>
          <w:tcPr>
            <w:tcW w:w="80" w:type="dxa"/>
            <w:vAlign w:val="bottom"/>
          </w:tcPr>
          <w:p>
            <w:pPr>
              <w:spacing w:after="0"/>
              <w:rPr>
                <w:sz w:val="19"/>
                <w:szCs w:val="19"/>
                <w:color w:val="auto"/>
              </w:rPr>
            </w:pPr>
          </w:p>
        </w:tc>
      </w:tr>
      <w:tr>
        <w:trPr>
          <w:trHeight w:val="230"/>
        </w:trPr>
        <w:tc>
          <w:tcPr>
            <w:tcW w:w="43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Stock-based compensation</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2,867</w:t>
            </w:r>
          </w:p>
        </w:tc>
        <w:tc>
          <w:tcPr>
            <w:tcW w:w="12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2,564</w:t>
            </w:r>
          </w:p>
        </w:tc>
        <w:tc>
          <w:tcPr>
            <w:tcW w:w="80" w:type="dxa"/>
            <w:vAlign w:val="bottom"/>
            <w:shd w:val="clear" w:color="auto" w:fill="E0E0E0"/>
          </w:tcPr>
          <w:p>
            <w:pPr>
              <w:spacing w:after="0"/>
              <w:rPr>
                <w:sz w:val="19"/>
                <w:szCs w:val="19"/>
                <w:color w:val="auto"/>
              </w:rPr>
            </w:pPr>
          </w:p>
        </w:tc>
      </w:tr>
      <w:tr>
        <w:trPr>
          <w:trHeight w:val="230"/>
        </w:trPr>
        <w:tc>
          <w:tcPr>
            <w:tcW w:w="4380" w:type="dxa"/>
            <w:vAlign w:val="bottom"/>
          </w:tcPr>
          <w:p>
            <w:pPr>
              <w:ind w:left="280"/>
              <w:spacing w:after="0"/>
              <w:rPr>
                <w:sz w:val="20"/>
                <w:szCs w:val="20"/>
                <w:color w:val="auto"/>
              </w:rPr>
            </w:pPr>
            <w:r>
              <w:rPr>
                <w:rFonts w:ascii="Arial" w:cs="Arial" w:eastAsia="Arial" w:hAnsi="Arial"/>
                <w:sz w:val="20"/>
                <w:szCs w:val="20"/>
                <w:color w:val="auto"/>
              </w:rPr>
              <w:t>Operating lease liability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333</w:t>
            </w:r>
          </w:p>
        </w:tc>
        <w:tc>
          <w:tcPr>
            <w:tcW w:w="80" w:type="dxa"/>
            <w:vAlign w:val="bottom"/>
          </w:tcPr>
          <w:p>
            <w:pPr>
              <w:spacing w:after="0"/>
              <w:rPr>
                <w:sz w:val="19"/>
                <w:szCs w:val="19"/>
                <w:color w:val="auto"/>
              </w:rPr>
            </w:pPr>
          </w:p>
        </w:tc>
      </w:tr>
      <w:tr>
        <w:trPr>
          <w:trHeight w:val="230"/>
        </w:trPr>
        <w:tc>
          <w:tcPr>
            <w:tcW w:w="43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Other</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60" w:type="dxa"/>
            <w:vAlign w:val="bottom"/>
            <w:shd w:val="clear" w:color="auto" w:fill="E0E0E0"/>
          </w:tcPr>
          <w:p>
            <w:pPr>
              <w:jc w:val="right"/>
              <w:spacing w:after="0"/>
              <w:rPr>
                <w:sz w:val="20"/>
                <w:szCs w:val="20"/>
                <w:color w:val="auto"/>
              </w:rPr>
            </w:pPr>
            <w:r>
              <w:rPr>
                <w:rFonts w:ascii="Arial" w:cs="Arial" w:eastAsia="Arial" w:hAnsi="Arial"/>
                <w:sz w:val="20"/>
                <w:szCs w:val="20"/>
                <w:color w:val="auto"/>
              </w:rPr>
              <w:t>258</w:t>
            </w:r>
          </w:p>
        </w:tc>
        <w:tc>
          <w:tcPr>
            <w:tcW w:w="12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Arial" w:cs="Arial" w:eastAsia="Arial" w:hAnsi="Arial"/>
                <w:sz w:val="20"/>
                <w:szCs w:val="20"/>
                <w:color w:val="auto"/>
              </w:rPr>
              <w:t>180</w:t>
            </w:r>
          </w:p>
        </w:tc>
        <w:tc>
          <w:tcPr>
            <w:tcW w:w="80" w:type="dxa"/>
            <w:vAlign w:val="bottom"/>
            <w:shd w:val="clear" w:color="auto" w:fill="E0E0E0"/>
          </w:tcPr>
          <w:p>
            <w:pPr>
              <w:spacing w:after="0"/>
              <w:rPr>
                <w:sz w:val="19"/>
                <w:szCs w:val="19"/>
                <w:color w:val="auto"/>
              </w:rPr>
            </w:pPr>
          </w:p>
        </w:tc>
      </w:tr>
      <w:tr>
        <w:trPr>
          <w:trHeight w:val="230"/>
        </w:trPr>
        <w:tc>
          <w:tcPr>
            <w:tcW w:w="4380" w:type="dxa"/>
            <w:vAlign w:val="bottom"/>
            <w:tcBorders>
              <w:bottom w:val="single" w:sz="8" w:color="E0E0E0"/>
            </w:tcBorders>
          </w:tcPr>
          <w:p>
            <w:pPr>
              <w:ind w:left="280"/>
              <w:spacing w:after="0"/>
              <w:rPr>
                <w:sz w:val="20"/>
                <w:szCs w:val="20"/>
                <w:color w:val="auto"/>
              </w:rPr>
            </w:pPr>
            <w:r>
              <w:rPr>
                <w:rFonts w:ascii="Arial" w:cs="Arial" w:eastAsia="Arial" w:hAnsi="Arial"/>
                <w:sz w:val="20"/>
                <w:szCs w:val="20"/>
                <w:color w:val="auto"/>
              </w:rPr>
              <w:t>Capitalized research and development</w:t>
            </w:r>
          </w:p>
        </w:tc>
        <w:tc>
          <w:tcPr>
            <w:tcW w:w="10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32,540</w:t>
            </w:r>
          </w:p>
        </w:tc>
        <w:tc>
          <w:tcPr>
            <w:tcW w:w="120" w:type="dxa"/>
            <w:vAlign w:val="bottom"/>
            <w:tcBorders>
              <w:bottom w:val="single" w:sz="8" w:color="E0E0E0"/>
            </w:tcBorders>
          </w:tcPr>
          <w:p>
            <w:pPr>
              <w:spacing w:after="0"/>
              <w:rPr>
                <w:sz w:val="19"/>
                <w:szCs w:val="19"/>
                <w:color w:val="auto"/>
              </w:rPr>
            </w:pPr>
          </w:p>
        </w:tc>
        <w:tc>
          <w:tcPr>
            <w:tcW w:w="40" w:type="dxa"/>
            <w:vAlign w:val="bottom"/>
            <w:tcBorders>
              <w:bottom w:val="single" w:sz="8" w:color="E0E0E0"/>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25,182</w:t>
            </w:r>
          </w:p>
        </w:tc>
        <w:tc>
          <w:tcPr>
            <w:tcW w:w="80" w:type="dxa"/>
            <w:vAlign w:val="bottom"/>
            <w:tcBorders>
              <w:bottom w:val="single" w:sz="8" w:color="E0E0E0"/>
            </w:tcBorders>
          </w:tcPr>
          <w:p>
            <w:pPr>
              <w:spacing w:after="0"/>
              <w:rPr>
                <w:sz w:val="19"/>
                <w:szCs w:val="19"/>
                <w:color w:val="auto"/>
              </w:rPr>
            </w:pPr>
          </w:p>
        </w:tc>
      </w:tr>
      <w:tr>
        <w:trPr>
          <w:trHeight w:val="220"/>
        </w:trPr>
        <w:tc>
          <w:tcPr>
            <w:tcW w:w="4380" w:type="dxa"/>
            <w:vAlign w:val="bottom"/>
            <w:shd w:val="clear" w:color="auto" w:fill="E0E0E0"/>
          </w:tcPr>
          <w:p>
            <w:pPr>
              <w:ind w:left="560"/>
              <w:spacing w:after="0" w:line="220" w:lineRule="exact"/>
              <w:rPr>
                <w:sz w:val="20"/>
                <w:szCs w:val="20"/>
                <w:color w:val="auto"/>
              </w:rPr>
            </w:pPr>
            <w:r>
              <w:rPr>
                <w:rFonts w:ascii="Arial" w:cs="Arial" w:eastAsia="Arial" w:hAnsi="Arial"/>
                <w:sz w:val="20"/>
                <w:szCs w:val="20"/>
                <w:color w:val="auto"/>
              </w:rPr>
              <w:t>Total deferred tax assets</w:t>
            </w:r>
          </w:p>
        </w:tc>
        <w:tc>
          <w:tcPr>
            <w:tcW w:w="1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7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92,235</w:t>
            </w:r>
          </w:p>
        </w:tc>
        <w:tc>
          <w:tcPr>
            <w:tcW w:w="12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180" w:type="dxa"/>
            <w:vAlign w:val="bottom"/>
            <w:tcBorders>
              <w:bottom w:val="single" w:sz="8" w:color="auto"/>
            </w:tcBorders>
            <w:shd w:val="clear" w:color="auto" w:fill="E0E0E0"/>
          </w:tcPr>
          <w:p>
            <w:pPr>
              <w:spacing w:after="0"/>
              <w:rPr>
                <w:sz w:val="19"/>
                <w:szCs w:val="19"/>
                <w:color w:val="auto"/>
              </w:rPr>
            </w:pPr>
          </w:p>
        </w:tc>
        <w:tc>
          <w:tcPr>
            <w:tcW w:w="7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71,756</w:t>
            </w:r>
          </w:p>
        </w:tc>
        <w:tc>
          <w:tcPr>
            <w:tcW w:w="80" w:type="dxa"/>
            <w:vAlign w:val="bottom"/>
            <w:shd w:val="clear" w:color="auto" w:fill="E0E0E0"/>
          </w:tcPr>
          <w:p>
            <w:pPr>
              <w:spacing w:after="0"/>
              <w:rPr>
                <w:sz w:val="19"/>
                <w:szCs w:val="19"/>
                <w:color w:val="auto"/>
              </w:rPr>
            </w:pPr>
          </w:p>
        </w:tc>
      </w:tr>
      <w:tr>
        <w:trPr>
          <w:trHeight w:val="220"/>
        </w:trPr>
        <w:tc>
          <w:tcPr>
            <w:tcW w:w="4380" w:type="dxa"/>
            <w:vAlign w:val="bottom"/>
          </w:tcPr>
          <w:p>
            <w:pPr>
              <w:spacing w:after="0" w:line="220" w:lineRule="exact"/>
              <w:rPr>
                <w:sz w:val="20"/>
                <w:szCs w:val="20"/>
                <w:color w:val="auto"/>
              </w:rPr>
            </w:pPr>
            <w:r>
              <w:rPr>
                <w:rFonts w:ascii="Arial" w:cs="Arial" w:eastAsia="Arial" w:hAnsi="Arial"/>
                <w:sz w:val="20"/>
                <w:szCs w:val="20"/>
                <w:color w:val="auto"/>
              </w:rPr>
              <w:t>Deferred tax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Right of use asset</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8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(170)</w:t>
            </w:r>
          </w:p>
        </w:tc>
        <w:tc>
          <w:tcPr>
            <w:tcW w:w="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(221)</w:t>
            </w:r>
          </w:p>
        </w:tc>
      </w:tr>
      <w:tr>
        <w:trPr>
          <w:trHeight w:val="230"/>
        </w:trPr>
        <w:tc>
          <w:tcPr>
            <w:tcW w:w="4380" w:type="dxa"/>
            <w:vAlign w:val="bottom"/>
          </w:tcPr>
          <w:p>
            <w:pPr>
              <w:ind w:left="280"/>
              <w:spacing w:after="0"/>
              <w:rPr>
                <w:sz w:val="20"/>
                <w:szCs w:val="20"/>
                <w:color w:val="auto"/>
              </w:rPr>
            </w:pPr>
            <w:r>
              <w:rPr>
                <w:rFonts w:ascii="Arial" w:cs="Arial" w:eastAsia="Arial" w:hAnsi="Arial"/>
                <w:sz w:val="20"/>
                <w:szCs w:val="20"/>
                <w:color w:val="auto"/>
              </w:rPr>
              <w:t>Prepaid expenses and other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(82)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(75)</w:t>
            </w:r>
          </w:p>
        </w:tc>
      </w:tr>
      <w:tr>
        <w:trPr>
          <w:trHeight w:val="230"/>
        </w:trPr>
        <w:tc>
          <w:tcPr>
            <w:tcW w:w="4380" w:type="dxa"/>
            <w:vAlign w:val="bottom"/>
            <w:shd w:val="clear" w:color="auto" w:fill="E0E0E0"/>
          </w:tcPr>
          <w:p>
            <w:pPr>
              <w:ind w:left="280"/>
              <w:spacing w:after="0"/>
              <w:rPr>
                <w:sz w:val="20"/>
                <w:szCs w:val="20"/>
                <w:color w:val="auto"/>
              </w:rPr>
            </w:pPr>
            <w:r>
              <w:rPr>
                <w:rFonts w:ascii="Arial" w:cs="Arial" w:eastAsia="Arial" w:hAnsi="Arial"/>
                <w:sz w:val="20"/>
                <w:szCs w:val="20"/>
                <w:color w:val="auto"/>
              </w:rPr>
              <w:t>Investments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80" w:type="dxa"/>
            <w:vAlign w:val="bottom"/>
            <w:gridSpan w:val="2"/>
            <w:shd w:val="clear" w:color="auto" w:fill="E0E0E0"/>
          </w:tcPr>
          <w:p>
            <w:pPr>
              <w:jc w:val="right"/>
              <w:ind w:right="60"/>
              <w:spacing w:after="0"/>
              <w:rPr>
                <w:sz w:val="20"/>
                <w:szCs w:val="20"/>
                <w:color w:val="auto"/>
              </w:rPr>
            </w:pPr>
            <w:r>
              <w:rPr>
                <w:rFonts w:ascii="Arial" w:cs="Arial" w:eastAsia="Arial" w:hAnsi="Arial"/>
                <w:sz w:val="20"/>
                <w:szCs w:val="20"/>
                <w:color w:val="auto"/>
              </w:rPr>
              <w:t>(34)</w:t>
            </w:r>
          </w:p>
        </w:tc>
        <w:tc>
          <w:tcPr>
            <w:tcW w:w="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2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(214)</w:t>
            </w:r>
          </w:p>
        </w:tc>
      </w:tr>
      <w:tr>
        <w:trPr>
          <w:trHeight w:val="220"/>
        </w:trPr>
        <w:tc>
          <w:tcPr>
            <w:tcW w:w="4380" w:type="dxa"/>
            <w:vAlign w:val="bottom"/>
            <w:tcBorders>
              <w:bottom w:val="single" w:sz="8" w:color="E0E0E0"/>
            </w:tcBorders>
          </w:tcPr>
          <w:p>
            <w:pPr>
              <w:ind w:left="560"/>
              <w:spacing w:after="0" w:line="220" w:lineRule="exact"/>
              <w:rPr>
                <w:sz w:val="20"/>
                <w:szCs w:val="20"/>
                <w:color w:val="auto"/>
              </w:rPr>
            </w:pPr>
            <w:r>
              <w:rPr>
                <w:rFonts w:ascii="Arial" w:cs="Arial" w:eastAsia="Arial" w:hAnsi="Arial"/>
                <w:sz w:val="20"/>
                <w:szCs w:val="20"/>
                <w:color w:val="auto"/>
              </w:rPr>
              <w:t>Total deferred tax liabilities</w:t>
            </w:r>
          </w:p>
        </w:tc>
        <w:tc>
          <w:tcPr>
            <w:tcW w:w="100" w:type="dxa"/>
            <w:vAlign w:val="bottom"/>
            <w:tcBorders>
              <w:bottom w:val="single" w:sz="8" w:color="E0E0E0"/>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(286)</w:t>
            </w:r>
          </w:p>
        </w:tc>
        <w:tc>
          <w:tcPr>
            <w:tcW w:w="120" w:type="dxa"/>
            <w:vAlign w:val="bottom"/>
            <w:tcBorders>
              <w:bottom w:val="single" w:sz="8" w:color="E0E0E0"/>
            </w:tcBorders>
          </w:tcPr>
          <w:p>
            <w:pPr>
              <w:spacing w:after="0"/>
              <w:rPr>
                <w:sz w:val="19"/>
                <w:szCs w:val="19"/>
                <w:color w:val="auto"/>
              </w:rPr>
            </w:pPr>
          </w:p>
        </w:tc>
        <w:tc>
          <w:tcPr>
            <w:tcW w:w="40" w:type="dxa"/>
            <w:vAlign w:val="bottom"/>
            <w:tcBorders>
              <w:bottom w:val="single" w:sz="8" w:color="E0E0E0"/>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(510)</w:t>
            </w:r>
          </w:p>
        </w:tc>
        <w:tc>
          <w:tcPr>
            <w:tcW w:w="80" w:type="dxa"/>
            <w:vAlign w:val="bottom"/>
            <w:tcBorders>
              <w:bottom w:val="single" w:sz="8" w:color="E0E0E0"/>
            </w:tcBorders>
          </w:tcPr>
          <w:p>
            <w:pPr>
              <w:spacing w:after="0"/>
              <w:rPr>
                <w:sz w:val="19"/>
                <w:szCs w:val="19"/>
                <w:color w:val="auto"/>
              </w:rPr>
            </w:pPr>
          </w:p>
        </w:tc>
      </w:tr>
      <w:tr>
        <w:trPr>
          <w:trHeight w:val="220"/>
        </w:trPr>
        <w:tc>
          <w:tcPr>
            <w:tcW w:w="43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Less valuation allowance</w:t>
            </w:r>
          </w:p>
        </w:tc>
        <w:tc>
          <w:tcPr>
            <w:tcW w:w="1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76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99"/>
              </w:rPr>
              <w:t>(91,949)</w:t>
            </w:r>
          </w:p>
        </w:tc>
        <w:tc>
          <w:tcPr>
            <w:tcW w:w="12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180" w:type="dxa"/>
            <w:vAlign w:val="bottom"/>
            <w:tcBorders>
              <w:bottom w:val="single" w:sz="8" w:color="auto"/>
            </w:tcBorders>
            <w:shd w:val="clear" w:color="auto" w:fill="E0E0E0"/>
          </w:tcPr>
          <w:p>
            <w:pPr>
              <w:spacing w:after="0"/>
              <w:rPr>
                <w:sz w:val="19"/>
                <w:szCs w:val="19"/>
                <w:color w:val="auto"/>
              </w:rPr>
            </w:pPr>
          </w:p>
        </w:tc>
        <w:tc>
          <w:tcPr>
            <w:tcW w:w="740" w:type="dxa"/>
            <w:vAlign w:val="bottom"/>
            <w:tcBorders>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w w:val="96"/>
              </w:rPr>
              <w:t>(71,246)</w:t>
            </w:r>
          </w:p>
        </w:tc>
        <w:tc>
          <w:tcPr>
            <w:tcW w:w="80" w:type="dxa"/>
            <w:vAlign w:val="bottom"/>
            <w:shd w:val="clear" w:color="auto" w:fill="E0E0E0"/>
          </w:tcPr>
          <w:p>
            <w:pPr>
              <w:spacing w:after="0"/>
              <w:rPr>
                <w:sz w:val="19"/>
                <w:szCs w:val="19"/>
                <w:color w:val="auto"/>
              </w:rPr>
            </w:pPr>
          </w:p>
        </w:tc>
      </w:tr>
      <w:tr>
        <w:trPr>
          <w:trHeight w:val="220"/>
        </w:trPr>
        <w:tc>
          <w:tcPr>
            <w:tcW w:w="4380" w:type="dxa"/>
            <w:vAlign w:val="bottom"/>
          </w:tcPr>
          <w:p>
            <w:pPr>
              <w:ind w:left="560"/>
              <w:spacing w:after="0" w:line="220" w:lineRule="exact"/>
              <w:rPr>
                <w:sz w:val="20"/>
                <w:szCs w:val="20"/>
                <w:color w:val="auto"/>
              </w:rPr>
            </w:pPr>
            <w:r>
              <w:rPr>
                <w:rFonts w:ascii="Arial" w:cs="Arial" w:eastAsia="Arial" w:hAnsi="Arial"/>
                <w:sz w:val="20"/>
                <w:szCs w:val="20"/>
                <w:color w:val="auto"/>
              </w:rPr>
              <w:t>Net deferred tax assets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ectPr>
          <w:pgSz w:w="12240" w:h="15840" w:orient="portrait"/>
          <w:cols w:equalWidth="0" w:num="1">
            <w:col w:w="9360"/>
          </w:cols>
          <w:pgMar w:left="1440" w:top="1420" w:right="1440" w:bottom="186" w:gutter="0" w:footer="0" w:header="0"/>
          <w:type w:val="continuous"/>
        </w:sectPr>
      </w:pPr>
    </w:p>
    <w:bookmarkStart w:id="145" w:name="page146"/>
    <w:bookmarkEnd w:id="145"/>
    <w:p>
      <w:pPr>
        <w:spacing w:after="0" w:line="251"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9"/>
          <w:szCs w:val="19"/>
          <w:color w:val="212121"/>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2024, the Company has recorded a full valuation allowance on its net deferred tax assets as the Company has concluded that it is not more likely than not that such losses or credits will be utilized. The valuation allowance increased by $20.7 million and $28.3 million during 2024 and 2023, respectively.</w:t>
      </w:r>
    </w:p>
    <w:p>
      <w:pPr>
        <w:spacing w:after="0" w:line="188"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212121"/>
        </w:rPr>
        <w:t>At December 31, 2024, the Company has federal net operating loss and tax credit carryforwards of $9.5 million and $16.5 million, respectively, which expire over a period of 7 to 13 years. Net operating loss carryforwards of $196.0 million were generated after 2017, and therefore do not expire. As of December 31, 2024, the Company also had state net operating loss carryforwards of $3.9 million, which expire over a period of 17 to 20 years.</w:t>
      </w:r>
    </w:p>
    <w:p>
      <w:pPr>
        <w:spacing w:after="0" w:line="31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212121"/>
        </w:rPr>
        <w:t>Uncertain Tax Positions</w:t>
      </w:r>
    </w:p>
    <w:p>
      <w:pPr>
        <w:spacing w:after="0" w:line="116"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9"/>
          <w:szCs w:val="19"/>
          <w:color w:val="212121"/>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175"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212121"/>
        </w:rPr>
        <w:t>A reconciliation of the beginning and ending amount of unrecognized tax benefits for uncertain tax positions were as follows (in thousands):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7"/>
                <w:szCs w:val="17"/>
                <w:color w:val="auto"/>
              </w:rPr>
            </w:pPr>
          </w:p>
        </w:tc>
      </w:tr>
      <w:tr>
        <w:trPr>
          <w:trHeight w:val="174"/>
        </w:trPr>
        <w:tc>
          <w:tcPr>
            <w:tcW w:w="438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4"/>
              <w:spacing w:after="0" w:line="174"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4"/>
              <w:spacing w:after="0" w:line="174"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0E0E0"/>
            </w:tcBorders>
          </w:tcPr>
          <w:p>
            <w:pPr>
              <w:spacing w:after="0"/>
              <w:rPr>
                <w:sz w:val="15"/>
                <w:szCs w:val="15"/>
                <w:color w:val="auto"/>
              </w:rPr>
            </w:pPr>
          </w:p>
        </w:tc>
      </w:tr>
      <w:tr>
        <w:trPr>
          <w:trHeight w:val="220"/>
        </w:trPr>
        <w:tc>
          <w:tcPr>
            <w:tcW w:w="43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Beginning balance</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shd w:val="clear" w:color="auto" w:fill="E0E0E0"/>
              </w:rPr>
              <w:t>$</w:t>
            </w:r>
          </w:p>
        </w:tc>
        <w:tc>
          <w:tcPr>
            <w:tcW w:w="7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3,109</w:t>
            </w:r>
          </w:p>
        </w:tc>
        <w:tc>
          <w:tcPr>
            <w:tcW w:w="140" w:type="dxa"/>
            <w:vAlign w:val="bottom"/>
            <w:shd w:val="clear" w:color="auto" w:fill="E0E0E0"/>
          </w:tcPr>
          <w:p>
            <w:pPr>
              <w:spacing w:after="0"/>
              <w:rPr>
                <w:sz w:val="19"/>
                <w:szCs w:val="19"/>
                <w:color w:val="auto"/>
              </w:rPr>
            </w:pPr>
          </w:p>
        </w:tc>
        <w:tc>
          <w:tcPr>
            <w:tcW w:w="20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w w:val="89"/>
                <w:shd w:val="clear" w:color="auto" w:fill="E0E0E0"/>
              </w:rPr>
              <w:t>$</w:t>
            </w:r>
          </w:p>
        </w:tc>
        <w:tc>
          <w:tcPr>
            <w:tcW w:w="74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shd w:val="clear" w:color="auto" w:fill="E0E0E0"/>
              </w:rPr>
              <w:t>1,406</w:t>
            </w:r>
          </w:p>
        </w:tc>
        <w:tc>
          <w:tcPr>
            <w:tcW w:w="60" w:type="dxa"/>
            <w:vAlign w:val="bottom"/>
            <w:shd w:val="clear" w:color="auto" w:fill="E0E0E0"/>
          </w:tcPr>
          <w:p>
            <w:pPr>
              <w:spacing w:after="0"/>
              <w:rPr>
                <w:sz w:val="19"/>
                <w:szCs w:val="19"/>
                <w:color w:val="auto"/>
              </w:rPr>
            </w:pPr>
          </w:p>
        </w:tc>
      </w:tr>
      <w:tr>
        <w:trPr>
          <w:trHeight w:val="211"/>
        </w:trPr>
        <w:tc>
          <w:tcPr>
            <w:tcW w:w="4380" w:type="dxa"/>
            <w:vAlign w:val="bottom"/>
          </w:tcPr>
          <w:p>
            <w:pPr>
              <w:spacing w:after="0" w:line="210" w:lineRule="exact"/>
              <w:rPr>
                <w:sz w:val="20"/>
                <w:szCs w:val="20"/>
                <w:color w:val="auto"/>
              </w:rPr>
            </w:pPr>
            <w:r>
              <w:rPr>
                <w:rFonts w:ascii="Arial" w:cs="Arial" w:eastAsia="Arial" w:hAnsi="Arial"/>
                <w:sz w:val="20"/>
                <w:szCs w:val="20"/>
                <w:color w:val="auto"/>
              </w:rPr>
              <w:t>Additions for tax positions taken in prior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4380" w:type="dxa"/>
            <w:vAlign w:val="bottom"/>
          </w:tcPr>
          <w:p>
            <w:pPr>
              <w:ind w:left="180"/>
              <w:spacing w:after="0"/>
              <w:rPr>
                <w:sz w:val="20"/>
                <w:szCs w:val="20"/>
                <w:color w:val="auto"/>
              </w:rPr>
            </w:pPr>
            <w:r>
              <w:rPr>
                <w:rFonts w:ascii="Arial" w:cs="Arial" w:eastAsia="Arial" w:hAnsi="Arial"/>
                <w:sz w:val="20"/>
                <w:szCs w:val="20"/>
                <w:color w:val="auto"/>
              </w:rPr>
              <w:t>years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182</w:t>
            </w:r>
          </w:p>
        </w:tc>
        <w:tc>
          <w:tcPr>
            <w:tcW w:w="60" w:type="dxa"/>
            <w:vAlign w:val="bottom"/>
          </w:tcPr>
          <w:p>
            <w:pPr>
              <w:spacing w:after="0"/>
              <w:rPr>
                <w:sz w:val="21"/>
                <w:szCs w:val="21"/>
                <w:color w:val="auto"/>
              </w:rPr>
            </w:pPr>
          </w:p>
        </w:tc>
      </w:tr>
      <w:tr>
        <w:trPr>
          <w:trHeight w:val="211"/>
        </w:trPr>
        <w:tc>
          <w:tcPr>
            <w:tcW w:w="4380" w:type="dxa"/>
            <w:vAlign w:val="bottom"/>
            <w:shd w:val="clear" w:color="auto" w:fill="E0E0E0"/>
          </w:tcPr>
          <w:p>
            <w:pPr>
              <w:spacing w:after="0" w:line="210" w:lineRule="exact"/>
              <w:rPr>
                <w:sz w:val="20"/>
                <w:szCs w:val="20"/>
                <w:color w:val="auto"/>
              </w:rPr>
            </w:pPr>
            <w:r>
              <w:rPr>
                <w:rFonts w:ascii="Arial" w:cs="Arial" w:eastAsia="Arial" w:hAnsi="Arial"/>
                <w:sz w:val="20"/>
                <w:szCs w:val="20"/>
                <w:color w:val="auto"/>
              </w:rPr>
              <w:t>Additions for tax positions taken in the current</w:t>
            </w: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r>
      <w:tr>
        <w:trPr>
          <w:trHeight w:val="249"/>
        </w:trPr>
        <w:tc>
          <w:tcPr>
            <w:tcW w:w="4380" w:type="dxa"/>
            <w:vAlign w:val="bottom"/>
            <w:shd w:val="clear" w:color="auto" w:fill="E0E0E0"/>
          </w:tcPr>
          <w:p>
            <w:pPr>
              <w:ind w:left="180"/>
              <w:spacing w:after="0"/>
              <w:rPr>
                <w:sz w:val="20"/>
                <w:szCs w:val="20"/>
                <w:color w:val="auto"/>
              </w:rPr>
            </w:pPr>
            <w:r>
              <w:rPr>
                <w:rFonts w:ascii="Arial" w:cs="Arial" w:eastAsia="Arial" w:hAnsi="Arial"/>
                <w:sz w:val="20"/>
                <w:szCs w:val="20"/>
                <w:color w:val="auto"/>
              </w:rPr>
              <w:t>year</w:t>
            </w: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spacing w:after="0"/>
              <w:rPr>
                <w:sz w:val="21"/>
                <w:szCs w:val="21"/>
                <w:color w:val="auto"/>
              </w:rPr>
            </w:pPr>
          </w:p>
        </w:tc>
        <w:tc>
          <w:tcPr>
            <w:tcW w:w="7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1,012</w:t>
            </w:r>
          </w:p>
        </w:tc>
        <w:tc>
          <w:tcPr>
            <w:tcW w:w="140" w:type="dxa"/>
            <w:vAlign w:val="bottom"/>
            <w:shd w:val="clear" w:color="auto" w:fill="E0E0E0"/>
          </w:tcPr>
          <w:p>
            <w:pPr>
              <w:spacing w:after="0"/>
              <w:rPr>
                <w:sz w:val="21"/>
                <w:szCs w:val="21"/>
                <w:color w:val="auto"/>
              </w:rPr>
            </w:pPr>
          </w:p>
        </w:tc>
        <w:tc>
          <w:tcPr>
            <w:tcW w:w="200" w:type="dxa"/>
            <w:vAlign w:val="bottom"/>
            <w:tcBorders>
              <w:bottom w:val="single" w:sz="8" w:color="auto"/>
            </w:tcBorders>
            <w:shd w:val="clear" w:color="auto" w:fill="E0E0E0"/>
          </w:tcPr>
          <w:p>
            <w:pPr>
              <w:spacing w:after="0"/>
              <w:rPr>
                <w:sz w:val="21"/>
                <w:szCs w:val="21"/>
                <w:color w:val="auto"/>
              </w:rPr>
            </w:pPr>
          </w:p>
        </w:tc>
        <w:tc>
          <w:tcPr>
            <w:tcW w:w="7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20"/>
                <w:szCs w:val="20"/>
                <w:color w:val="auto"/>
              </w:rPr>
              <w:t>1,521</w:t>
            </w:r>
          </w:p>
        </w:tc>
        <w:tc>
          <w:tcPr>
            <w:tcW w:w="60" w:type="dxa"/>
            <w:vAlign w:val="bottom"/>
            <w:shd w:val="clear" w:color="auto" w:fill="E0E0E0"/>
          </w:tcPr>
          <w:p>
            <w:pPr>
              <w:spacing w:after="0"/>
              <w:rPr>
                <w:sz w:val="21"/>
                <w:szCs w:val="21"/>
                <w:color w:val="auto"/>
              </w:rPr>
            </w:pPr>
          </w:p>
        </w:tc>
      </w:tr>
      <w:tr>
        <w:trPr>
          <w:trHeight w:val="220"/>
        </w:trPr>
        <w:tc>
          <w:tcPr>
            <w:tcW w:w="4380" w:type="dxa"/>
            <w:vAlign w:val="bottom"/>
          </w:tcPr>
          <w:p>
            <w:pPr>
              <w:spacing w:after="0" w:line="220" w:lineRule="exact"/>
              <w:rPr>
                <w:sz w:val="20"/>
                <w:szCs w:val="20"/>
                <w:color w:val="auto"/>
              </w:rPr>
            </w:pPr>
            <w:r>
              <w:rPr>
                <w:rFonts w:ascii="Arial" w:cs="Arial" w:eastAsia="Arial" w:hAnsi="Arial"/>
                <w:sz w:val="20"/>
                <w:szCs w:val="20"/>
                <w:color w:val="auto"/>
              </w:rPr>
              <w:t>Ending balance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4,121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3,109</w:t>
            </w:r>
          </w:p>
        </w:tc>
        <w:tc>
          <w:tcPr>
            <w:tcW w:w="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212121"/>
        </w:rPr>
        <w:t>If the unrecognized tax benefits for uncertain tax positions as of December 31, 2024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2024, there were no material interest and penalties on uncertain tax benefits. The Company does not anticipate any significant changes to its unrecognized tax benefits in the next 12 months.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11. Employee Benefit Plans</w:t>
      </w:r>
    </w:p>
    <w:p>
      <w:pPr>
        <w:spacing w:after="0" w:line="124"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212121"/>
        </w:rPr>
        <w:t>The Company has a 401(k) Plan for all of its employees. The 401(k) Plan allows eligible employees to defer, at the employee’s discretion, up to 100% of their pretax compensation up to the Internal Revenue Service annual limit. The Company made matching contributions of $0.5 million and $0.5 million during the years ended December 31, 2024 and 2023, respectively.</w:t>
      </w:r>
    </w:p>
    <w:p>
      <w:pPr>
        <w:sectPr>
          <w:pgSz w:w="12240" w:h="15840" w:orient="portrait"/>
          <w:cols w:equalWidth="0" w:num="1">
            <w:col w:w="9360"/>
          </w:cols>
          <w:pgMar w:left="1440" w:top="144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ectPr>
          <w:pgSz w:w="12240" w:h="15840" w:orient="portrait"/>
          <w:cols w:equalWidth="0" w:num="1">
            <w:col w:w="9360"/>
          </w:cols>
          <w:pgMar w:left="1440" w:top="1440" w:right="1440" w:bottom="186" w:gutter="0" w:footer="0" w:header="0"/>
          <w:type w:val="continuous"/>
        </w:sectPr>
      </w:pPr>
    </w:p>
    <w:bookmarkStart w:id="146" w:name="page147"/>
    <w:bookmarkEnd w:id="146"/>
    <w:p>
      <w:pPr>
        <w:spacing w:after="0"/>
        <w:rPr>
          <w:sz w:val="20"/>
          <w:szCs w:val="20"/>
          <w:color w:val="auto"/>
        </w:rPr>
      </w:pPr>
      <w:r>
        <w:rPr>
          <w:rFonts w:ascii="Arial" w:cs="Arial" w:eastAsia="Arial" w:hAnsi="Arial"/>
          <w:sz w:val="20"/>
          <w:szCs w:val="20"/>
          <w:b w:val="1"/>
          <w:bCs w:val="1"/>
          <w:color w:val="212121"/>
        </w:rPr>
        <w:t>12. Net Loss Per Share Attributable to Common Stockholders</w:t>
      </w:r>
    </w:p>
    <w:p>
      <w:pPr>
        <w:spacing w:after="0" w:line="12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90"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jc w:val="right"/>
              <w:ind w:right="330"/>
              <w:spacing w:after="0" w:line="174" w:lineRule="exact"/>
              <w:rPr>
                <w:sz w:val="20"/>
                <w:szCs w:val="20"/>
                <w:color w:val="auto"/>
              </w:rPr>
            </w:pPr>
            <w:r>
              <w:rPr>
                <w:rFonts w:ascii="Arial" w:cs="Arial" w:eastAsia="Arial" w:hAnsi="Arial"/>
                <w:sz w:val="16"/>
                <w:szCs w:val="16"/>
                <w:b w:val="1"/>
                <w:bCs w:val="1"/>
                <w:color w:val="auto"/>
              </w:rPr>
              <w:t>2024</w:t>
            </w:r>
          </w:p>
        </w:tc>
        <w:tc>
          <w:tcPr>
            <w:tcW w:w="1340" w:type="dxa"/>
            <w:vAlign w:val="bottom"/>
            <w:tcBorders>
              <w:top w:val="single" w:sz="8" w:color="auto"/>
            </w:tcBorders>
            <w:gridSpan w:val="2"/>
          </w:tcPr>
          <w:p>
            <w:pPr>
              <w:jc w:val="right"/>
              <w:ind w:right="320"/>
              <w:spacing w:after="0" w:line="174"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r>
      <w:tr>
        <w:trPr>
          <w:trHeight w:val="220"/>
        </w:trPr>
        <w:tc>
          <w:tcPr>
            <w:tcW w:w="3880" w:type="dxa"/>
            <w:vAlign w:val="bottom"/>
            <w:tcBorders>
              <w:top w:val="single" w:sz="8" w:color="E0E0E0"/>
            </w:tcBorders>
            <w:shd w:val="clear" w:color="auto" w:fill="E0E0E0"/>
          </w:tcPr>
          <w:p>
            <w:pPr>
              <w:spacing w:after="0" w:line="220" w:lineRule="exact"/>
              <w:rPr>
                <w:sz w:val="20"/>
                <w:szCs w:val="20"/>
                <w:color w:val="auto"/>
              </w:rPr>
            </w:pPr>
            <w:r>
              <w:rPr>
                <w:rFonts w:ascii="Arial" w:cs="Arial" w:eastAsia="Arial" w:hAnsi="Arial"/>
                <w:sz w:val="20"/>
                <w:szCs w:val="20"/>
                <w:color w:val="auto"/>
              </w:rPr>
              <w:t>Stock options to purchase common stock</w:t>
            </w:r>
          </w:p>
        </w:tc>
        <w:tc>
          <w:tcPr>
            <w:tcW w:w="12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9,612,310</w:t>
            </w:r>
          </w:p>
        </w:tc>
        <w:tc>
          <w:tcPr>
            <w:tcW w:w="160" w:type="dxa"/>
            <w:vAlign w:val="bottom"/>
            <w:tcBorders>
              <w:top w:val="single" w:sz="8" w:color="E0E0E0"/>
            </w:tcBorders>
            <w:shd w:val="clear" w:color="auto" w:fill="E0E0E0"/>
          </w:tcPr>
          <w:p>
            <w:pPr>
              <w:spacing w:after="0"/>
              <w:rPr>
                <w:sz w:val="19"/>
                <w:szCs w:val="19"/>
                <w:color w:val="auto"/>
              </w:rPr>
            </w:pPr>
          </w:p>
        </w:tc>
        <w:tc>
          <w:tcPr>
            <w:tcW w:w="1180" w:type="dxa"/>
            <w:vAlign w:val="bottom"/>
            <w:tcBorders>
              <w:top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6,820,869</w:t>
            </w:r>
          </w:p>
        </w:tc>
        <w:tc>
          <w:tcPr>
            <w:tcW w:w="60" w:type="dxa"/>
            <w:vAlign w:val="bottom"/>
            <w:tcBorders>
              <w:top w:val="single" w:sz="8" w:color="E0E0E0"/>
            </w:tcBorders>
            <w:shd w:val="clear" w:color="auto" w:fill="E0E0E0"/>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20"/>
                <w:szCs w:val="20"/>
                <w:color w:val="auto"/>
              </w:rPr>
              <w:t>Non-vested Restricted Stock Units</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622,661</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310,087</w:t>
            </w:r>
          </w:p>
        </w:tc>
        <w:tc>
          <w:tcPr>
            <w:tcW w:w="60" w:type="dxa"/>
            <w:vAlign w:val="bottom"/>
          </w:tcPr>
          <w:p>
            <w:pPr>
              <w:spacing w:after="0"/>
              <w:rPr>
                <w:sz w:val="19"/>
                <w:szCs w:val="19"/>
                <w:color w:val="auto"/>
              </w:rPr>
            </w:pPr>
          </w:p>
        </w:tc>
      </w:tr>
      <w:tr>
        <w:trPr>
          <w:trHeight w:val="230"/>
        </w:trPr>
        <w:tc>
          <w:tcPr>
            <w:tcW w:w="3880" w:type="dxa"/>
            <w:vAlign w:val="bottom"/>
            <w:shd w:val="clear" w:color="auto" w:fill="E0E0E0"/>
          </w:tcPr>
          <w:p>
            <w:pPr>
              <w:spacing w:after="0"/>
              <w:rPr>
                <w:sz w:val="20"/>
                <w:szCs w:val="20"/>
                <w:color w:val="auto"/>
              </w:rPr>
            </w:pPr>
            <w:r>
              <w:rPr>
                <w:rFonts w:ascii="Arial" w:cs="Arial" w:eastAsia="Arial" w:hAnsi="Arial"/>
                <w:sz w:val="20"/>
                <w:szCs w:val="20"/>
                <w:color w:val="auto"/>
              </w:rPr>
              <w:t>Employee stock purchase plan</w:t>
            </w:r>
          </w:p>
        </w:tc>
        <w:tc>
          <w:tcPr>
            <w:tcW w:w="128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8,507</w:t>
            </w:r>
          </w:p>
        </w:tc>
        <w:tc>
          <w:tcPr>
            <w:tcW w:w="1340" w:type="dxa"/>
            <w:vAlign w:val="bottom"/>
            <w:gridSpan w:val="2"/>
            <w:shd w:val="clear" w:color="auto" w:fill="E0E0E0"/>
          </w:tcPr>
          <w:p>
            <w:pPr>
              <w:jc w:val="right"/>
              <w:spacing w:after="0"/>
              <w:rPr>
                <w:sz w:val="20"/>
                <w:szCs w:val="20"/>
                <w:color w:val="auto"/>
              </w:rPr>
            </w:pPr>
            <w:r>
              <w:rPr>
                <w:rFonts w:ascii="Arial" w:cs="Arial" w:eastAsia="Arial" w:hAnsi="Arial"/>
                <w:sz w:val="20"/>
                <w:szCs w:val="20"/>
                <w:color w:val="auto"/>
              </w:rPr>
              <w:t>3,495</w:t>
            </w:r>
          </w:p>
        </w:tc>
        <w:tc>
          <w:tcPr>
            <w:tcW w:w="60" w:type="dxa"/>
            <w:vAlign w:val="bottom"/>
            <w:shd w:val="clear" w:color="auto" w:fill="E0E0E0"/>
          </w:tcPr>
          <w:p>
            <w:pPr>
              <w:spacing w:after="0"/>
              <w:rPr>
                <w:sz w:val="19"/>
                <w:szCs w:val="19"/>
                <w:color w:val="auto"/>
              </w:rPr>
            </w:pPr>
          </w:p>
        </w:tc>
      </w:tr>
      <w:tr>
        <w:trPr>
          <w:trHeight w:val="220"/>
        </w:trPr>
        <w:tc>
          <w:tcPr>
            <w:tcW w:w="3880" w:type="dxa"/>
            <w:vAlign w:val="bottom"/>
          </w:tcPr>
          <w:p>
            <w:pPr>
              <w:ind w:left="280"/>
              <w:spacing w:after="0" w:line="220" w:lineRule="exact"/>
              <w:rPr>
                <w:sz w:val="20"/>
                <w:szCs w:val="20"/>
                <w:color w:val="auto"/>
              </w:rPr>
            </w:pPr>
            <w:r>
              <w:rPr>
                <w:rFonts w:ascii="Arial" w:cs="Arial" w:eastAsia="Arial" w:hAnsi="Arial"/>
                <w:sz w:val="20"/>
                <w:szCs w:val="20"/>
                <w:color w:val="auto"/>
              </w:rPr>
              <w:t>Total</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10,243,478</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7,134,451</w:t>
            </w:r>
          </w:p>
        </w:tc>
        <w:tc>
          <w:tcPr>
            <w:tcW w:w="6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13. Corporate Restructuring</w:t>
      </w:r>
    </w:p>
    <w:p>
      <w:pPr>
        <w:spacing w:after="0" w:line="12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212121"/>
        </w:rPr>
        <w:t>The Company currently estimates that it will incur costs of approximately $2.9 million for termination benefits relating to the Restructuring, substantially all of which the Company recognized during the year ended December 31, 2024.</w:t>
      </w:r>
    </w:p>
    <w:p>
      <w:pPr>
        <w:spacing w:after="0" w:line="60"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212121"/>
        </w:rPr>
        <w:t>The Company expensed the following costs associated with the termination benefit payments resulting from the Restructuring (in thousands):</w:t>
      </w:r>
    </w:p>
    <w:p>
      <w:pPr>
        <w:spacing w:after="0" w:line="160"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ind w:left="400"/>
              <w:spacing w:after="0"/>
              <w:rPr>
                <w:sz w:val="20"/>
                <w:szCs w:val="20"/>
                <w:color w:val="auto"/>
              </w:rPr>
            </w:pPr>
            <w:r>
              <w:rPr>
                <w:rFonts w:ascii="Arial" w:cs="Arial" w:eastAsia="Arial" w:hAnsi="Arial"/>
                <w:sz w:val="16"/>
                <w:szCs w:val="16"/>
                <w:b w:val="1"/>
                <w:bCs w:val="1"/>
                <w:color w:val="auto"/>
              </w:rPr>
              <w:t>Year Ended</w:t>
            </w:r>
          </w:p>
        </w:tc>
      </w:tr>
      <w:tr>
        <w:trPr>
          <w:trHeight w:val="174"/>
        </w:trPr>
        <w:tc>
          <w:tcPr>
            <w:tcW w:w="464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70"/>
              <w:spacing w:after="0" w:line="174" w:lineRule="exact"/>
              <w:rPr>
                <w:sz w:val="20"/>
                <w:szCs w:val="20"/>
                <w:color w:val="auto"/>
              </w:rPr>
            </w:pPr>
            <w:r>
              <w:rPr>
                <w:rFonts w:ascii="Arial" w:cs="Arial" w:eastAsia="Arial" w:hAnsi="Arial"/>
                <w:sz w:val="16"/>
                <w:szCs w:val="16"/>
                <w:b w:val="1"/>
                <w:bCs w:val="1"/>
                <w:color w:val="auto"/>
              </w:rPr>
              <w:t>December 31, 2024</w:t>
            </w:r>
          </w:p>
        </w:tc>
        <w:tc>
          <w:tcPr>
            <w:tcW w:w="60" w:type="dxa"/>
            <w:vAlign w:val="bottom"/>
            <w:tcBorders>
              <w:bottom w:val="single" w:sz="8" w:color="E0E0E0"/>
            </w:tcBorders>
          </w:tcPr>
          <w:p>
            <w:pPr>
              <w:spacing w:after="0"/>
              <w:rPr>
                <w:sz w:val="15"/>
                <w:szCs w:val="15"/>
                <w:color w:val="auto"/>
              </w:rPr>
            </w:pPr>
          </w:p>
        </w:tc>
      </w:tr>
      <w:tr>
        <w:trPr>
          <w:trHeight w:val="220"/>
        </w:trPr>
        <w:tc>
          <w:tcPr>
            <w:tcW w:w="4640" w:type="dxa"/>
            <w:vAlign w:val="bottom"/>
            <w:shd w:val="clear" w:color="auto" w:fill="E0E0E0"/>
          </w:tcPr>
          <w:p>
            <w:pPr>
              <w:spacing w:after="0" w:line="220" w:lineRule="exact"/>
              <w:rPr>
                <w:sz w:val="20"/>
                <w:szCs w:val="20"/>
                <w:color w:val="auto"/>
              </w:rPr>
            </w:pPr>
            <w:r>
              <w:rPr>
                <w:rFonts w:ascii="Arial" w:cs="Arial" w:eastAsia="Arial" w:hAnsi="Arial"/>
                <w:sz w:val="20"/>
                <w:szCs w:val="20"/>
                <w:color w:val="auto"/>
              </w:rPr>
              <w:t>Research and development expense</w:t>
            </w:r>
          </w:p>
        </w:tc>
        <w:tc>
          <w:tcPr>
            <w:tcW w:w="140" w:type="dxa"/>
            <w:vAlign w:val="bottom"/>
            <w:shd w:val="clear" w:color="auto" w:fill="E0E0E0"/>
          </w:tcPr>
          <w:p>
            <w:pPr>
              <w:spacing w:after="0"/>
              <w:rPr>
                <w:sz w:val="19"/>
                <w:szCs w:val="19"/>
                <w:color w:val="auto"/>
              </w:rPr>
            </w:pPr>
          </w:p>
        </w:tc>
        <w:tc>
          <w:tcPr>
            <w:tcW w:w="1720" w:type="dxa"/>
            <w:vAlign w:val="bottom"/>
            <w:shd w:val="clear" w:color="auto" w:fill="E0E0E0"/>
          </w:tcPr>
          <w:p>
            <w:pPr>
              <w:jc w:val="right"/>
              <w:spacing w:after="0" w:line="220" w:lineRule="exact"/>
              <w:rPr>
                <w:sz w:val="20"/>
                <w:szCs w:val="20"/>
                <w:color w:val="auto"/>
              </w:rPr>
            </w:pPr>
            <w:r>
              <w:rPr>
                <w:rFonts w:ascii="Arial" w:cs="Arial" w:eastAsia="Arial" w:hAnsi="Arial"/>
                <w:sz w:val="20"/>
                <w:szCs w:val="20"/>
                <w:color w:val="auto"/>
              </w:rPr>
              <w:t>1,495</w:t>
            </w:r>
          </w:p>
        </w:tc>
        <w:tc>
          <w:tcPr>
            <w:tcW w:w="60" w:type="dxa"/>
            <w:vAlign w:val="bottom"/>
            <w:shd w:val="clear" w:color="auto" w:fill="E0E0E0"/>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20"/>
                <w:szCs w:val="20"/>
                <w:color w:val="auto"/>
              </w:rPr>
              <w:t>General and administrative expense</w:t>
            </w: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1,392</w:t>
            </w:r>
          </w:p>
        </w:tc>
        <w:tc>
          <w:tcPr>
            <w:tcW w:w="60" w:type="dxa"/>
            <w:vAlign w:val="bottom"/>
          </w:tcPr>
          <w:p>
            <w:pPr>
              <w:spacing w:after="0"/>
              <w:rPr>
                <w:sz w:val="19"/>
                <w:szCs w:val="19"/>
                <w:color w:val="auto"/>
              </w:rPr>
            </w:pPr>
          </w:p>
        </w:tc>
      </w:tr>
      <w:tr>
        <w:trPr>
          <w:trHeight w:val="220"/>
        </w:trPr>
        <w:tc>
          <w:tcPr>
            <w:tcW w:w="4640" w:type="dxa"/>
            <w:vAlign w:val="bottom"/>
            <w:tcBorders>
              <w:top w:val="single" w:sz="8" w:color="E0E0E0"/>
            </w:tcBorders>
            <w:shd w:val="clear" w:color="auto" w:fill="E0E0E0"/>
          </w:tcPr>
          <w:p>
            <w:pPr>
              <w:ind w:left="280"/>
              <w:spacing w:after="0" w:line="220" w:lineRule="exact"/>
              <w:rPr>
                <w:sz w:val="20"/>
                <w:szCs w:val="20"/>
                <w:color w:val="auto"/>
              </w:rPr>
            </w:pPr>
            <w:r>
              <w:rPr>
                <w:rFonts w:ascii="Arial" w:cs="Arial" w:eastAsia="Arial" w:hAnsi="Arial"/>
                <w:sz w:val="20"/>
                <w:szCs w:val="20"/>
                <w:color w:val="auto"/>
              </w:rPr>
              <w:t>Total severance expense</w:t>
            </w:r>
          </w:p>
        </w:tc>
        <w:tc>
          <w:tcPr>
            <w:tcW w:w="140" w:type="dxa"/>
            <w:vAlign w:val="bottom"/>
            <w:tcBorders>
              <w:top w:val="single" w:sz="8" w:color="E0E0E0"/>
            </w:tcBorders>
            <w:shd w:val="clear" w:color="auto" w:fill="E0E0E0"/>
          </w:tcPr>
          <w:p>
            <w:pPr>
              <w:spacing w:after="0"/>
              <w:rPr>
                <w:sz w:val="19"/>
                <w:szCs w:val="19"/>
                <w:color w:val="auto"/>
              </w:rPr>
            </w:pPr>
          </w:p>
        </w:tc>
        <w:tc>
          <w:tcPr>
            <w:tcW w:w="17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Arial" w:cs="Arial" w:eastAsia="Arial" w:hAnsi="Arial"/>
                <w:sz w:val="20"/>
                <w:szCs w:val="20"/>
                <w:color w:val="auto"/>
              </w:rPr>
              <w:t>2,887</w:t>
            </w:r>
          </w:p>
        </w:tc>
        <w:tc>
          <w:tcPr>
            <w:tcW w:w="60" w:type="dxa"/>
            <w:vAlign w:val="bottom"/>
            <w:tcBorders>
              <w:top w:val="single" w:sz="8" w:color="E0E0E0"/>
            </w:tcBorders>
            <w:shd w:val="clear" w:color="auto" w:fill="E0E0E0"/>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9"/>
          <w:szCs w:val="19"/>
          <w:color w:val="212121"/>
        </w:rPr>
        <w:t>As of December 31, 2024, the accrued liability balance associated with the Restructuring is $0.4 million and is included in the accrued expenses line of the accompanying consolidated balance sheet. Cash paid during the year ended December 31, 2024 associated with the termination benefits was $2.5 million.</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141</w:t>
      </w:r>
    </w:p>
    <w:p>
      <w:pPr>
        <w:sectPr>
          <w:pgSz w:w="12240" w:h="15840" w:orient="portrait"/>
          <w:cols w:equalWidth="0" w:num="1">
            <w:col w:w="9360"/>
          </w:cols>
          <w:pgMar w:left="1440" w:top="1416" w:right="1440" w:bottom="186" w:gutter="0" w:footer="0" w:header="0"/>
          <w:type w:val="continuous"/>
        </w:sectPr>
      </w:pPr>
    </w:p>
    <w:bookmarkStart w:id="147" w:name="page148"/>
    <w:bookmarkEnd w:id="147"/>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116"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principal financial and accounting officer, as appropriate, to allow timely decisions regarding required disclosure.</w:t>
      </w:r>
    </w:p>
    <w:p>
      <w:pPr>
        <w:spacing w:after="0" w:line="192"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Our management, with the participation and supervision of our chief executive officer and our principal financial and accounting officer, have evaluated the effectiveness of our disclosure controls and procedures (as defined in Rules 13a-15(e) and 15d-15(e) under the Exchange Act) as of the end of the period covered by this Annual Report on Form 10-K. Based on such evaluation, our chief executive officer and principal financial and accounting officer have concluded that as of such date, our disclosure controls and procedures were, in design and operation, effective at a reasonable assurance level.</w:t>
      </w:r>
    </w:p>
    <w:p>
      <w:pPr>
        <w:spacing w:after="0" w:line="31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1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as such term is defined in Exchange Act Rule 13a-15(f) and Rule 15d-15(f). Our management conducted an evaluation of the effectiveness of our internal control over financial reporting as of December 31, 2024 based on the criteria established in Internal Control - Integrated Framework (2013) issued by the Committee of Sponsoring Organizations of the Treadway Commission. As a result of that assessment, our management has concluded that our internal control over financial reporting was effective as of December 31, 2024.</w:t>
      </w:r>
    </w:p>
    <w:p>
      <w:pPr>
        <w:spacing w:after="0" w:line="7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Changes in Internal Control</w:t>
      </w:r>
    </w:p>
    <w:p>
      <w:pPr>
        <w:spacing w:after="0" w:line="11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There were no changes in our internal control over financial reporting identified in connection with the evaluation required by Rule 13a-15(d) and 15d-15(d) of the Exchange Act that occurred during the period covered by this Annual Report on Form 10-K that have materially affected, or are reasonably likely to materially affect, our internal control over financial reporting.</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Inherent Limitations on the Effectiveness of Controls</w:t>
      </w:r>
    </w:p>
    <w:p>
      <w:pPr>
        <w:spacing w:after="0" w:line="116"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142</w:t>
      </w:r>
    </w:p>
    <w:p>
      <w:pPr>
        <w:sectPr>
          <w:pgSz w:w="12240" w:h="15840" w:orient="portrait"/>
          <w:cols w:equalWidth="0" w:num="1">
            <w:col w:w="9360"/>
          </w:cols>
          <w:pgMar w:left="1440" w:top="1416" w:right="1440" w:bottom="186" w:gutter="0" w:footer="0" w:header="0"/>
          <w:type w:val="continuous"/>
        </w:sectPr>
      </w:pPr>
    </w:p>
    <w:bookmarkStart w:id="148" w:name="page149"/>
    <w:bookmarkEnd w:id="148"/>
    <w:p>
      <w:pPr>
        <w:spacing w:after="0"/>
        <w:rPr>
          <w:sz w:val="20"/>
          <w:szCs w:val="20"/>
          <w:color w:val="auto"/>
        </w:rPr>
      </w:pPr>
      <w:r>
        <w:rPr>
          <w:rFonts w:ascii="Arial" w:cs="Arial" w:eastAsia="Arial" w:hAnsi="Arial"/>
          <w:sz w:val="20"/>
          <w:szCs w:val="20"/>
          <w:b w:val="1"/>
          <w:bCs w:val="1"/>
          <w:color w:val="auto"/>
        </w:rPr>
        <w:t>Item 9B. Other Information.</w:t>
      </w:r>
    </w:p>
    <w:p>
      <w:pPr>
        <w:spacing w:after="0" w:line="12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During our last fiscal quarter, no director or officer, as defined in Rule 16a-1 (f) of the Exchange Act, adopted or terminated a “Rule 10b5-1 trading arrangement” or any “non-Rule 10b5-1 trading arrangement,” each as defined in Item 408 of Regulation S-K.</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ectPr>
          <w:pgSz w:w="12240" w:h="15840" w:orient="portrait"/>
          <w:cols w:equalWidth="0" w:num="1">
            <w:col w:w="9360"/>
          </w:cols>
          <w:pgMar w:left="1440" w:top="1416" w:right="1440" w:bottom="186"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2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20"/>
          <w:szCs w:val="20"/>
          <w:color w:val="auto"/>
        </w:rPr>
        <w:t>We maintain a Code of Business Conduct and Ethics that incorporates our code of business conduct and ethics applicable to all employees, including all directors and executive officers. Our Code of Business Conduct and Ethics is published on our Investors website at https://investors.athira.com/ under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7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20"/>
          <w:szCs w:val="20"/>
          <w:color w:val="auto"/>
        </w:rPr>
        <w:t>We have an Insider Trading Policy that governs the purchase, sale, and other dispositions of our securities by our directors, officers and employees, and the Company itself, that we believe are reasonably designed to promote compliance with insider trading laws, rules and regulations and the listing standards of Nasdaq. A copy of our Insider Trading Policy is filed with this Annual Report on Form 10-K as Exhibit 19.1.</w:t>
      </w:r>
    </w:p>
    <w:p>
      <w:pPr>
        <w:spacing w:after="0" w:line="72"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20"/>
          <w:szCs w:val="20"/>
          <w:color w:val="auto"/>
        </w:rPr>
        <w:t>The remaining information required by this Item 10 of Form 10-K will be included in our definitive proxy statement to be filed with the SEC within 120 days after the end of the fiscal year ended December 31, 2024 in connection with the solicitation of proxies for our 2025 Annual Meeting of Stockholders, or 2025 Proxy Statement, and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information required by this Item 11 of Form 10-K will be included in our 2025 Proxy Statement and is incorporated herein by reference.</w:t>
      </w:r>
    </w:p>
    <w:p>
      <w:pPr>
        <w:spacing w:after="0" w:line="276" w:lineRule="exact"/>
        <w:rPr>
          <w:sz w:val="20"/>
          <w:szCs w:val="20"/>
          <w:color w:val="auto"/>
        </w:rPr>
      </w:pPr>
    </w:p>
    <w:p>
      <w:pPr>
        <w:jc w:val="both"/>
        <w:spacing w:after="0" w:line="29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5" w:lineRule="exact"/>
        <w:rPr>
          <w:sz w:val="20"/>
          <w:szCs w:val="20"/>
          <w:color w:val="auto"/>
        </w:rPr>
      </w:pPr>
    </w:p>
    <w:p>
      <w:pPr>
        <w:jc w:val="both"/>
        <w:ind w:firstLine="490"/>
        <w:spacing w:after="0" w:line="310" w:lineRule="auto"/>
        <w:rPr>
          <w:sz w:val="20"/>
          <w:szCs w:val="20"/>
          <w:color w:val="auto"/>
        </w:rPr>
      </w:pPr>
      <w:r>
        <w:rPr>
          <w:rFonts w:ascii="Arial" w:cs="Arial" w:eastAsia="Arial" w:hAnsi="Arial"/>
          <w:sz w:val="19"/>
          <w:szCs w:val="19"/>
          <w:color w:val="auto"/>
        </w:rPr>
        <w:t>The information required by this Item 12 of Form 10-K, including with respect to our equity compensation plans, will be included in our 2025 Proxy Statement and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information required by this Item 13 of Form 10-K will be included in our 2025 Proxy Statement and is incorporated herein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24"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20"/>
          <w:szCs w:val="20"/>
          <w:color w:val="auto"/>
        </w:rPr>
        <w:t>The information required by this Item 14 of Form 10-K will be included in our 2025 Proxy Statement and is incorporated herein by reference.</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ectPr>
          <w:pgSz w:w="12240" w:h="15840" w:orient="portrait"/>
          <w:cols w:equalWidth="0" w:num="1">
            <w:col w:w="9360"/>
          </w:cols>
          <w:pgMar w:left="1440" w:top="1416" w:right="1440" w:bottom="186" w:gutter="0" w:footer="0" w:header="0"/>
          <w:type w:val="continuous"/>
        </w:sectPr>
      </w:pPr>
    </w:p>
    <w:bookmarkStart w:id="150" w:name="page151"/>
    <w:bookmarkEnd w:id="150"/>
    <w:p>
      <w:pPr>
        <w:ind w:left="4280"/>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124" w:lineRule="exact"/>
        <w:rPr>
          <w:sz w:val="20"/>
          <w:szCs w:val="20"/>
          <w:color w:val="auto"/>
        </w:rPr>
      </w:pPr>
    </w:p>
    <w:p>
      <w:pPr>
        <w:ind w:left="980" w:hanging="491"/>
        <w:spacing w:after="0"/>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List the following documents filed as a part of the report:</w:t>
      </w:r>
    </w:p>
    <w:p>
      <w:pPr>
        <w:spacing w:after="0" w:line="120" w:lineRule="exact"/>
        <w:rPr>
          <w:rFonts w:ascii="Arial" w:cs="Arial" w:eastAsia="Arial" w:hAnsi="Arial"/>
          <w:sz w:val="20"/>
          <w:szCs w:val="20"/>
          <w:color w:val="auto"/>
        </w:rPr>
      </w:pPr>
    </w:p>
    <w:p>
      <w:pPr>
        <w:ind w:left="1460" w:hanging="481"/>
        <w:spacing w:after="0"/>
        <w:tabs>
          <w:tab w:leader="none" w:pos="146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 financial statements;</w:t>
      </w:r>
    </w:p>
    <w:p>
      <w:pPr>
        <w:spacing w:after="0" w:line="12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See Index to Financial Statements in Part II, Item 8 of this Annual Report on Form 10-K.</w:t>
      </w:r>
    </w:p>
    <w:p>
      <w:pPr>
        <w:spacing w:after="0" w:line="120" w:lineRule="exact"/>
        <w:rPr>
          <w:sz w:val="20"/>
          <w:szCs w:val="20"/>
          <w:color w:val="auto"/>
        </w:rPr>
      </w:pPr>
    </w:p>
    <w:p>
      <w:pPr>
        <w:ind w:left="1460" w:hanging="481"/>
        <w:spacing w:after="0"/>
        <w:tabs>
          <w:tab w:leader="none" w:pos="14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Financial Statement Schedules</w:t>
      </w:r>
    </w:p>
    <w:p>
      <w:pPr>
        <w:spacing w:after="0" w:line="120" w:lineRule="exact"/>
        <w:rPr>
          <w:sz w:val="20"/>
          <w:szCs w:val="20"/>
          <w:color w:val="auto"/>
        </w:rPr>
      </w:pPr>
    </w:p>
    <w:p>
      <w:pPr>
        <w:jc w:val="both"/>
        <w:ind w:left="960" w:firstLine="490"/>
        <w:spacing w:after="0" w:line="254" w:lineRule="auto"/>
        <w:rPr>
          <w:sz w:val="20"/>
          <w:szCs w:val="20"/>
          <w:color w:val="auto"/>
        </w:rPr>
      </w:pPr>
      <w:r>
        <w:rPr>
          <w:rFonts w:ascii="Arial" w:cs="Arial" w:eastAsia="Arial" w:hAnsi="Arial"/>
          <w:sz w:val="20"/>
          <w:szCs w:val="20"/>
          <w:color w:val="auto"/>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spacing w:after="0" w:line="66" w:lineRule="exact"/>
        <w:rPr>
          <w:sz w:val="20"/>
          <w:szCs w:val="20"/>
          <w:color w:val="auto"/>
        </w:rPr>
      </w:pPr>
    </w:p>
    <w:p>
      <w:pPr>
        <w:ind w:left="1460" w:hanging="481"/>
        <w:spacing w:after="0"/>
        <w:tabs>
          <w:tab w:leader="none" w:pos="14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Exhibits</w:t>
      </w:r>
    </w:p>
    <w:p>
      <w:pPr>
        <w:spacing w:after="0" w:line="120" w:lineRule="exact"/>
        <w:rPr>
          <w:sz w:val="20"/>
          <w:szCs w:val="20"/>
          <w:color w:val="auto"/>
        </w:rPr>
      </w:pPr>
    </w:p>
    <w:p>
      <w:pPr>
        <w:ind w:left="960" w:firstLine="490"/>
        <w:spacing w:after="0" w:line="282" w:lineRule="auto"/>
        <w:rPr>
          <w:sz w:val="20"/>
          <w:szCs w:val="20"/>
          <w:color w:val="auto"/>
        </w:rPr>
      </w:pPr>
      <w:r>
        <w:rPr>
          <w:rFonts w:ascii="Arial" w:cs="Arial" w:eastAsia="Arial" w:hAnsi="Arial"/>
          <w:sz w:val="20"/>
          <w:szCs w:val="20"/>
          <w:color w:val="auto"/>
        </w:rPr>
        <w:t>The exhibits listed in the following Index to Exhibits are filed, furnished or incorporated by reference as part of this Annual Report on Form 10-K.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Exhibits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520" w:type="dxa"/>
            <w:vAlign w:val="bottom"/>
            <w:vMerge w:val="restart"/>
          </w:tcPr>
          <w:p>
            <w:pPr>
              <w:ind w:left="1820"/>
              <w:spacing w:after="0"/>
              <w:rPr>
                <w:sz w:val="20"/>
                <w:szCs w:val="20"/>
                <w:color w:val="auto"/>
              </w:rPr>
            </w:pPr>
            <w:r>
              <w:rPr>
                <w:rFonts w:ascii="Arial" w:cs="Arial" w:eastAsia="Arial" w:hAnsi="Arial"/>
                <w:sz w:val="16"/>
                <w:szCs w:val="16"/>
                <w:b w:val="1"/>
                <w:bCs w:val="1"/>
                <w:color w:val="auto"/>
              </w:rPr>
              <w:t>Description</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Form</w:t>
            </w:r>
          </w:p>
        </w:tc>
        <w:tc>
          <w:tcPr>
            <w:tcW w:w="110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File No.</w:t>
            </w:r>
          </w:p>
        </w:tc>
        <w:tc>
          <w:tcPr>
            <w:tcW w:w="6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Exhibit</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211"/>
        </w:trPr>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8"/>
                <w:szCs w:val="18"/>
                <w:color w:val="auto"/>
              </w:rPr>
            </w:pPr>
          </w:p>
        </w:tc>
        <w:tc>
          <w:tcPr>
            <w:tcW w:w="45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Amended and Restated Certificate of</w:t>
            </w:r>
          </w:p>
        </w:tc>
        <w:tc>
          <w:tcPr>
            <w:tcW w:w="780" w:type="dxa"/>
            <w:vAlign w:val="bottom"/>
          </w:tcPr>
          <w:p>
            <w:pPr>
              <w:jc w:val="center"/>
              <w:spacing w:after="0"/>
              <w:rPr>
                <w:sz w:val="20"/>
                <w:szCs w:val="20"/>
                <w:color w:val="auto"/>
              </w:rPr>
            </w:pPr>
            <w:r>
              <w:rPr>
                <w:rFonts w:ascii="Arial" w:cs="Arial" w:eastAsia="Arial" w:hAnsi="Arial"/>
                <w:sz w:val="20"/>
                <w:szCs w:val="20"/>
                <w:color w:val="auto"/>
                <w:w w:val="98"/>
              </w:rPr>
              <w:t>10-Q</w:t>
            </w: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620" w:type="dxa"/>
            <w:vAlign w:val="bottom"/>
          </w:tcPr>
          <w:p>
            <w:pPr>
              <w:jc w:val="center"/>
              <w:spacing w:after="0"/>
              <w:rPr>
                <w:sz w:val="20"/>
                <w:szCs w:val="20"/>
                <w:color w:val="auto"/>
              </w:rPr>
            </w:pPr>
            <w:r>
              <w:rPr>
                <w:rFonts w:ascii="Arial" w:cs="Arial" w:eastAsia="Arial" w:hAnsi="Arial"/>
                <w:sz w:val="20"/>
                <w:szCs w:val="20"/>
                <w:color w:val="auto"/>
              </w:rPr>
              <w:t>3.1</w:t>
            </w:r>
          </w:p>
        </w:tc>
        <w:tc>
          <w:tcPr>
            <w:tcW w:w="1420" w:type="dxa"/>
            <w:vAlign w:val="bottom"/>
          </w:tcPr>
          <w:p>
            <w:pPr>
              <w:jc w:val="center"/>
              <w:spacing w:after="0"/>
              <w:rPr>
                <w:sz w:val="20"/>
                <w:szCs w:val="20"/>
                <w:color w:val="auto"/>
              </w:rPr>
            </w:pPr>
            <w:r>
              <w:rPr>
                <w:rFonts w:ascii="Arial" w:cs="Arial" w:eastAsia="Arial" w:hAnsi="Arial"/>
                <w:sz w:val="20"/>
                <w:szCs w:val="20"/>
                <w:color w:val="auto"/>
              </w:rPr>
              <w:t>November 12,</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Incorporation of the Company</w:t>
            </w: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77"/>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Certificate of Amendment to the Amended and</w:t>
            </w:r>
          </w:p>
        </w:tc>
        <w:tc>
          <w:tcPr>
            <w:tcW w:w="780" w:type="dxa"/>
            <w:vAlign w:val="bottom"/>
          </w:tcPr>
          <w:p>
            <w:pPr>
              <w:jc w:val="center"/>
              <w:spacing w:after="0"/>
              <w:rPr>
                <w:sz w:val="20"/>
                <w:szCs w:val="20"/>
                <w:color w:val="auto"/>
              </w:rPr>
            </w:pPr>
            <w:r>
              <w:rPr>
                <w:rFonts w:ascii="Arial" w:cs="Arial" w:eastAsia="Arial" w:hAnsi="Arial"/>
                <w:sz w:val="20"/>
                <w:szCs w:val="20"/>
                <w:color w:val="auto"/>
              </w:rPr>
              <w:t>8-K</w:t>
            </w: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620" w:type="dxa"/>
            <w:vAlign w:val="bottom"/>
          </w:tcPr>
          <w:p>
            <w:pPr>
              <w:jc w:val="center"/>
              <w:spacing w:after="0"/>
              <w:rPr>
                <w:sz w:val="20"/>
                <w:szCs w:val="20"/>
                <w:color w:val="auto"/>
              </w:rPr>
            </w:pPr>
            <w:r>
              <w:rPr>
                <w:rFonts w:ascii="Arial" w:cs="Arial" w:eastAsia="Arial" w:hAnsi="Arial"/>
                <w:sz w:val="20"/>
                <w:szCs w:val="20"/>
                <w:color w:val="auto"/>
              </w:rPr>
              <w:t>3.1</w:t>
            </w:r>
          </w:p>
        </w:tc>
        <w:tc>
          <w:tcPr>
            <w:tcW w:w="1420" w:type="dxa"/>
            <w:vAlign w:val="bottom"/>
          </w:tcPr>
          <w:p>
            <w:pPr>
              <w:jc w:val="center"/>
              <w:spacing w:after="0"/>
              <w:rPr>
                <w:sz w:val="20"/>
                <w:szCs w:val="20"/>
                <w:color w:val="auto"/>
              </w:rPr>
            </w:pPr>
            <w:r>
              <w:rPr>
                <w:rFonts w:ascii="Arial" w:cs="Arial" w:eastAsia="Arial" w:hAnsi="Arial"/>
                <w:sz w:val="20"/>
                <w:szCs w:val="20"/>
                <w:color w:val="auto"/>
              </w:rPr>
              <w:t>May 29, 2024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Restated Certificate of Incorporation of the</w:t>
            </w: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Company dated May 23, 2024</w:t>
            </w: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7"/>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0"/>
                <w:szCs w:val="20"/>
                <w:color w:val="auto"/>
              </w:rPr>
              <w:t>8-K</w:t>
            </w: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620" w:type="dxa"/>
            <w:vAlign w:val="bottom"/>
          </w:tcPr>
          <w:p>
            <w:pPr>
              <w:jc w:val="center"/>
              <w:spacing w:after="0"/>
              <w:rPr>
                <w:sz w:val="20"/>
                <w:szCs w:val="20"/>
                <w:color w:val="auto"/>
              </w:rPr>
            </w:pPr>
            <w:r>
              <w:rPr>
                <w:rFonts w:ascii="Arial" w:cs="Arial" w:eastAsia="Arial" w:hAnsi="Arial"/>
                <w:sz w:val="20"/>
                <w:szCs w:val="20"/>
                <w:color w:val="auto"/>
              </w:rPr>
              <w:t>3.1</w:t>
            </w:r>
          </w:p>
        </w:tc>
        <w:tc>
          <w:tcPr>
            <w:tcW w:w="1420" w:type="dxa"/>
            <w:vAlign w:val="bottom"/>
          </w:tcPr>
          <w:p>
            <w:pPr>
              <w:jc w:val="center"/>
              <w:spacing w:after="0"/>
              <w:rPr>
                <w:sz w:val="20"/>
                <w:szCs w:val="20"/>
                <w:color w:val="auto"/>
              </w:rPr>
            </w:pPr>
            <w:r>
              <w:rPr>
                <w:rFonts w:ascii="Arial" w:cs="Arial" w:eastAsia="Arial" w:hAnsi="Arial"/>
                <w:sz w:val="20"/>
                <w:szCs w:val="20"/>
                <w:color w:val="auto"/>
              </w:rPr>
              <w:t>November 18,</w:t>
            </w:r>
          </w:p>
        </w:tc>
        <w:tc>
          <w:tcPr>
            <w:tcW w:w="0" w:type="dxa"/>
            <w:vAlign w:val="bottom"/>
          </w:tcPr>
          <w:p>
            <w:pPr>
              <w:spacing w:after="0"/>
              <w:rPr>
                <w:sz w:val="1"/>
                <w:szCs w:val="1"/>
                <w:color w:val="auto"/>
              </w:rPr>
            </w:pPr>
          </w:p>
        </w:tc>
      </w:tr>
      <w:tr>
        <w:trPr>
          <w:trHeight w:val="271"/>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Amended and Restated Bylaws of the Company</w:t>
            </w: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2022</w:t>
            </w:r>
          </w:p>
        </w:tc>
        <w:tc>
          <w:tcPr>
            <w:tcW w:w="0" w:type="dxa"/>
            <w:vAlign w:val="bottom"/>
          </w:tcPr>
          <w:p>
            <w:pPr>
              <w:spacing w:after="0"/>
              <w:rPr>
                <w:sz w:val="1"/>
                <w:szCs w:val="1"/>
                <w:color w:val="auto"/>
              </w:rPr>
            </w:pPr>
          </w:p>
        </w:tc>
      </w:tr>
      <w:tr>
        <w:trPr>
          <w:trHeight w:val="377"/>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Specimen Common Stock Certificate of the</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10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20" w:type="dxa"/>
            <w:vAlign w:val="bottom"/>
          </w:tcPr>
          <w:p>
            <w:pPr>
              <w:jc w:val="center"/>
              <w:spacing w:after="0"/>
              <w:rPr>
                <w:sz w:val="20"/>
                <w:szCs w:val="20"/>
                <w:color w:val="auto"/>
              </w:rPr>
            </w:pPr>
            <w:r>
              <w:rPr>
                <w:rFonts w:ascii="Arial" w:cs="Arial" w:eastAsia="Arial" w:hAnsi="Arial"/>
                <w:sz w:val="20"/>
                <w:szCs w:val="20"/>
                <w:color w:val="auto"/>
              </w:rPr>
              <w:t>4.1</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14,</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Registrant</w:t>
            </w:r>
          </w:p>
        </w:tc>
        <w:tc>
          <w:tcPr>
            <w:tcW w:w="7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418"/>
        </w:trPr>
        <w:tc>
          <w:tcPr>
            <w:tcW w:w="840" w:type="dxa"/>
            <w:vAlign w:val="bottom"/>
          </w:tcPr>
          <w:p>
            <w:pPr>
              <w:jc w:val="right"/>
              <w:ind w:right="303"/>
              <w:spacing w:after="0"/>
              <w:rPr>
                <w:sz w:val="20"/>
                <w:szCs w:val="20"/>
                <w:color w:val="auto"/>
              </w:rPr>
            </w:pPr>
            <w:r>
              <w:rPr>
                <w:rFonts w:ascii="Arial" w:cs="Arial" w:eastAsia="Arial" w:hAnsi="Arial"/>
                <w:sz w:val="20"/>
                <w:szCs w:val="20"/>
                <w:color w:val="auto"/>
              </w:rPr>
              <w:t>4.2</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Description of Capital Stock</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Form of Director and Executive Officer</w:t>
            </w:r>
          </w:p>
        </w:tc>
        <w:tc>
          <w:tcPr>
            <w:tcW w:w="780" w:type="dxa"/>
            <w:vAlign w:val="bottom"/>
          </w:tcPr>
          <w:p>
            <w:pPr>
              <w:jc w:val="center"/>
              <w:spacing w:after="0"/>
              <w:rPr>
                <w:sz w:val="20"/>
                <w:szCs w:val="20"/>
                <w:color w:val="auto"/>
              </w:rPr>
            </w:pPr>
            <w:r>
              <w:rPr>
                <w:rFonts w:ascii="Arial" w:cs="Arial" w:eastAsia="Arial" w:hAnsi="Arial"/>
                <w:sz w:val="20"/>
                <w:szCs w:val="20"/>
                <w:color w:val="auto"/>
              </w:rPr>
              <w:t>S-1</w:t>
            </w:r>
          </w:p>
        </w:tc>
        <w:tc>
          <w:tcPr>
            <w:tcW w:w="110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2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26,</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Indemnification Agreement</w:t>
            </w:r>
          </w:p>
        </w:tc>
        <w:tc>
          <w:tcPr>
            <w:tcW w:w="7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77"/>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2014 Equity Incentive Plan, as amended</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10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20" w:type="dxa"/>
            <w:vAlign w:val="bottom"/>
          </w:tcPr>
          <w:p>
            <w:pPr>
              <w:jc w:val="center"/>
              <w:spacing w:after="0"/>
              <w:rPr>
                <w:sz w:val="20"/>
                <w:szCs w:val="20"/>
                <w:color w:val="auto"/>
              </w:rPr>
            </w:pPr>
            <w:r>
              <w:rPr>
                <w:rFonts w:ascii="Arial" w:cs="Arial" w:eastAsia="Arial" w:hAnsi="Arial"/>
                <w:sz w:val="20"/>
                <w:szCs w:val="20"/>
                <w:color w:val="auto"/>
              </w:rPr>
              <w:t>10.2</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77"/>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2020 Equity Incentive Plan</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10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20" w:type="dxa"/>
            <w:vAlign w:val="bottom"/>
          </w:tcPr>
          <w:p>
            <w:pPr>
              <w:jc w:val="center"/>
              <w:spacing w:after="0"/>
              <w:rPr>
                <w:sz w:val="20"/>
                <w:szCs w:val="20"/>
                <w:color w:val="auto"/>
              </w:rPr>
            </w:pPr>
            <w:r>
              <w:rPr>
                <w:rFonts w:ascii="Arial" w:cs="Arial" w:eastAsia="Arial" w:hAnsi="Arial"/>
                <w:sz w:val="20"/>
                <w:szCs w:val="20"/>
                <w:color w:val="auto"/>
              </w:rPr>
              <w:t>10.5</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77"/>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10.4**</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Form of Stock Option Agreement under the 2020</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10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20" w:type="dxa"/>
            <w:vAlign w:val="bottom"/>
          </w:tcPr>
          <w:p>
            <w:pPr>
              <w:jc w:val="center"/>
              <w:spacing w:after="0"/>
              <w:rPr>
                <w:sz w:val="20"/>
                <w:szCs w:val="20"/>
                <w:color w:val="auto"/>
              </w:rPr>
            </w:pPr>
            <w:r>
              <w:rPr>
                <w:rFonts w:ascii="Arial" w:cs="Arial" w:eastAsia="Arial" w:hAnsi="Arial"/>
                <w:sz w:val="20"/>
                <w:szCs w:val="20"/>
                <w:color w:val="auto"/>
              </w:rPr>
              <w:t>10.6</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Equity Incentive Plan</w:t>
            </w:r>
          </w:p>
        </w:tc>
        <w:tc>
          <w:tcPr>
            <w:tcW w:w="7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77"/>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10.5**</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Form of Restricted Stock Award Agreement under</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10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20" w:type="dxa"/>
            <w:vAlign w:val="bottom"/>
          </w:tcPr>
          <w:p>
            <w:pPr>
              <w:jc w:val="center"/>
              <w:spacing w:after="0"/>
              <w:rPr>
                <w:sz w:val="20"/>
                <w:szCs w:val="20"/>
                <w:color w:val="auto"/>
              </w:rPr>
            </w:pPr>
            <w:r>
              <w:rPr>
                <w:rFonts w:ascii="Arial" w:cs="Arial" w:eastAsia="Arial" w:hAnsi="Arial"/>
                <w:sz w:val="20"/>
                <w:szCs w:val="20"/>
                <w:color w:val="auto"/>
              </w:rPr>
              <w:t>10.7</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the 2020 Equity Incentive Plan</w:t>
            </w:r>
          </w:p>
        </w:tc>
        <w:tc>
          <w:tcPr>
            <w:tcW w:w="7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r>
        <w:trPr>
          <w:trHeight w:val="377"/>
        </w:trPr>
        <w:tc>
          <w:tcPr>
            <w:tcW w:w="840" w:type="dxa"/>
            <w:vAlign w:val="bottom"/>
          </w:tcPr>
          <w:p>
            <w:pPr>
              <w:jc w:val="right"/>
              <w:ind w:right="143"/>
              <w:spacing w:after="0"/>
              <w:rPr>
                <w:sz w:val="20"/>
                <w:szCs w:val="20"/>
                <w:color w:val="auto"/>
              </w:rPr>
            </w:pPr>
            <w:r>
              <w:rPr>
                <w:rFonts w:ascii="Arial" w:cs="Arial" w:eastAsia="Arial" w:hAnsi="Arial"/>
                <w:sz w:val="20"/>
                <w:szCs w:val="20"/>
                <w:color w:val="auto"/>
              </w:rPr>
              <w:t>10.6**</w:t>
            </w:r>
          </w:p>
        </w:tc>
        <w:tc>
          <w:tcPr>
            <w:tcW w:w="8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Form of RSU Agreement under the 2020 Equity</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10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620" w:type="dxa"/>
            <w:vAlign w:val="bottom"/>
          </w:tcPr>
          <w:p>
            <w:pPr>
              <w:jc w:val="center"/>
              <w:spacing w:after="0"/>
              <w:rPr>
                <w:sz w:val="20"/>
                <w:szCs w:val="20"/>
                <w:color w:val="auto"/>
              </w:rPr>
            </w:pPr>
            <w:r>
              <w:rPr>
                <w:rFonts w:ascii="Arial" w:cs="Arial" w:eastAsia="Arial" w:hAnsi="Arial"/>
                <w:sz w:val="20"/>
                <w:szCs w:val="20"/>
                <w:color w:val="auto"/>
              </w:rPr>
              <w:t>10.8</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Incentive Plan</w:t>
            </w:r>
          </w:p>
        </w:tc>
        <w:tc>
          <w:tcPr>
            <w:tcW w:w="7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6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531495</wp:posOffset>
                </wp:positionH>
                <wp:positionV relativeFrom="paragraph">
                  <wp:posOffset>-4531360</wp:posOffset>
                </wp:positionV>
                <wp:extent cx="5778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 cy="4763"/>
                        </a:xfrm>
                        <a:prstGeom prst="line">
                          <a:avLst/>
                        </a:prstGeom>
                        <a:solidFill>
                          <a:srgbClr val="FFFFFF"/>
                        </a:solidFill>
                        <a:ln w="9525">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5pt,-356.7999pt" to="46.4pt,-356.7999pt" o:allowincell="f" strokecolor="#FFFFFF" strokeweight="0.75pt"/>
            </w:pict>
          </mc:Fallback>
        </mc:AlternateConten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ectPr>
          <w:pgSz w:w="12240" w:h="15840" w:orient="portrait"/>
          <w:cols w:equalWidth="0" w:num="1">
            <w:col w:w="9360"/>
          </w:cols>
          <w:pgMar w:left="1440" w:top="1416" w:right="1440" w:bottom="186" w:gutter="0" w:footer="0" w:header="0"/>
          <w:type w:val="continuous"/>
        </w:sectPr>
      </w:pPr>
    </w:p>
    <w:bookmarkStart w:id="151" w:name="page152"/>
    <w:bookmarkEnd w:id="151"/>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10.7**</w:t>
            </w:r>
          </w:p>
        </w:tc>
        <w:tc>
          <w:tcPr>
            <w:tcW w:w="4660" w:type="dxa"/>
            <w:vAlign w:val="bottom"/>
          </w:tcPr>
          <w:p>
            <w:pPr>
              <w:ind w:left="120"/>
              <w:spacing w:after="0"/>
              <w:rPr>
                <w:sz w:val="20"/>
                <w:szCs w:val="20"/>
                <w:color w:val="auto"/>
              </w:rPr>
            </w:pPr>
            <w:r>
              <w:rPr>
                <w:rFonts w:ascii="Arial" w:cs="Arial" w:eastAsia="Arial" w:hAnsi="Arial"/>
                <w:sz w:val="20"/>
                <w:szCs w:val="20"/>
                <w:color w:val="auto"/>
              </w:rPr>
              <w:t>2020 Employee Stock Purchase Plan, as</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10.8</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March 23, 2023</w:t>
            </w:r>
          </w:p>
        </w:tc>
      </w:tr>
      <w:tr>
        <w:trPr>
          <w:trHeight w:val="230"/>
        </w:trPr>
        <w:tc>
          <w:tcPr>
            <w:tcW w:w="76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amended and Form of Subscription Agreement</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Thereunder</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10.8</w:t>
            </w:r>
          </w:p>
        </w:tc>
        <w:tc>
          <w:tcPr>
            <w:tcW w:w="4660" w:type="dxa"/>
            <w:vAlign w:val="bottom"/>
          </w:tcPr>
          <w:p>
            <w:pPr>
              <w:ind w:left="120"/>
              <w:spacing w:after="0"/>
              <w:rPr>
                <w:sz w:val="20"/>
                <w:szCs w:val="20"/>
                <w:color w:val="auto"/>
              </w:rPr>
            </w:pPr>
            <w:r>
              <w:rPr>
                <w:rFonts w:ascii="Arial" w:cs="Arial" w:eastAsia="Arial" w:hAnsi="Arial"/>
                <w:sz w:val="20"/>
                <w:szCs w:val="20"/>
                <w:color w:val="auto"/>
              </w:rPr>
              <w:t>Lease agreement, dated July 20, 2020, by and</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w w:val="99"/>
              </w:rPr>
              <w:t>10.11</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30"/>
        </w:trPr>
        <w:tc>
          <w:tcPr>
            <w:tcW w:w="76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between the Registrant and North Creek Parkway</w:t>
            </w:r>
          </w:p>
        </w:tc>
        <w:tc>
          <w:tcPr>
            <w:tcW w:w="7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Center Investors, LP</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10.9**</w:t>
            </w:r>
          </w:p>
        </w:tc>
        <w:tc>
          <w:tcPr>
            <w:tcW w:w="4660" w:type="dxa"/>
            <w:vAlign w:val="bottom"/>
          </w:tcPr>
          <w:p>
            <w:pPr>
              <w:ind w:left="120"/>
              <w:spacing w:after="0"/>
              <w:rPr>
                <w:sz w:val="20"/>
                <w:szCs w:val="20"/>
                <w:color w:val="auto"/>
              </w:rPr>
            </w:pPr>
            <w:r>
              <w:rPr>
                <w:rFonts w:ascii="Arial" w:cs="Arial" w:eastAsia="Arial" w:hAnsi="Arial"/>
                <w:sz w:val="20"/>
                <w:szCs w:val="20"/>
                <w:color w:val="auto"/>
              </w:rPr>
              <w:t>Outside Director Compensation Policy, as</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2000" w:type="dxa"/>
            <w:vAlign w:val="bottom"/>
            <w:gridSpan w:val="2"/>
          </w:tcPr>
          <w:p>
            <w:pPr>
              <w:ind w:left="40"/>
              <w:spacing w:after="0"/>
              <w:rPr>
                <w:sz w:val="20"/>
                <w:szCs w:val="20"/>
                <w:color w:val="auto"/>
              </w:rPr>
            </w:pPr>
            <w:r>
              <w:rPr>
                <w:rFonts w:ascii="Arial" w:cs="Arial" w:eastAsia="Arial" w:hAnsi="Arial"/>
                <w:sz w:val="20"/>
                <w:szCs w:val="20"/>
                <w:color w:val="auto"/>
                <w:w w:val="99"/>
              </w:rPr>
              <w:t>10.10 March 23, 2023</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amended</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10.10**</w:t>
            </w:r>
          </w:p>
        </w:tc>
        <w:tc>
          <w:tcPr>
            <w:tcW w:w="4660" w:type="dxa"/>
            <w:vAlign w:val="bottom"/>
          </w:tcPr>
          <w:p>
            <w:pPr>
              <w:ind w:left="120"/>
              <w:spacing w:after="0"/>
              <w:rPr>
                <w:sz w:val="20"/>
                <w:szCs w:val="20"/>
                <w:color w:val="auto"/>
              </w:rPr>
            </w:pPr>
            <w:r>
              <w:rPr>
                <w:rFonts w:ascii="Arial" w:cs="Arial" w:eastAsia="Arial" w:hAnsi="Arial"/>
                <w:sz w:val="20"/>
                <w:szCs w:val="20"/>
                <w:color w:val="auto"/>
              </w:rPr>
              <w:t>Executive Incentive Compensation Plan</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w w:val="99"/>
              </w:rPr>
              <w:t>10.13</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71"/>
        </w:trPr>
        <w:tc>
          <w:tcPr>
            <w:tcW w:w="7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10.11**</w:t>
            </w:r>
          </w:p>
        </w:tc>
        <w:tc>
          <w:tcPr>
            <w:tcW w:w="4660" w:type="dxa"/>
            <w:vAlign w:val="bottom"/>
          </w:tcPr>
          <w:p>
            <w:pPr>
              <w:ind w:left="120"/>
              <w:spacing w:after="0"/>
              <w:rPr>
                <w:sz w:val="20"/>
                <w:szCs w:val="20"/>
                <w:color w:val="auto"/>
              </w:rPr>
            </w:pPr>
            <w:r>
              <w:rPr>
                <w:rFonts w:ascii="Arial" w:cs="Arial" w:eastAsia="Arial" w:hAnsi="Arial"/>
                <w:sz w:val="20"/>
                <w:szCs w:val="20"/>
                <w:color w:val="auto"/>
              </w:rPr>
              <w:t>Confirmatory Employment Letter between the</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w w:val="99"/>
              </w:rPr>
              <w:t>10.15</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Registrant and Mark Litton, Ph.D.</w:t>
            </w:r>
          </w:p>
        </w:tc>
        <w:tc>
          <w:tcPr>
            <w:tcW w:w="7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10.12**</w:t>
            </w:r>
          </w:p>
        </w:tc>
        <w:tc>
          <w:tcPr>
            <w:tcW w:w="4660" w:type="dxa"/>
            <w:vAlign w:val="bottom"/>
          </w:tcPr>
          <w:p>
            <w:pPr>
              <w:ind w:left="120"/>
              <w:spacing w:after="0"/>
              <w:rPr>
                <w:sz w:val="20"/>
                <w:szCs w:val="20"/>
                <w:color w:val="auto"/>
              </w:rPr>
            </w:pPr>
            <w:r>
              <w:rPr>
                <w:rFonts w:ascii="Arial" w:cs="Arial" w:eastAsia="Arial" w:hAnsi="Arial"/>
                <w:sz w:val="20"/>
                <w:szCs w:val="20"/>
                <w:color w:val="auto"/>
              </w:rPr>
              <w:t>Confirmatory Employment Letter between the</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S-1/A</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333-</w:t>
            </w:r>
          </w:p>
        </w:tc>
        <w:tc>
          <w:tcPr>
            <w:tcW w:w="580" w:type="dxa"/>
            <w:vAlign w:val="bottom"/>
          </w:tcPr>
          <w:p>
            <w:pPr>
              <w:jc w:val="center"/>
              <w:spacing w:after="0"/>
              <w:rPr>
                <w:sz w:val="20"/>
                <w:szCs w:val="20"/>
                <w:color w:val="auto"/>
              </w:rPr>
            </w:pPr>
            <w:r>
              <w:rPr>
                <w:rFonts w:ascii="Arial" w:cs="Arial" w:eastAsia="Arial" w:hAnsi="Arial"/>
                <w:sz w:val="20"/>
                <w:szCs w:val="20"/>
                <w:color w:val="auto"/>
                <w:w w:val="99"/>
              </w:rPr>
              <w:t>10.16</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9,</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Registrant and Kevin Church, Ph.D.</w:t>
            </w:r>
          </w:p>
        </w:tc>
        <w:tc>
          <w:tcPr>
            <w:tcW w:w="7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248428</w:t>
            </w:r>
          </w:p>
        </w:tc>
        <w:tc>
          <w:tcPr>
            <w:tcW w:w="5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2020</w:t>
            </w: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10.13**</w:t>
            </w:r>
          </w:p>
        </w:tc>
        <w:tc>
          <w:tcPr>
            <w:tcW w:w="4660" w:type="dxa"/>
            <w:vAlign w:val="bottom"/>
          </w:tcPr>
          <w:p>
            <w:pPr>
              <w:ind w:left="120"/>
              <w:spacing w:after="0"/>
              <w:rPr>
                <w:sz w:val="20"/>
                <w:szCs w:val="20"/>
                <w:color w:val="auto"/>
              </w:rPr>
            </w:pPr>
            <w:r>
              <w:rPr>
                <w:rFonts w:ascii="Arial" w:cs="Arial" w:eastAsia="Arial" w:hAnsi="Arial"/>
                <w:sz w:val="20"/>
                <w:szCs w:val="20"/>
                <w:color w:val="auto"/>
              </w:rPr>
              <w:t>Amended and Restated Change in Control and</w:t>
            </w:r>
          </w:p>
        </w:tc>
        <w:tc>
          <w:tcPr>
            <w:tcW w:w="780" w:type="dxa"/>
            <w:vAlign w:val="bottom"/>
          </w:tcPr>
          <w:p>
            <w:pPr>
              <w:jc w:val="center"/>
              <w:spacing w:after="0"/>
              <w:rPr>
                <w:sz w:val="20"/>
                <w:szCs w:val="20"/>
                <w:color w:val="auto"/>
              </w:rPr>
            </w:pPr>
            <w:r>
              <w:rPr>
                <w:rFonts w:ascii="Arial" w:cs="Arial" w:eastAsia="Arial" w:hAnsi="Arial"/>
                <w:sz w:val="20"/>
                <w:szCs w:val="20"/>
                <w:color w:val="auto"/>
              </w:rPr>
              <w:t>8-K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January 31,</w:t>
            </w:r>
          </w:p>
        </w:tc>
      </w:tr>
      <w:tr>
        <w:trPr>
          <w:trHeight w:val="230"/>
        </w:trPr>
        <w:tc>
          <w:tcPr>
            <w:tcW w:w="76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Severance Agreement between the Registrant and</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2022</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Mark Litton, Ph.D.</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10.14**</w:t>
            </w:r>
          </w:p>
        </w:tc>
        <w:tc>
          <w:tcPr>
            <w:tcW w:w="4660" w:type="dxa"/>
            <w:vAlign w:val="bottom"/>
          </w:tcPr>
          <w:p>
            <w:pPr>
              <w:ind w:left="120"/>
              <w:spacing w:after="0"/>
              <w:rPr>
                <w:sz w:val="20"/>
                <w:szCs w:val="20"/>
                <w:color w:val="auto"/>
              </w:rPr>
            </w:pPr>
            <w:r>
              <w:rPr>
                <w:rFonts w:ascii="Arial" w:cs="Arial" w:eastAsia="Arial" w:hAnsi="Arial"/>
                <w:sz w:val="20"/>
                <w:szCs w:val="20"/>
                <w:color w:val="auto"/>
              </w:rPr>
              <w:t>Employment Offer Letter between the Registrant</w:t>
            </w:r>
          </w:p>
        </w:tc>
        <w:tc>
          <w:tcPr>
            <w:tcW w:w="780" w:type="dxa"/>
            <w:vAlign w:val="bottom"/>
          </w:tcPr>
          <w:p>
            <w:pPr>
              <w:jc w:val="center"/>
              <w:spacing w:after="0"/>
              <w:rPr>
                <w:sz w:val="20"/>
                <w:szCs w:val="20"/>
                <w:color w:val="auto"/>
              </w:rPr>
            </w:pPr>
            <w:r>
              <w:rPr>
                <w:rFonts w:ascii="Arial" w:cs="Arial" w:eastAsia="Arial" w:hAnsi="Arial"/>
                <w:sz w:val="20"/>
                <w:szCs w:val="20"/>
                <w:color w:val="auto"/>
                <w:w w:val="98"/>
              </w:rPr>
              <w:t>10-Q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10.3</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and Mark Worthington</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2021</w:t>
            </w: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10.15**</w:t>
            </w:r>
          </w:p>
        </w:tc>
        <w:tc>
          <w:tcPr>
            <w:tcW w:w="4660" w:type="dxa"/>
            <w:vAlign w:val="bottom"/>
          </w:tcPr>
          <w:p>
            <w:pPr>
              <w:ind w:left="120"/>
              <w:spacing w:after="0"/>
              <w:rPr>
                <w:sz w:val="20"/>
                <w:szCs w:val="20"/>
                <w:color w:val="auto"/>
              </w:rPr>
            </w:pPr>
            <w:r>
              <w:rPr>
                <w:rFonts w:ascii="Arial" w:cs="Arial" w:eastAsia="Arial" w:hAnsi="Arial"/>
                <w:sz w:val="20"/>
                <w:szCs w:val="20"/>
                <w:color w:val="auto"/>
              </w:rPr>
              <w:t>Change in Control and Severance Agreement</w:t>
            </w:r>
          </w:p>
        </w:tc>
        <w:tc>
          <w:tcPr>
            <w:tcW w:w="780" w:type="dxa"/>
            <w:vAlign w:val="bottom"/>
          </w:tcPr>
          <w:p>
            <w:pPr>
              <w:jc w:val="center"/>
              <w:spacing w:after="0"/>
              <w:rPr>
                <w:sz w:val="20"/>
                <w:szCs w:val="20"/>
                <w:color w:val="auto"/>
              </w:rPr>
            </w:pPr>
            <w:r>
              <w:rPr>
                <w:rFonts w:ascii="Arial" w:cs="Arial" w:eastAsia="Arial" w:hAnsi="Arial"/>
                <w:sz w:val="20"/>
                <w:szCs w:val="20"/>
                <w:color w:val="auto"/>
                <w:w w:val="98"/>
              </w:rPr>
              <w:t>10-Q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10.4</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between the Registrant and Mark Worthington</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2021</w:t>
            </w: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10.16</w:t>
            </w:r>
          </w:p>
        </w:tc>
        <w:tc>
          <w:tcPr>
            <w:tcW w:w="4660" w:type="dxa"/>
            <w:vAlign w:val="bottom"/>
          </w:tcPr>
          <w:p>
            <w:pPr>
              <w:ind w:left="120"/>
              <w:spacing w:after="0"/>
              <w:rPr>
                <w:sz w:val="20"/>
                <w:szCs w:val="20"/>
                <w:color w:val="auto"/>
              </w:rPr>
            </w:pPr>
            <w:r>
              <w:rPr>
                <w:rFonts w:ascii="Arial" w:cs="Arial" w:eastAsia="Arial" w:hAnsi="Arial"/>
                <w:sz w:val="20"/>
                <w:szCs w:val="20"/>
                <w:color w:val="auto"/>
              </w:rPr>
              <w:t>First Amendment to Lease by and between the</w:t>
            </w:r>
          </w:p>
        </w:tc>
        <w:tc>
          <w:tcPr>
            <w:tcW w:w="780" w:type="dxa"/>
            <w:vAlign w:val="bottom"/>
          </w:tcPr>
          <w:p>
            <w:pPr>
              <w:jc w:val="center"/>
              <w:spacing w:after="0"/>
              <w:rPr>
                <w:sz w:val="20"/>
                <w:szCs w:val="20"/>
                <w:color w:val="auto"/>
              </w:rPr>
            </w:pPr>
            <w:r>
              <w:rPr>
                <w:rFonts w:ascii="Arial" w:cs="Arial" w:eastAsia="Arial" w:hAnsi="Arial"/>
                <w:sz w:val="20"/>
                <w:szCs w:val="20"/>
                <w:color w:val="auto"/>
                <w:w w:val="98"/>
              </w:rPr>
              <w:t>10-Q</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10.5</w:t>
            </w:r>
          </w:p>
        </w:tc>
        <w:tc>
          <w:tcPr>
            <w:tcW w:w="14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30"/>
        </w:trPr>
        <w:tc>
          <w:tcPr>
            <w:tcW w:w="76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Registrant and Nitrogen Propco 2020, L.P., as</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2021</w:t>
            </w:r>
          </w:p>
        </w:tc>
      </w:tr>
      <w:tr>
        <w:trPr>
          <w:trHeight w:val="230"/>
        </w:trPr>
        <w:tc>
          <w:tcPr>
            <w:tcW w:w="76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successor-in-interest to North Creek Parkway</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Center Investors, L.P., dated June 28, 2021</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10.17**</w:t>
            </w:r>
          </w:p>
        </w:tc>
        <w:tc>
          <w:tcPr>
            <w:tcW w:w="4660" w:type="dxa"/>
            <w:vAlign w:val="bottom"/>
          </w:tcPr>
          <w:p>
            <w:pPr>
              <w:ind w:left="120"/>
              <w:spacing w:after="0"/>
              <w:rPr>
                <w:sz w:val="20"/>
                <w:szCs w:val="20"/>
                <w:color w:val="auto"/>
              </w:rPr>
            </w:pPr>
            <w:r>
              <w:rPr>
                <w:rFonts w:ascii="Arial" w:cs="Arial" w:eastAsia="Arial" w:hAnsi="Arial"/>
                <w:sz w:val="20"/>
                <w:szCs w:val="20"/>
                <w:color w:val="auto"/>
              </w:rPr>
              <w:t>Change in Control and Severance Agreement</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2000" w:type="dxa"/>
            <w:vAlign w:val="bottom"/>
            <w:gridSpan w:val="2"/>
          </w:tcPr>
          <w:p>
            <w:pPr>
              <w:ind w:left="40"/>
              <w:spacing w:after="0"/>
              <w:rPr>
                <w:sz w:val="20"/>
                <w:szCs w:val="20"/>
                <w:color w:val="auto"/>
              </w:rPr>
            </w:pPr>
            <w:r>
              <w:rPr>
                <w:rFonts w:ascii="Arial" w:cs="Arial" w:eastAsia="Arial" w:hAnsi="Arial"/>
                <w:sz w:val="20"/>
                <w:szCs w:val="20"/>
                <w:color w:val="auto"/>
                <w:w w:val="99"/>
              </w:rPr>
              <w:t>10.28 March 28, 2022</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between the Registrant and Kevin Church</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10.18</w:t>
            </w:r>
          </w:p>
        </w:tc>
        <w:tc>
          <w:tcPr>
            <w:tcW w:w="4660" w:type="dxa"/>
            <w:vAlign w:val="bottom"/>
          </w:tcPr>
          <w:p>
            <w:pPr>
              <w:ind w:left="120"/>
              <w:spacing w:after="0"/>
              <w:rPr>
                <w:sz w:val="20"/>
                <w:szCs w:val="20"/>
                <w:color w:val="auto"/>
              </w:rPr>
            </w:pPr>
            <w:r>
              <w:rPr>
                <w:rFonts w:ascii="Arial" w:cs="Arial" w:eastAsia="Arial" w:hAnsi="Arial"/>
                <w:sz w:val="20"/>
                <w:szCs w:val="20"/>
                <w:color w:val="auto"/>
              </w:rPr>
              <w:t>Controlled Equity Offering Sales Agreement</w:t>
            </w:r>
            <w:r>
              <w:rPr>
                <w:rFonts w:ascii="Arial" w:cs="Arial" w:eastAsia="Arial" w:hAnsi="Arial"/>
                <w:sz w:val="26"/>
                <w:szCs w:val="26"/>
                <w:color w:val="auto"/>
                <w:vertAlign w:val="superscript"/>
              </w:rPr>
              <w:t>SM</w:t>
            </w:r>
            <w:r>
              <w:rPr>
                <w:rFonts w:ascii="Arial" w:cs="Arial" w:eastAsia="Arial" w:hAnsi="Arial"/>
                <w:sz w:val="20"/>
                <w:szCs w:val="20"/>
                <w:color w:val="auto"/>
              </w:rPr>
              <w:t>,</w:t>
            </w:r>
          </w:p>
        </w:tc>
        <w:tc>
          <w:tcPr>
            <w:tcW w:w="780" w:type="dxa"/>
            <w:vAlign w:val="bottom"/>
          </w:tcPr>
          <w:p>
            <w:pPr>
              <w:jc w:val="center"/>
              <w:spacing w:after="0"/>
              <w:rPr>
                <w:sz w:val="20"/>
                <w:szCs w:val="20"/>
                <w:color w:val="auto"/>
              </w:rPr>
            </w:pPr>
            <w:r>
              <w:rPr>
                <w:rFonts w:ascii="Arial" w:cs="Arial" w:eastAsia="Arial" w:hAnsi="Arial"/>
                <w:sz w:val="20"/>
                <w:szCs w:val="20"/>
                <w:color w:val="auto"/>
              </w:rPr>
              <w:t>8-K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rPr>
              <w:t>January 6,</w:t>
            </w:r>
          </w:p>
        </w:tc>
      </w:tr>
      <w:tr>
        <w:trPr>
          <w:trHeight w:val="230"/>
        </w:trPr>
        <w:tc>
          <w:tcPr>
            <w:tcW w:w="76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dated January 6, 2023, among the Registrant,</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2023</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Cantor Fitzgerald &amp; Co. and BTIG, LLC</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10.19**</w:t>
            </w:r>
          </w:p>
        </w:tc>
        <w:tc>
          <w:tcPr>
            <w:tcW w:w="4660" w:type="dxa"/>
            <w:vAlign w:val="bottom"/>
          </w:tcPr>
          <w:p>
            <w:pPr>
              <w:ind w:left="120"/>
              <w:spacing w:after="0"/>
              <w:rPr>
                <w:sz w:val="20"/>
                <w:szCs w:val="20"/>
                <w:color w:val="auto"/>
              </w:rPr>
            </w:pPr>
            <w:r>
              <w:rPr>
                <w:rFonts w:ascii="Arial" w:cs="Arial" w:eastAsia="Arial" w:hAnsi="Arial"/>
                <w:sz w:val="20"/>
                <w:szCs w:val="20"/>
                <w:color w:val="auto"/>
              </w:rPr>
              <w:t>2024 Inducement Equity Incentive Plan and</w:t>
            </w:r>
          </w:p>
        </w:tc>
        <w:tc>
          <w:tcPr>
            <w:tcW w:w="780" w:type="dxa"/>
            <w:vAlign w:val="bottom"/>
          </w:tcPr>
          <w:p>
            <w:pPr>
              <w:jc w:val="center"/>
              <w:spacing w:after="0"/>
              <w:rPr>
                <w:sz w:val="20"/>
                <w:szCs w:val="20"/>
                <w:color w:val="auto"/>
              </w:rPr>
            </w:pPr>
            <w:r>
              <w:rPr>
                <w:rFonts w:ascii="Arial" w:cs="Arial" w:eastAsia="Arial" w:hAnsi="Arial"/>
                <w:sz w:val="20"/>
                <w:szCs w:val="20"/>
                <w:color w:val="auto"/>
              </w:rPr>
              <w:t>8-K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rPr>
              <w:t>February 22,</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related form agreements</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2024</w:t>
            </w: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10.20**</w:t>
            </w:r>
          </w:p>
        </w:tc>
        <w:tc>
          <w:tcPr>
            <w:tcW w:w="4660" w:type="dxa"/>
            <w:vAlign w:val="bottom"/>
          </w:tcPr>
          <w:p>
            <w:pPr>
              <w:ind w:left="120"/>
              <w:spacing w:after="0"/>
              <w:rPr>
                <w:sz w:val="20"/>
                <w:szCs w:val="20"/>
                <w:color w:val="auto"/>
              </w:rPr>
            </w:pPr>
            <w:r>
              <w:rPr>
                <w:rFonts w:ascii="Arial" w:cs="Arial" w:eastAsia="Arial" w:hAnsi="Arial"/>
                <w:sz w:val="20"/>
                <w:szCs w:val="20"/>
                <w:color w:val="auto"/>
              </w:rPr>
              <w:t>Employment Offer Letter between the Registrant</w:t>
            </w:r>
          </w:p>
        </w:tc>
        <w:tc>
          <w:tcPr>
            <w:tcW w:w="780" w:type="dxa"/>
            <w:vAlign w:val="bottom"/>
          </w:tcPr>
          <w:p>
            <w:pPr>
              <w:jc w:val="center"/>
              <w:spacing w:after="0"/>
              <w:rPr>
                <w:sz w:val="20"/>
                <w:szCs w:val="20"/>
                <w:color w:val="auto"/>
              </w:rPr>
            </w:pPr>
            <w:r>
              <w:rPr>
                <w:rFonts w:ascii="Arial" w:cs="Arial" w:eastAsia="Arial" w:hAnsi="Arial"/>
                <w:sz w:val="20"/>
                <w:szCs w:val="20"/>
                <w:color w:val="auto"/>
              </w:rPr>
              <w:t>10-Q/A</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August 9, 2024</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and Javier San Martin</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10.21**</w:t>
            </w:r>
          </w:p>
        </w:tc>
        <w:tc>
          <w:tcPr>
            <w:tcW w:w="4660" w:type="dxa"/>
            <w:vAlign w:val="bottom"/>
          </w:tcPr>
          <w:p>
            <w:pPr>
              <w:ind w:left="120"/>
              <w:spacing w:after="0"/>
              <w:rPr>
                <w:sz w:val="20"/>
                <w:szCs w:val="20"/>
                <w:color w:val="auto"/>
              </w:rPr>
            </w:pPr>
            <w:r>
              <w:rPr>
                <w:rFonts w:ascii="Arial" w:cs="Arial" w:eastAsia="Arial" w:hAnsi="Arial"/>
                <w:sz w:val="20"/>
                <w:szCs w:val="20"/>
                <w:color w:val="auto"/>
              </w:rPr>
              <w:t>Change in Control and Severance Agreement</w:t>
            </w:r>
          </w:p>
        </w:tc>
        <w:tc>
          <w:tcPr>
            <w:tcW w:w="780" w:type="dxa"/>
            <w:vAlign w:val="bottom"/>
          </w:tcPr>
          <w:p>
            <w:pPr>
              <w:jc w:val="center"/>
              <w:spacing w:after="0"/>
              <w:rPr>
                <w:sz w:val="20"/>
                <w:szCs w:val="20"/>
                <w:color w:val="auto"/>
              </w:rPr>
            </w:pPr>
            <w:r>
              <w:rPr>
                <w:rFonts w:ascii="Arial" w:cs="Arial" w:eastAsia="Arial" w:hAnsi="Arial"/>
                <w:sz w:val="20"/>
                <w:szCs w:val="20"/>
                <w:color w:val="auto"/>
              </w:rPr>
              <w:t>10-Q/A</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10.2</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August 9, 2024</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between the Registrant and Javier San Martin</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10.22**</w:t>
            </w:r>
          </w:p>
        </w:tc>
        <w:tc>
          <w:tcPr>
            <w:tcW w:w="4660" w:type="dxa"/>
            <w:vAlign w:val="bottom"/>
          </w:tcPr>
          <w:p>
            <w:pPr>
              <w:ind w:left="120"/>
              <w:spacing w:after="0"/>
              <w:rPr>
                <w:sz w:val="20"/>
                <w:szCs w:val="20"/>
                <w:color w:val="auto"/>
              </w:rPr>
            </w:pPr>
            <w:r>
              <w:rPr>
                <w:rFonts w:ascii="Arial" w:cs="Arial" w:eastAsia="Arial" w:hAnsi="Arial"/>
                <w:sz w:val="20"/>
                <w:szCs w:val="20"/>
                <w:color w:val="auto"/>
              </w:rPr>
              <w:t>Employment Offer Letter between the Company</w:t>
            </w:r>
          </w:p>
        </w:tc>
        <w:tc>
          <w:tcPr>
            <w:tcW w:w="780" w:type="dxa"/>
            <w:vAlign w:val="bottom"/>
          </w:tcPr>
          <w:p>
            <w:pPr>
              <w:jc w:val="center"/>
              <w:spacing w:after="0"/>
              <w:rPr>
                <w:sz w:val="20"/>
                <w:szCs w:val="20"/>
                <w:color w:val="auto"/>
              </w:rPr>
            </w:pPr>
            <w:r>
              <w:rPr>
                <w:rFonts w:ascii="Arial" w:cs="Arial" w:eastAsia="Arial" w:hAnsi="Arial"/>
                <w:sz w:val="20"/>
                <w:szCs w:val="20"/>
                <w:color w:val="auto"/>
              </w:rPr>
              <w:t>8-K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17,</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and Robert Renninger</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2024</w:t>
            </w: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10.23**</w:t>
            </w:r>
          </w:p>
        </w:tc>
        <w:tc>
          <w:tcPr>
            <w:tcW w:w="4660" w:type="dxa"/>
            <w:vAlign w:val="bottom"/>
          </w:tcPr>
          <w:p>
            <w:pPr>
              <w:ind w:left="120"/>
              <w:spacing w:after="0"/>
              <w:rPr>
                <w:sz w:val="20"/>
                <w:szCs w:val="20"/>
                <w:color w:val="auto"/>
              </w:rPr>
            </w:pPr>
            <w:r>
              <w:rPr>
                <w:rFonts w:ascii="Arial" w:cs="Arial" w:eastAsia="Arial" w:hAnsi="Arial"/>
                <w:sz w:val="20"/>
                <w:szCs w:val="20"/>
                <w:color w:val="auto"/>
              </w:rPr>
              <w:t>Change in Control Agreement between the</w:t>
            </w:r>
          </w:p>
        </w:tc>
        <w:tc>
          <w:tcPr>
            <w:tcW w:w="780" w:type="dxa"/>
            <w:vAlign w:val="bottom"/>
          </w:tcPr>
          <w:p>
            <w:pPr>
              <w:jc w:val="center"/>
              <w:spacing w:after="0"/>
              <w:rPr>
                <w:sz w:val="20"/>
                <w:szCs w:val="20"/>
                <w:color w:val="auto"/>
              </w:rPr>
            </w:pPr>
            <w:r>
              <w:rPr>
                <w:rFonts w:ascii="Arial" w:cs="Arial" w:eastAsia="Arial" w:hAnsi="Arial"/>
                <w:sz w:val="20"/>
                <w:szCs w:val="20"/>
                <w:color w:val="auto"/>
              </w:rPr>
              <w:t>8-K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10.2</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September 17,</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Company and Robert Renninger</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2024</w:t>
            </w:r>
          </w:p>
        </w:tc>
      </w:tr>
      <w:tr>
        <w:trPr>
          <w:trHeight w:val="377"/>
        </w:trPr>
        <w:tc>
          <w:tcPr>
            <w:tcW w:w="760" w:type="dxa"/>
            <w:vAlign w:val="bottom"/>
          </w:tcPr>
          <w:p>
            <w:pPr>
              <w:spacing w:after="0"/>
              <w:rPr>
                <w:sz w:val="20"/>
                <w:szCs w:val="20"/>
                <w:color w:val="auto"/>
              </w:rPr>
            </w:pPr>
            <w:r>
              <w:rPr>
                <w:rFonts w:ascii="Arial" w:cs="Arial" w:eastAsia="Arial" w:hAnsi="Arial"/>
                <w:sz w:val="20"/>
                <w:szCs w:val="20"/>
                <w:color w:val="auto"/>
              </w:rPr>
              <w:t>10.24**</w:t>
            </w:r>
          </w:p>
        </w:tc>
        <w:tc>
          <w:tcPr>
            <w:tcW w:w="4660" w:type="dxa"/>
            <w:vAlign w:val="bottom"/>
          </w:tcPr>
          <w:p>
            <w:pPr>
              <w:ind w:left="120"/>
              <w:spacing w:after="0"/>
              <w:rPr>
                <w:sz w:val="20"/>
                <w:szCs w:val="20"/>
                <w:color w:val="auto"/>
              </w:rPr>
            </w:pPr>
            <w:r>
              <w:rPr>
                <w:rFonts w:ascii="Arial" w:cs="Arial" w:eastAsia="Arial" w:hAnsi="Arial"/>
                <w:sz w:val="20"/>
                <w:szCs w:val="20"/>
                <w:color w:val="auto"/>
              </w:rPr>
              <w:t>Employment Offer Letter between the Registrant</w:t>
            </w:r>
          </w:p>
        </w:tc>
        <w:tc>
          <w:tcPr>
            <w:tcW w:w="780" w:type="dxa"/>
            <w:vAlign w:val="bottom"/>
          </w:tcPr>
          <w:p>
            <w:pPr>
              <w:jc w:val="center"/>
              <w:spacing w:after="0"/>
              <w:rPr>
                <w:sz w:val="20"/>
                <w:szCs w:val="20"/>
                <w:color w:val="auto"/>
              </w:rPr>
            </w:pPr>
            <w:r>
              <w:rPr>
                <w:rFonts w:ascii="Arial" w:cs="Arial" w:eastAsia="Arial" w:hAnsi="Arial"/>
                <w:sz w:val="20"/>
                <w:szCs w:val="20"/>
                <w:color w:val="auto"/>
              </w:rPr>
              <w:t>8-K</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001-39503</w:t>
            </w:r>
          </w:p>
        </w:tc>
        <w:tc>
          <w:tcPr>
            <w:tcW w:w="580" w:type="dxa"/>
            <w:vAlign w:val="bottom"/>
          </w:tcPr>
          <w:p>
            <w:pPr>
              <w:jc w:val="center"/>
              <w:spacing w:after="0"/>
              <w:rPr>
                <w:sz w:val="20"/>
                <w:szCs w:val="20"/>
                <w:color w:val="auto"/>
              </w:rPr>
            </w:pPr>
            <w:r>
              <w:rPr>
                <w:rFonts w:ascii="Arial" w:cs="Arial" w:eastAsia="Arial" w:hAnsi="Arial"/>
                <w:sz w:val="20"/>
                <w:szCs w:val="20"/>
                <w:color w:val="auto"/>
              </w:rPr>
              <w:t>10.1</w:t>
            </w:r>
          </w:p>
        </w:tc>
        <w:tc>
          <w:tcPr>
            <w:tcW w:w="1420" w:type="dxa"/>
            <w:vAlign w:val="bottom"/>
          </w:tcPr>
          <w:p>
            <w:pPr>
              <w:jc w:val="center"/>
              <w:spacing w:after="0"/>
              <w:rPr>
                <w:sz w:val="20"/>
                <w:szCs w:val="20"/>
                <w:color w:val="auto"/>
              </w:rPr>
            </w:pPr>
            <w:r>
              <w:rPr>
                <w:rFonts w:ascii="Arial" w:cs="Arial" w:eastAsia="Arial" w:hAnsi="Arial"/>
                <w:sz w:val="20"/>
                <w:szCs w:val="20"/>
                <w:color w:val="auto"/>
              </w:rPr>
              <w:t>May 22, 2023</w:t>
            </w:r>
          </w:p>
        </w:tc>
      </w:tr>
      <w:tr>
        <w:trPr>
          <w:trHeight w:val="271"/>
        </w:trPr>
        <w:tc>
          <w:tcPr>
            <w:tcW w:w="760" w:type="dxa"/>
            <w:vAlign w:val="bottom"/>
          </w:tcPr>
          <w:p>
            <w:pPr>
              <w:spacing w:after="0"/>
              <w:rPr>
                <w:sz w:val="23"/>
                <w:szCs w:val="23"/>
                <w:color w:val="auto"/>
              </w:rPr>
            </w:pPr>
          </w:p>
        </w:tc>
        <w:tc>
          <w:tcPr>
            <w:tcW w:w="4660" w:type="dxa"/>
            <w:vAlign w:val="bottom"/>
          </w:tcPr>
          <w:p>
            <w:pPr>
              <w:ind w:left="120"/>
              <w:spacing w:after="0"/>
              <w:rPr>
                <w:sz w:val="20"/>
                <w:szCs w:val="20"/>
                <w:color w:val="auto"/>
              </w:rPr>
            </w:pPr>
            <w:r>
              <w:rPr>
                <w:rFonts w:ascii="Arial" w:cs="Arial" w:eastAsia="Arial" w:hAnsi="Arial"/>
                <w:sz w:val="20"/>
                <w:szCs w:val="20"/>
                <w:color w:val="auto"/>
              </w:rPr>
              <w:t>and Andrew Gengos</w:t>
            </w: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186"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2240" w:h="15840" w:orient="portrait"/>
          <w:cols w:equalWidth="0" w:num="1">
            <w:col w:w="9360"/>
          </w:cols>
          <w:pgMar w:left="1440" w:top="1440" w:right="1440" w:bottom="186" w:gutter="0" w:footer="0" w:header="0"/>
          <w:type w:val="continuous"/>
        </w:sectPr>
      </w:pPr>
    </w:p>
    <w:bookmarkStart w:id="152" w:name="page153"/>
    <w:bookmarkEnd w:id="152"/>
    <w:p>
      <w:pPr>
        <w:spacing w:after="0" w:line="164" w:lineRule="exact"/>
        <w:rPr>
          <w:sz w:val="20"/>
          <w:szCs w:val="20"/>
          <w:color w:val="auto"/>
        </w:rPr>
      </w:pPr>
    </w:p>
    <w:p>
      <w:pPr>
        <w:ind w:left="940" w:right="420" w:hanging="872"/>
        <w:spacing w:after="0" w:line="310" w:lineRule="auto"/>
        <w:tabs>
          <w:tab w:leader="none" w:pos="92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19"/>
          <w:szCs w:val="19"/>
          <w:color w:val="auto"/>
        </w:rPr>
        <w:t>Change in Control and Severance Agreement between the Registrant and Andrew Gengos</w:t>
      </w:r>
    </w:p>
    <w:p>
      <w:pPr>
        <w:spacing w:after="0" w:line="84" w:lineRule="exact"/>
        <w:rPr>
          <w:sz w:val="20"/>
          <w:szCs w:val="20"/>
          <w:color w:val="auto"/>
        </w:rPr>
      </w:pPr>
    </w:p>
    <w:p>
      <w:pPr>
        <w:ind w:left="940" w:right="320" w:hanging="872"/>
        <w:spacing w:after="0" w:line="261" w:lineRule="auto"/>
        <w:tabs>
          <w:tab w:leader="none" w:pos="920" w:val="left"/>
        </w:tabs>
        <w:rPr>
          <w:sz w:val="20"/>
          <w:szCs w:val="20"/>
          <w:color w:val="auto"/>
        </w:rPr>
      </w:pPr>
      <w:r>
        <w:rPr>
          <w:rFonts w:ascii="Arial" w:cs="Arial" w:eastAsia="Arial" w:hAnsi="Arial"/>
          <w:sz w:val="20"/>
          <w:szCs w:val="20"/>
          <w:color w:val="auto"/>
        </w:rPr>
        <w:t>10.26**</w:t>
        <w:tab/>
        <w:t>Separation Agreement and Release between Andrew Gengos and Athira Pharma, Inc. dated October 3, 2024</w:t>
      </w:r>
    </w:p>
    <w:p>
      <w:pPr>
        <w:spacing w:after="0" w:line="128" w:lineRule="exact"/>
        <w:rPr>
          <w:sz w:val="20"/>
          <w:szCs w:val="20"/>
          <w:color w:val="auto"/>
        </w:rPr>
      </w:pPr>
    </w:p>
    <w:p>
      <w:pPr>
        <w:ind w:left="940" w:right="180" w:hanging="872"/>
        <w:spacing w:after="0" w:line="282" w:lineRule="auto"/>
        <w:tabs>
          <w:tab w:leader="none" w:pos="920" w:val="left"/>
        </w:tabs>
        <w:rPr>
          <w:sz w:val="20"/>
          <w:szCs w:val="20"/>
          <w:color w:val="auto"/>
        </w:rPr>
      </w:pPr>
      <w:r>
        <w:rPr>
          <w:rFonts w:ascii="Arial" w:cs="Arial" w:eastAsia="Arial" w:hAnsi="Arial"/>
          <w:sz w:val="20"/>
          <w:szCs w:val="20"/>
          <w:color w:val="auto"/>
        </w:rPr>
        <w:t>10.27**</w:t>
        <w:tab/>
        <w:t>Employment Offer Letter between the Registrant and Rachel Lenington</w:t>
      </w:r>
    </w:p>
    <w:p>
      <w:pPr>
        <w:spacing w:after="0" w:line="107" w:lineRule="exact"/>
        <w:rPr>
          <w:sz w:val="20"/>
          <w:szCs w:val="20"/>
          <w:color w:val="auto"/>
        </w:rPr>
      </w:pPr>
    </w:p>
    <w:p>
      <w:pPr>
        <w:jc w:val="right"/>
        <w:ind w:left="60" w:right="400"/>
        <w:spacing w:after="0" w:line="282" w:lineRule="auto"/>
        <w:rPr>
          <w:sz w:val="20"/>
          <w:szCs w:val="20"/>
          <w:color w:val="auto"/>
        </w:rPr>
      </w:pPr>
      <w:r>
        <w:rPr>
          <w:rFonts w:ascii="Arial" w:cs="Arial" w:eastAsia="Arial" w:hAnsi="Arial"/>
          <w:sz w:val="20"/>
          <w:szCs w:val="20"/>
          <w:color w:val="auto"/>
        </w:rPr>
        <w:t>10.28**  Change in Control and Severance Agreement between the Registrant and Rachel Lenington</w:t>
      </w:r>
    </w:p>
    <w:p>
      <w:pPr>
        <w:spacing w:after="0" w:line="107" w:lineRule="exact"/>
        <w:rPr>
          <w:sz w:val="20"/>
          <w:szCs w:val="20"/>
          <w:color w:val="auto"/>
        </w:rPr>
      </w:pPr>
    </w:p>
    <w:p>
      <w:pPr>
        <w:ind w:left="940" w:right="200" w:hanging="872"/>
        <w:spacing w:after="0" w:line="261" w:lineRule="auto"/>
        <w:tabs>
          <w:tab w:leader="none" w:pos="920" w:val="left"/>
        </w:tabs>
        <w:rPr>
          <w:sz w:val="20"/>
          <w:szCs w:val="20"/>
          <w:color w:val="auto"/>
        </w:rPr>
      </w:pPr>
      <w:r>
        <w:rPr>
          <w:rFonts w:ascii="Arial" w:cs="Arial" w:eastAsia="Arial" w:hAnsi="Arial"/>
          <w:sz w:val="20"/>
          <w:szCs w:val="20"/>
          <w:color w:val="auto"/>
        </w:rPr>
        <w:t>10.29**</w:t>
        <w:tab/>
        <w:t>Separation Agreement and Release between Rachel Lenington and Athira Pharma, Inc. dated October 1, 2024</w:t>
      </w:r>
    </w:p>
    <w:p>
      <w:pPr>
        <w:spacing w:after="0" w:line="128" w:lineRule="exact"/>
        <w:rPr>
          <w:sz w:val="20"/>
          <w:szCs w:val="20"/>
          <w:color w:val="auto"/>
        </w:rPr>
      </w:pPr>
    </w:p>
    <w:p>
      <w:pPr>
        <w:ind w:left="940" w:hanging="879"/>
        <w:spacing w:after="0"/>
        <w:tabs>
          <w:tab w:leader="none" w:pos="9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Insider Trading Policy, as amended</w:t>
      </w:r>
    </w:p>
    <w:p>
      <w:pPr>
        <w:spacing w:after="0" w:line="187" w:lineRule="exact"/>
        <w:rPr>
          <w:rFonts w:ascii="Arial" w:cs="Arial" w:eastAsia="Arial" w:hAnsi="Arial"/>
          <w:sz w:val="20"/>
          <w:szCs w:val="20"/>
          <w:color w:val="auto"/>
        </w:rPr>
      </w:pPr>
    </w:p>
    <w:p>
      <w:pPr>
        <w:ind w:left="60"/>
        <w:spacing w:after="0"/>
        <w:rPr>
          <w:rFonts w:ascii="Arial" w:cs="Arial" w:eastAsia="Arial" w:hAnsi="Arial"/>
          <w:sz w:val="20"/>
          <w:szCs w:val="20"/>
          <w:color w:val="auto"/>
        </w:rPr>
      </w:pPr>
      <w:r>
        <w:rPr>
          <w:rFonts w:ascii="Arial" w:cs="Arial" w:eastAsia="Arial" w:hAnsi="Arial"/>
          <w:sz w:val="20"/>
          <w:szCs w:val="20"/>
          <w:color w:val="auto"/>
        </w:rPr>
        <w:t>21.1</w:t>
      </w:r>
      <w:r>
        <w:rPr>
          <w:rFonts w:ascii="Arial" w:cs="Arial" w:eastAsia="Arial" w:hAnsi="Arial"/>
          <w:sz w:val="19"/>
          <w:szCs w:val="19"/>
          <w:color w:val="auto"/>
        </w:rPr>
        <w:t>List of Subsidiaries of the Registrant</w:t>
      </w:r>
    </w:p>
    <w:p>
      <w:pPr>
        <w:spacing w:after="0" w:line="200" w:lineRule="exact"/>
        <w:rPr>
          <w:sz w:val="20"/>
          <w:szCs w:val="20"/>
          <w:color w:val="auto"/>
        </w:rPr>
      </w:pPr>
    </w:p>
    <w:p>
      <w:pPr>
        <w:spacing w:after="0" w:line="218" w:lineRule="exact"/>
        <w:rPr>
          <w:sz w:val="20"/>
          <w:szCs w:val="20"/>
          <w:color w:val="auto"/>
        </w:rPr>
      </w:pPr>
    </w:p>
    <w:p>
      <w:pPr>
        <w:ind w:left="940" w:right="700" w:hanging="872"/>
        <w:spacing w:after="0" w:line="282" w:lineRule="auto"/>
        <w:tabs>
          <w:tab w:leader="none" w:pos="92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20"/>
          <w:szCs w:val="20"/>
          <w:color w:val="auto"/>
        </w:rPr>
        <w:t>Consent of Independent Registered Public Accounting Firm</w:t>
      </w:r>
    </w:p>
    <w:p>
      <w:pPr>
        <w:spacing w:after="0" w:line="107" w:lineRule="exact"/>
        <w:rPr>
          <w:sz w:val="20"/>
          <w:szCs w:val="20"/>
          <w:color w:val="auto"/>
        </w:rPr>
      </w:pPr>
    </w:p>
    <w:p>
      <w:pPr>
        <w:ind w:left="940" w:right="320" w:hanging="872"/>
        <w:spacing w:after="0" w:line="282" w:lineRule="auto"/>
        <w:tabs>
          <w:tab w:leader="none" w:pos="92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20"/>
          <w:szCs w:val="20"/>
          <w:color w:val="auto"/>
        </w:rPr>
        <w:t>Power of Attorney (included in signature pages hereto)</w:t>
      </w:r>
    </w:p>
    <w:p>
      <w:pPr>
        <w:spacing w:after="0" w:line="107" w:lineRule="exact"/>
        <w:rPr>
          <w:sz w:val="20"/>
          <w:szCs w:val="20"/>
          <w:color w:val="auto"/>
        </w:rPr>
      </w:pPr>
    </w:p>
    <w:p>
      <w:pPr>
        <w:ind w:left="940" w:right="80" w:hanging="872"/>
        <w:spacing w:after="0" w:line="250" w:lineRule="auto"/>
        <w:tabs>
          <w:tab w:leader="none" w:pos="92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color w:val="auto"/>
        </w:rPr>
        <w:t>Certification of Principal Executive Officer Pursuant to Rules 13a-14(a) and 15d-14(a) under the Securities Exchange Act of 1934, as Adopted Pursuant to Section 302 of the Sarbanes-Oxley Act of 2002</w:t>
      </w:r>
    </w:p>
    <w:p>
      <w:pPr>
        <w:spacing w:after="0" w:line="140" w:lineRule="exact"/>
        <w:rPr>
          <w:sz w:val="20"/>
          <w:szCs w:val="20"/>
          <w:color w:val="auto"/>
        </w:rPr>
      </w:pPr>
    </w:p>
    <w:p>
      <w:pPr>
        <w:ind w:left="940" w:hanging="872"/>
        <w:spacing w:after="0" w:line="250" w:lineRule="auto"/>
        <w:tabs>
          <w:tab w:leader="none" w:pos="92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color w:val="auto"/>
        </w:rPr>
        <w:t>Certification of Principal Accounting and Financial Officer Pursuant to Rules 13a-14(a) and 15d-14(a) under the Securities Exchange Act of 1934, as Adopted Pursuant to Section 302 of the Sarbanes-Oxley Act of 2002</w:t>
      </w:r>
    </w:p>
    <w:p>
      <w:pPr>
        <w:spacing w:after="0" w:line="140" w:lineRule="exact"/>
        <w:rPr>
          <w:sz w:val="20"/>
          <w:szCs w:val="20"/>
          <w:color w:val="auto"/>
        </w:rPr>
      </w:pPr>
    </w:p>
    <w:p>
      <w:pPr>
        <w:ind w:left="940" w:right="180" w:hanging="872"/>
        <w:spacing w:after="0" w:line="254" w:lineRule="auto"/>
        <w:tabs>
          <w:tab w:leader="none" w:pos="92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20"/>
          <w:szCs w:val="20"/>
          <w:color w:val="auto"/>
        </w:rPr>
        <w:t>Certification of Principal Executive Officer Pursuant to 18 U.S.C. Section 1350, as Adopted Pursuant to Section 906 of the Sarbanes-Oxley Act of 2002</w:t>
      </w:r>
    </w:p>
    <w:p>
      <w:pPr>
        <w:spacing w:after="0" w:line="134" w:lineRule="exact"/>
        <w:rPr>
          <w:sz w:val="20"/>
          <w:szCs w:val="20"/>
          <w:color w:val="auto"/>
        </w:rPr>
      </w:pPr>
    </w:p>
    <w:p>
      <w:pPr>
        <w:ind w:left="940" w:hanging="872"/>
        <w:spacing w:after="0" w:line="254" w:lineRule="auto"/>
        <w:tabs>
          <w:tab w:leader="none" w:pos="92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color w:val="auto"/>
        </w:rPr>
        <w:t>Certification of Principal Accounting and Financial Officer Pursuant to 18 U.S.C. Section 1350, as Adopted Pursuant to Section 906 of the Sarbanes-Oxley Act of 2002</w:t>
      </w:r>
    </w:p>
    <w:p>
      <w:pPr>
        <w:spacing w:after="0" w:line="134" w:lineRule="exact"/>
        <w:rPr>
          <w:sz w:val="20"/>
          <w:szCs w:val="20"/>
          <w:color w:val="auto"/>
        </w:rPr>
      </w:pPr>
    </w:p>
    <w:p>
      <w:pPr>
        <w:ind w:left="940" w:right="120" w:hanging="935"/>
        <w:spacing w:after="0" w:line="282" w:lineRule="auto"/>
        <w:tabs>
          <w:tab w:leader="none" w:pos="9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Amended and Restated Compensation Recovery Policy</w:t>
      </w:r>
    </w:p>
    <w:p>
      <w:pPr>
        <w:spacing w:after="0" w:line="107"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101.INS</w:t>
      </w:r>
      <w:r>
        <w:rPr>
          <w:sz w:val="20"/>
          <w:szCs w:val="20"/>
          <w:color w:val="auto"/>
        </w:rPr>
        <w:tab/>
      </w:r>
      <w:r>
        <w:rPr>
          <w:rFonts w:ascii="Arial" w:cs="Arial" w:eastAsia="Arial" w:hAnsi="Arial"/>
          <w:sz w:val="19"/>
          <w:szCs w:val="19"/>
          <w:color w:val="auto"/>
        </w:rPr>
        <w:t>Inline XBRL Instance Document</w:t>
      </w:r>
    </w:p>
    <w:p>
      <w:pPr>
        <w:spacing w:after="0" w:line="188" w:lineRule="exact"/>
        <w:rPr>
          <w:sz w:val="20"/>
          <w:szCs w:val="20"/>
          <w:color w:val="auto"/>
        </w:rPr>
      </w:pPr>
    </w:p>
    <w:p>
      <w:pPr>
        <w:ind w:left="940" w:right="700" w:hanging="928"/>
        <w:spacing w:after="0" w:line="282" w:lineRule="auto"/>
        <w:rPr>
          <w:sz w:val="20"/>
          <w:szCs w:val="20"/>
          <w:color w:val="auto"/>
        </w:rPr>
      </w:pPr>
      <w:r>
        <w:rPr>
          <w:rFonts w:ascii="Arial" w:cs="Arial" w:eastAsia="Arial" w:hAnsi="Arial"/>
          <w:sz w:val="20"/>
          <w:szCs w:val="20"/>
          <w:color w:val="auto"/>
        </w:rPr>
        <w:t>101.SCH Inline XBRL Taxonomy Extension Schema Document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560" w:type="dxa"/>
            <w:vAlign w:val="bottom"/>
          </w:tcPr>
          <w:p>
            <w:pPr>
              <w:jc w:val="center"/>
              <w:ind w:right="20"/>
              <w:spacing w:after="0"/>
              <w:rPr>
                <w:sz w:val="20"/>
                <w:szCs w:val="20"/>
                <w:color w:val="auto"/>
              </w:rPr>
            </w:pPr>
            <w:r>
              <w:rPr>
                <w:rFonts w:ascii="Arial" w:cs="Arial" w:eastAsia="Arial" w:hAnsi="Arial"/>
                <w:sz w:val="20"/>
                <w:szCs w:val="20"/>
                <w:color w:val="auto"/>
              </w:rPr>
              <w:t>8-K</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001-39503  10.2</w:t>
            </w:r>
          </w:p>
        </w:tc>
        <w:tc>
          <w:tcPr>
            <w:tcW w:w="1320" w:type="dxa"/>
            <w:vAlign w:val="bottom"/>
          </w:tcPr>
          <w:p>
            <w:pPr>
              <w:jc w:val="center"/>
              <w:spacing w:after="0"/>
              <w:rPr>
                <w:sz w:val="20"/>
                <w:szCs w:val="20"/>
                <w:color w:val="auto"/>
              </w:rPr>
            </w:pPr>
            <w:r>
              <w:rPr>
                <w:rFonts w:ascii="Arial" w:cs="Arial" w:eastAsia="Arial" w:hAnsi="Arial"/>
                <w:sz w:val="20"/>
                <w:szCs w:val="20"/>
                <w:color w:val="auto"/>
              </w:rPr>
              <w:t>May 22, 2023</w:t>
            </w:r>
          </w:p>
        </w:tc>
      </w:tr>
      <w:tr>
        <w:trPr>
          <w:trHeight w:val="607"/>
        </w:trPr>
        <w:tc>
          <w:tcPr>
            <w:tcW w:w="560" w:type="dxa"/>
            <w:vAlign w:val="bottom"/>
          </w:tcPr>
          <w:p>
            <w:pPr>
              <w:jc w:val="center"/>
              <w:ind w:right="20"/>
              <w:spacing w:after="0"/>
              <w:rPr>
                <w:sz w:val="20"/>
                <w:szCs w:val="20"/>
                <w:color w:val="auto"/>
              </w:rPr>
            </w:pPr>
            <w:r>
              <w:rPr>
                <w:rFonts w:ascii="Arial" w:cs="Arial" w:eastAsia="Arial" w:hAnsi="Arial"/>
                <w:sz w:val="20"/>
                <w:szCs w:val="20"/>
                <w:color w:val="auto"/>
              </w:rPr>
              <w:t>8-K</w:t>
            </w:r>
          </w:p>
        </w:tc>
        <w:tc>
          <w:tcPr>
            <w:tcW w:w="1160" w:type="dxa"/>
            <w:vAlign w:val="bottom"/>
          </w:tcPr>
          <w:p>
            <w:pPr>
              <w:jc w:val="right"/>
              <w:spacing w:after="0"/>
              <w:rPr>
                <w:sz w:val="20"/>
                <w:szCs w:val="20"/>
                <w:color w:val="auto"/>
              </w:rPr>
            </w:pPr>
            <w:r>
              <w:rPr>
                <w:rFonts w:ascii="Arial" w:cs="Arial" w:eastAsia="Arial" w:hAnsi="Arial"/>
                <w:sz w:val="20"/>
                <w:szCs w:val="20"/>
                <w:color w:val="auto"/>
              </w:rPr>
              <w:t>001-39503</w:t>
            </w:r>
          </w:p>
        </w:tc>
        <w:tc>
          <w:tcPr>
            <w:tcW w:w="580" w:type="dxa"/>
            <w:vAlign w:val="bottom"/>
          </w:tcPr>
          <w:p>
            <w:pPr>
              <w:jc w:val="right"/>
              <w:spacing w:after="0"/>
              <w:rPr>
                <w:sz w:val="20"/>
                <w:szCs w:val="20"/>
                <w:color w:val="auto"/>
              </w:rPr>
            </w:pPr>
            <w:r>
              <w:rPr>
                <w:rFonts w:ascii="Arial" w:cs="Arial" w:eastAsia="Arial" w:hAnsi="Arial"/>
                <w:sz w:val="20"/>
                <w:szCs w:val="20"/>
                <w:color w:val="auto"/>
              </w:rPr>
              <w:t>10.1</w:t>
            </w:r>
          </w:p>
        </w:tc>
        <w:tc>
          <w:tcPr>
            <w:tcW w:w="1320" w:type="dxa"/>
            <w:vAlign w:val="bottom"/>
          </w:tcPr>
          <w:p>
            <w:pPr>
              <w:jc w:val="center"/>
              <w:spacing w:after="0"/>
              <w:rPr>
                <w:sz w:val="20"/>
                <w:szCs w:val="20"/>
                <w:color w:val="auto"/>
              </w:rPr>
            </w:pPr>
            <w:r>
              <w:rPr>
                <w:rFonts w:ascii="Arial" w:cs="Arial" w:eastAsia="Arial" w:hAnsi="Arial"/>
                <w:sz w:val="20"/>
                <w:szCs w:val="20"/>
                <w:color w:val="auto"/>
              </w:rPr>
              <w:t>October 7,</w:t>
            </w:r>
          </w:p>
        </w:tc>
      </w:tr>
      <w:tr>
        <w:trPr>
          <w:trHeight w:val="271"/>
        </w:trPr>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2024</w:t>
            </w:r>
          </w:p>
        </w:tc>
      </w:tr>
      <w:tr>
        <w:trPr>
          <w:trHeight w:val="607"/>
        </w:trPr>
        <w:tc>
          <w:tcPr>
            <w:tcW w:w="560" w:type="dxa"/>
            <w:vAlign w:val="bottom"/>
          </w:tcPr>
          <w:p>
            <w:pPr>
              <w:jc w:val="center"/>
              <w:ind w:right="20"/>
              <w:spacing w:after="0"/>
              <w:rPr>
                <w:sz w:val="20"/>
                <w:szCs w:val="20"/>
                <w:color w:val="auto"/>
              </w:rPr>
            </w:pPr>
            <w:r>
              <w:rPr>
                <w:rFonts w:ascii="Arial" w:cs="Arial" w:eastAsia="Arial" w:hAnsi="Arial"/>
                <w:sz w:val="20"/>
                <w:szCs w:val="20"/>
                <w:color w:val="auto"/>
                <w:w w:val="98"/>
              </w:rPr>
              <w:t>10-Q</w:t>
            </w:r>
          </w:p>
        </w:tc>
        <w:tc>
          <w:tcPr>
            <w:tcW w:w="1160" w:type="dxa"/>
            <w:vAlign w:val="bottom"/>
          </w:tcPr>
          <w:p>
            <w:pPr>
              <w:jc w:val="right"/>
              <w:spacing w:after="0"/>
              <w:rPr>
                <w:sz w:val="20"/>
                <w:szCs w:val="20"/>
                <w:color w:val="auto"/>
              </w:rPr>
            </w:pPr>
            <w:r>
              <w:rPr>
                <w:rFonts w:ascii="Arial" w:cs="Arial" w:eastAsia="Arial" w:hAnsi="Arial"/>
                <w:sz w:val="20"/>
                <w:szCs w:val="20"/>
                <w:color w:val="auto"/>
              </w:rPr>
              <w:t>001-39503</w:t>
            </w:r>
          </w:p>
        </w:tc>
        <w:tc>
          <w:tcPr>
            <w:tcW w:w="580" w:type="dxa"/>
            <w:vAlign w:val="bottom"/>
          </w:tcPr>
          <w:p>
            <w:pPr>
              <w:jc w:val="right"/>
              <w:spacing w:after="0"/>
              <w:rPr>
                <w:sz w:val="20"/>
                <w:szCs w:val="20"/>
                <w:color w:val="auto"/>
              </w:rPr>
            </w:pPr>
            <w:r>
              <w:rPr>
                <w:rFonts w:ascii="Arial" w:cs="Arial" w:eastAsia="Arial" w:hAnsi="Arial"/>
                <w:sz w:val="20"/>
                <w:szCs w:val="20"/>
                <w:color w:val="auto"/>
              </w:rPr>
              <w:t>10.1</w:t>
            </w:r>
          </w:p>
        </w:tc>
        <w:tc>
          <w:tcPr>
            <w:tcW w:w="13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71"/>
        </w:trPr>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2021</w:t>
            </w:r>
          </w:p>
        </w:tc>
      </w:tr>
      <w:tr>
        <w:trPr>
          <w:trHeight w:val="377"/>
        </w:trPr>
        <w:tc>
          <w:tcPr>
            <w:tcW w:w="560" w:type="dxa"/>
            <w:vAlign w:val="bottom"/>
          </w:tcPr>
          <w:p>
            <w:pPr>
              <w:jc w:val="center"/>
              <w:ind w:right="20"/>
              <w:spacing w:after="0"/>
              <w:rPr>
                <w:sz w:val="20"/>
                <w:szCs w:val="20"/>
                <w:color w:val="auto"/>
              </w:rPr>
            </w:pPr>
            <w:r>
              <w:rPr>
                <w:rFonts w:ascii="Arial" w:cs="Arial" w:eastAsia="Arial" w:hAnsi="Arial"/>
                <w:sz w:val="20"/>
                <w:szCs w:val="20"/>
                <w:color w:val="auto"/>
                <w:w w:val="98"/>
              </w:rPr>
              <w:t>10-Q</w:t>
            </w:r>
          </w:p>
        </w:tc>
        <w:tc>
          <w:tcPr>
            <w:tcW w:w="1160" w:type="dxa"/>
            <w:vAlign w:val="bottom"/>
          </w:tcPr>
          <w:p>
            <w:pPr>
              <w:jc w:val="right"/>
              <w:spacing w:after="0"/>
              <w:rPr>
                <w:sz w:val="20"/>
                <w:szCs w:val="20"/>
                <w:color w:val="auto"/>
              </w:rPr>
            </w:pPr>
            <w:r>
              <w:rPr>
                <w:rFonts w:ascii="Arial" w:cs="Arial" w:eastAsia="Arial" w:hAnsi="Arial"/>
                <w:sz w:val="20"/>
                <w:szCs w:val="20"/>
                <w:color w:val="auto"/>
              </w:rPr>
              <w:t>001-39503</w:t>
            </w:r>
          </w:p>
        </w:tc>
        <w:tc>
          <w:tcPr>
            <w:tcW w:w="580" w:type="dxa"/>
            <w:vAlign w:val="bottom"/>
          </w:tcPr>
          <w:p>
            <w:pPr>
              <w:jc w:val="right"/>
              <w:spacing w:after="0"/>
              <w:rPr>
                <w:sz w:val="20"/>
                <w:szCs w:val="20"/>
                <w:color w:val="auto"/>
              </w:rPr>
            </w:pPr>
            <w:r>
              <w:rPr>
                <w:rFonts w:ascii="Arial" w:cs="Arial" w:eastAsia="Arial" w:hAnsi="Arial"/>
                <w:sz w:val="20"/>
                <w:szCs w:val="20"/>
                <w:color w:val="auto"/>
              </w:rPr>
              <w:t>10.2</w:t>
            </w:r>
          </w:p>
        </w:tc>
        <w:tc>
          <w:tcPr>
            <w:tcW w:w="1320" w:type="dxa"/>
            <w:vAlign w:val="bottom"/>
          </w:tcPr>
          <w:p>
            <w:pPr>
              <w:jc w:val="center"/>
              <w:spacing w:after="0"/>
              <w:rPr>
                <w:sz w:val="20"/>
                <w:szCs w:val="20"/>
                <w:color w:val="auto"/>
              </w:rPr>
            </w:pPr>
            <w:r>
              <w:rPr>
                <w:rFonts w:ascii="Arial" w:cs="Arial" w:eastAsia="Arial" w:hAnsi="Arial"/>
                <w:sz w:val="20"/>
                <w:szCs w:val="20"/>
                <w:color w:val="auto"/>
              </w:rPr>
              <w:t>August 16,</w:t>
            </w:r>
          </w:p>
        </w:tc>
      </w:tr>
      <w:tr>
        <w:trPr>
          <w:trHeight w:val="271"/>
        </w:trPr>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2021</w:t>
            </w:r>
          </w:p>
        </w:tc>
      </w:tr>
      <w:tr>
        <w:trPr>
          <w:trHeight w:val="377"/>
        </w:trPr>
        <w:tc>
          <w:tcPr>
            <w:tcW w:w="560" w:type="dxa"/>
            <w:vAlign w:val="bottom"/>
          </w:tcPr>
          <w:p>
            <w:pPr>
              <w:jc w:val="center"/>
              <w:ind w:right="20"/>
              <w:spacing w:after="0"/>
              <w:rPr>
                <w:sz w:val="20"/>
                <w:szCs w:val="20"/>
                <w:color w:val="auto"/>
              </w:rPr>
            </w:pPr>
            <w:r>
              <w:rPr>
                <w:rFonts w:ascii="Arial" w:cs="Arial" w:eastAsia="Arial" w:hAnsi="Arial"/>
                <w:sz w:val="20"/>
                <w:szCs w:val="20"/>
                <w:color w:val="auto"/>
              </w:rPr>
              <w:t>8-K</w:t>
            </w:r>
          </w:p>
        </w:tc>
        <w:tc>
          <w:tcPr>
            <w:tcW w:w="1160" w:type="dxa"/>
            <w:vAlign w:val="bottom"/>
          </w:tcPr>
          <w:p>
            <w:pPr>
              <w:jc w:val="right"/>
              <w:spacing w:after="0"/>
              <w:rPr>
                <w:sz w:val="20"/>
                <w:szCs w:val="20"/>
                <w:color w:val="auto"/>
              </w:rPr>
            </w:pPr>
            <w:r>
              <w:rPr>
                <w:rFonts w:ascii="Arial" w:cs="Arial" w:eastAsia="Arial" w:hAnsi="Arial"/>
                <w:sz w:val="20"/>
                <w:szCs w:val="20"/>
                <w:color w:val="auto"/>
              </w:rPr>
              <w:t>001-39503</w:t>
            </w:r>
          </w:p>
        </w:tc>
        <w:tc>
          <w:tcPr>
            <w:tcW w:w="580" w:type="dxa"/>
            <w:vAlign w:val="bottom"/>
          </w:tcPr>
          <w:p>
            <w:pPr>
              <w:jc w:val="right"/>
              <w:spacing w:after="0"/>
              <w:rPr>
                <w:sz w:val="20"/>
                <w:szCs w:val="20"/>
                <w:color w:val="auto"/>
              </w:rPr>
            </w:pPr>
            <w:r>
              <w:rPr>
                <w:rFonts w:ascii="Arial" w:cs="Arial" w:eastAsia="Arial" w:hAnsi="Arial"/>
                <w:sz w:val="20"/>
                <w:szCs w:val="20"/>
                <w:color w:val="auto"/>
              </w:rPr>
              <w:t>10.2</w:t>
            </w:r>
          </w:p>
        </w:tc>
        <w:tc>
          <w:tcPr>
            <w:tcW w:w="1320" w:type="dxa"/>
            <w:vAlign w:val="bottom"/>
          </w:tcPr>
          <w:p>
            <w:pPr>
              <w:jc w:val="center"/>
              <w:spacing w:after="0"/>
              <w:rPr>
                <w:sz w:val="20"/>
                <w:szCs w:val="20"/>
                <w:color w:val="auto"/>
              </w:rPr>
            </w:pPr>
            <w:r>
              <w:rPr>
                <w:rFonts w:ascii="Arial" w:cs="Arial" w:eastAsia="Arial" w:hAnsi="Arial"/>
                <w:sz w:val="20"/>
                <w:szCs w:val="20"/>
                <w:color w:val="auto"/>
              </w:rPr>
              <w:t>October 7,</w:t>
            </w:r>
          </w:p>
        </w:tc>
      </w:tr>
      <w:tr>
        <w:trPr>
          <w:trHeight w:val="271"/>
        </w:trPr>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2024</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700" w:right="120" w:hanging="2812"/>
        <w:spacing w:after="0" w:line="282" w:lineRule="auto"/>
        <w:tabs>
          <w:tab w:leader="none" w:pos="680" w:val="left"/>
        </w:tabs>
        <w:rPr>
          <w:sz w:val="20"/>
          <w:szCs w:val="20"/>
          <w:color w:val="auto"/>
        </w:rPr>
      </w:pPr>
      <w:r>
        <w:rPr>
          <w:rFonts w:ascii="Arial" w:cs="Arial" w:eastAsia="Arial" w:hAnsi="Arial"/>
          <w:sz w:val="20"/>
          <w:szCs w:val="20"/>
          <w:color w:val="auto"/>
        </w:rPr>
        <w:t>S-1/A</w:t>
        <w:tab/>
        <w:t>333-24828 21.1 September 9, 2020</w:t>
      </w:r>
    </w:p>
    <w:p>
      <w:pPr>
        <w:spacing w:after="0" w:line="8101" w:lineRule="exact"/>
        <w:rPr>
          <w:sz w:val="20"/>
          <w:szCs w:val="20"/>
          <w:color w:val="auto"/>
        </w:rPr>
      </w:pPr>
    </w:p>
    <w:p>
      <w:pPr>
        <w:sectPr>
          <w:pgSz w:w="12240" w:h="15840" w:orient="portrait"/>
          <w:cols w:equalWidth="0" w:num="2">
            <w:col w:w="5400" w:space="240"/>
            <w:col w:w="3720"/>
          </w:cols>
          <w:pgMar w:left="1440" w:top="1440" w:right="1440" w:bottom="186"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ectPr>
          <w:pgSz w:w="12240" w:h="15840" w:orient="portrait"/>
          <w:cols w:equalWidth="0" w:num="1">
            <w:col w:w="9360"/>
          </w:cols>
          <w:pgMar w:left="1440" w:top="1440" w:right="1440" w:bottom="186" w:gutter="0" w:footer="0" w:header="0"/>
          <w:type w:val="continuous"/>
        </w:sectPr>
      </w:pPr>
    </w:p>
    <w:bookmarkStart w:id="153" w:name="page154"/>
    <w:bookmarkEnd w:id="153"/>
    <w:p>
      <w:pPr>
        <w:spacing w:after="0" w:line="1" w:lineRule="exact"/>
        <w:rPr>
          <w:sz w:val="20"/>
          <w:szCs w:val="20"/>
          <w:color w:val="auto"/>
        </w:rPr>
      </w:pPr>
    </w:p>
    <w:p>
      <w:pPr>
        <w:ind w:left="940" w:right="4400" w:hanging="928"/>
        <w:spacing w:after="0" w:line="282" w:lineRule="auto"/>
        <w:rPr>
          <w:sz w:val="20"/>
          <w:szCs w:val="20"/>
          <w:color w:val="auto"/>
        </w:rPr>
      </w:pPr>
      <w:r>
        <w:rPr>
          <w:rFonts w:ascii="Arial" w:cs="Arial" w:eastAsia="Arial" w:hAnsi="Arial"/>
          <w:sz w:val="20"/>
          <w:szCs w:val="20"/>
          <w:color w:val="auto"/>
        </w:rPr>
        <w:t>101.CAL Inline XBRL Taxonomy Extension Calculation Linkbase Document</w:t>
      </w:r>
    </w:p>
    <w:p>
      <w:pPr>
        <w:spacing w:after="0" w:line="107" w:lineRule="exact"/>
        <w:rPr>
          <w:sz w:val="20"/>
          <w:szCs w:val="20"/>
          <w:color w:val="auto"/>
        </w:rPr>
      </w:pPr>
    </w:p>
    <w:p>
      <w:pPr>
        <w:ind w:left="940" w:right="4560" w:hanging="928"/>
        <w:spacing w:after="0" w:line="282" w:lineRule="auto"/>
        <w:rPr>
          <w:sz w:val="20"/>
          <w:szCs w:val="20"/>
          <w:color w:val="auto"/>
        </w:rPr>
      </w:pPr>
      <w:r>
        <w:rPr>
          <w:rFonts w:ascii="Arial" w:cs="Arial" w:eastAsia="Arial" w:hAnsi="Arial"/>
          <w:sz w:val="20"/>
          <w:szCs w:val="20"/>
          <w:color w:val="auto"/>
        </w:rPr>
        <w:t>101.DEF Inline XBRL Taxonomy Extension Definition Linkbase Document</w:t>
      </w:r>
    </w:p>
    <w:p>
      <w:pPr>
        <w:spacing w:after="0" w:line="107" w:lineRule="exact"/>
        <w:rPr>
          <w:sz w:val="20"/>
          <w:szCs w:val="20"/>
          <w:color w:val="auto"/>
        </w:rPr>
      </w:pPr>
    </w:p>
    <w:p>
      <w:pPr>
        <w:ind w:left="940" w:right="4040" w:hanging="928"/>
        <w:spacing w:after="0" w:line="282" w:lineRule="auto"/>
        <w:tabs>
          <w:tab w:leader="none" w:pos="920" w:val="left"/>
        </w:tabs>
        <w:rPr>
          <w:sz w:val="20"/>
          <w:szCs w:val="20"/>
          <w:color w:val="auto"/>
        </w:rPr>
      </w:pPr>
      <w:r>
        <w:rPr>
          <w:rFonts w:ascii="Arial" w:cs="Arial" w:eastAsia="Arial" w:hAnsi="Arial"/>
          <w:sz w:val="20"/>
          <w:szCs w:val="20"/>
          <w:color w:val="auto"/>
        </w:rPr>
        <w:t>101.LAB</w:t>
        <w:tab/>
        <w:t>Inline XBRL Taxonomy Extension Label Linkbase Document</w:t>
      </w:r>
    </w:p>
    <w:p>
      <w:pPr>
        <w:spacing w:after="0" w:line="107" w:lineRule="exact"/>
        <w:rPr>
          <w:sz w:val="20"/>
          <w:szCs w:val="20"/>
          <w:color w:val="auto"/>
        </w:rPr>
      </w:pPr>
    </w:p>
    <w:p>
      <w:pPr>
        <w:ind w:left="940" w:right="4260" w:hanging="928"/>
        <w:spacing w:after="0" w:line="282" w:lineRule="auto"/>
        <w:rPr>
          <w:sz w:val="20"/>
          <w:szCs w:val="20"/>
          <w:color w:val="auto"/>
        </w:rPr>
      </w:pPr>
      <w:r>
        <w:rPr>
          <w:rFonts w:ascii="Arial" w:cs="Arial" w:eastAsia="Arial" w:hAnsi="Arial"/>
          <w:sz w:val="20"/>
          <w:szCs w:val="20"/>
          <w:color w:val="auto"/>
        </w:rPr>
        <w:t>101.PRE Inline XBRL Taxonomy Extension Presentation Linkbase Document</w:t>
      </w:r>
    </w:p>
    <w:p>
      <w:pPr>
        <w:spacing w:after="0" w:line="107" w:lineRule="exact"/>
        <w:rPr>
          <w:sz w:val="20"/>
          <w:szCs w:val="20"/>
          <w:color w:val="auto"/>
        </w:rPr>
      </w:pPr>
    </w:p>
    <w:p>
      <w:pPr>
        <w:ind w:left="940" w:right="4360" w:hanging="935"/>
        <w:spacing w:after="0" w:line="282" w:lineRule="auto"/>
        <w:tabs>
          <w:tab w:leader="none" w:pos="9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Cover Page Interactive Data File (formatted in Inline XBRL and included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67310</wp:posOffset>
                </wp:positionV>
                <wp:extent cx="64516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1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5.3pt" to="49.4pt,5.3pt" o:allowincell="f" strokecolor="#000000" strokeweight="0.5pt"/>
            </w:pict>
          </mc:Fallback>
        </mc:AlternateContent>
      </w:r>
    </w:p>
    <w:p>
      <w:pPr>
        <w:sectPr>
          <w:pgSz w:w="12240" w:h="15840" w:orient="portrait"/>
          <w:cols w:equalWidth="0" w:num="1">
            <w:col w:w="9360"/>
          </w:cols>
          <w:pgMar w:left="1440" w:top="1440" w:right="1440" w:bottom="186"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certifications filed as Exhibits 32.1 and 32.2 are not deemed “filed” for purposes of Section 18 of the Securities Exchange Act of 1934 and are not to be incorporated by reference into any filing of the Company under the Securities Act of 1933 or the Securities Exchange Act of 1934, whether made before or after the date hereof irrespective of any general incorporation by reference language contained in any such filing, except to the extent that the registrant specifically incorporates it by reference. Indicates a management contract or compensatory plan.</w:t>
      </w:r>
    </w:p>
    <w:p>
      <w:pPr>
        <w:spacing w:after="0" w:line="200" w:lineRule="exact"/>
        <w:rPr>
          <w:sz w:val="20"/>
          <w:szCs w:val="20"/>
          <w:color w:val="auto"/>
        </w:rPr>
      </w:pPr>
    </w:p>
    <w:p>
      <w:pPr>
        <w:sectPr>
          <w:pgSz w:w="12240" w:h="15840" w:orient="portrait"/>
          <w:cols w:equalWidth="0" w:num="2">
            <w:col w:w="80" w:space="420"/>
            <w:col w:w="8860"/>
          </w:cols>
          <w:pgMar w:left="1440" w:top="1440" w:right="1440" w:bottom="186"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9360"/>
          </w:cols>
          <w:pgMar w:left="1440" w:top="1440" w:right="1440" w:bottom="1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ectPr>
          <w:pgSz w:w="12240" w:h="15840" w:orient="portrait"/>
          <w:cols w:equalWidth="0" w:num="1">
            <w:col w:w="9360"/>
          </w:cols>
          <w:pgMar w:left="1440" w:top="1440" w:right="1440" w:bottom="186"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20"/>
          <w:szCs w:val="20"/>
          <w:b w:val="1"/>
          <w:bCs w:val="1"/>
          <w:color w:val="auto"/>
        </w:rPr>
        <w:t>SIGNATURES</w:t>
      </w:r>
    </w:p>
    <w:p>
      <w:pPr>
        <w:spacing w:after="0" w:line="244" w:lineRule="exact"/>
        <w:rPr>
          <w:sz w:val="20"/>
          <w:szCs w:val="20"/>
          <w:color w:val="auto"/>
        </w:rPr>
      </w:pPr>
    </w:p>
    <w:p>
      <w:pPr>
        <w:jc w:val="both"/>
        <w:ind w:firstLine="490"/>
        <w:spacing w:after="0" w:line="266" w:lineRule="auto"/>
        <w:rPr>
          <w:sz w:val="20"/>
          <w:szCs w:val="20"/>
          <w:color w:val="auto"/>
        </w:rPr>
      </w:pPr>
      <w:r>
        <w:rPr>
          <w:rFonts w:ascii="Arial" w:cs="Arial" w:eastAsia="Arial" w:hAnsi="Arial"/>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0"/>
          <w:szCs w:val="20"/>
          <w:b w:val="1"/>
          <w:bCs w:val="1"/>
          <w:color w:val="auto"/>
        </w:rPr>
        <w:t>.</w:t>
      </w:r>
    </w:p>
    <w:p>
      <w:pPr>
        <w:spacing w:after="0" w:line="16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Athira Pharma, Inc.</w:t>
      </w:r>
    </w:p>
    <w:p>
      <w:pPr>
        <w:spacing w:after="0" w:line="264" w:lineRule="exact"/>
        <w:rPr>
          <w:sz w:val="20"/>
          <w:szCs w:val="20"/>
          <w:color w:val="auto"/>
        </w:rPr>
      </w:pPr>
    </w:p>
    <w:p>
      <w:pPr>
        <w:spacing w:after="0"/>
        <w:tabs>
          <w:tab w:leader="none" w:pos="4600" w:val="left"/>
          <w:tab w:leader="none" w:pos="6540" w:val="left"/>
        </w:tabs>
        <w:rPr>
          <w:sz w:val="20"/>
          <w:szCs w:val="20"/>
          <w:color w:val="auto"/>
        </w:rPr>
      </w:pPr>
      <w:r>
        <w:rPr>
          <w:rFonts w:ascii="Arial" w:cs="Arial" w:eastAsia="Arial" w:hAnsi="Arial"/>
          <w:sz w:val="20"/>
          <w:szCs w:val="20"/>
          <w:color w:val="auto"/>
        </w:rPr>
        <w:t>Date: February 27, 2025</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Mark Litton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3185795</wp:posOffset>
                </wp:positionH>
                <wp:positionV relativeFrom="paragraph">
                  <wp:posOffset>13335</wp:posOffset>
                </wp:positionV>
                <wp:extent cx="275780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780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85pt,1.05pt" to="468pt,1.05pt" o:allowincell="f" strokecolor="#000000" strokeweight="0.25pt"/>
            </w:pict>
          </mc:Fallback>
        </mc:AlternateConten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Mark Litton</w:t>
      </w:r>
    </w:p>
    <w:p>
      <w:pPr>
        <w:spacing w:after="0" w:line="20"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President and Chief Executive Officer (</w:t>
      </w:r>
      <w:r>
        <w:rPr>
          <w:rFonts w:ascii="Arial" w:cs="Arial" w:eastAsia="Arial" w:hAnsi="Arial"/>
          <w:sz w:val="20"/>
          <w:szCs w:val="20"/>
          <w:i w:val="1"/>
          <w:iCs w:val="1"/>
          <w:color w:val="auto"/>
        </w:rPr>
        <w:t>Principal</w:t>
      </w:r>
    </w:p>
    <w:p>
      <w:pPr>
        <w:ind w:left="5020"/>
        <w:spacing w:after="0"/>
        <w:rPr>
          <w:sz w:val="20"/>
          <w:szCs w:val="20"/>
          <w:color w:val="auto"/>
        </w:rPr>
      </w:pPr>
      <w:r>
        <w:rPr>
          <w:rFonts w:ascii="Arial" w:cs="Arial" w:eastAsia="Arial" w:hAnsi="Arial"/>
          <w:sz w:val="20"/>
          <w:szCs w:val="20"/>
          <w:i w:val="1"/>
          <w:iCs w:val="1"/>
          <w:color w:val="auto"/>
        </w:rPr>
        <w:t>Executive Officer</w:t>
      </w:r>
      <w:r>
        <w:rPr>
          <w:rFonts w:ascii="Arial" w:cs="Arial" w:eastAsia="Arial" w:hAnsi="Arial"/>
          <w:sz w:val="20"/>
          <w:szCs w:val="20"/>
          <w:color w:val="auto"/>
        </w:rPr>
        <w:t>)</w:t>
      </w:r>
    </w:p>
    <w:p>
      <w:pPr>
        <w:spacing w:after="0" w:line="24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20"/>
          <w:szCs w:val="20"/>
          <w:color w:val="auto"/>
        </w:rPr>
        <w:t>KNOW ALL PERSONS BY THESE PRESENTS, that each person whose signature appears below constitutes and appoints Mark Litton and Robert Renninger,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93"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20"/>
          <w:szCs w:val="20"/>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220" w:type="dxa"/>
            <w:vAlign w:val="bottom"/>
          </w:tcPr>
          <w:p>
            <w:pPr>
              <w:spacing w:after="0"/>
              <w:rPr>
                <w:sz w:val="17"/>
                <w:szCs w:val="17"/>
                <w:color w:val="auto"/>
              </w:rPr>
            </w:pPr>
          </w:p>
        </w:tc>
        <w:tc>
          <w:tcPr>
            <w:tcW w:w="3980" w:type="dxa"/>
            <w:vAlign w:val="bottom"/>
            <w:tcBorders>
              <w:bottom w:val="single" w:sz="8" w:color="auto"/>
            </w:tcBorders>
          </w:tcPr>
          <w:p>
            <w:pPr>
              <w:ind w:left="1820"/>
              <w:spacing w:after="0"/>
              <w:rPr>
                <w:sz w:val="20"/>
                <w:szCs w:val="20"/>
                <w:color w:val="auto"/>
              </w:rPr>
            </w:pPr>
            <w:r>
              <w:rPr>
                <w:rFonts w:ascii="Arial" w:cs="Arial" w:eastAsia="Arial" w:hAnsi="Arial"/>
                <w:sz w:val="16"/>
                <w:szCs w:val="16"/>
                <w:b w:val="1"/>
                <w:bCs w:val="1"/>
                <w:color w:val="auto"/>
              </w:rPr>
              <w:t>Title</w:t>
            </w:r>
          </w:p>
        </w:tc>
        <w:tc>
          <w:tcPr>
            <w:tcW w:w="220" w:type="dxa"/>
            <w:vAlign w:val="bottom"/>
          </w:tcPr>
          <w:p>
            <w:pPr>
              <w:spacing w:after="0"/>
              <w:rPr>
                <w:sz w:val="17"/>
                <w:szCs w:val="17"/>
                <w:color w:val="auto"/>
              </w:rPr>
            </w:pPr>
          </w:p>
        </w:tc>
        <w:tc>
          <w:tcPr>
            <w:tcW w:w="194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Date</w:t>
            </w:r>
          </w:p>
        </w:tc>
      </w:tr>
      <w:tr>
        <w:trPr>
          <w:trHeight w:val="367"/>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President, Chief Executive Officer and</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Mark Litton</w:t>
            </w:r>
          </w:p>
        </w:tc>
        <w:tc>
          <w:tcPr>
            <w:tcW w:w="2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Director</w:t>
            </w:r>
          </w:p>
        </w:tc>
        <w:tc>
          <w:tcPr>
            <w:tcW w:w="220" w:type="dxa"/>
            <w:vAlign w:val="bottom"/>
          </w:tcPr>
          <w:p>
            <w:pPr>
              <w:spacing w:after="0"/>
              <w:rPr>
                <w:sz w:val="21"/>
                <w:szCs w:val="21"/>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56"/>
        </w:trPr>
        <w:tc>
          <w:tcPr>
            <w:tcW w:w="3000" w:type="dxa"/>
            <w:vAlign w:val="bottom"/>
          </w:tcPr>
          <w:p>
            <w:pPr>
              <w:jc w:val="center"/>
              <w:spacing w:after="0"/>
              <w:rPr>
                <w:sz w:val="20"/>
                <w:szCs w:val="20"/>
                <w:color w:val="auto"/>
              </w:rPr>
            </w:pPr>
            <w:r>
              <w:rPr>
                <w:rFonts w:ascii="Arial" w:cs="Arial" w:eastAsia="Arial" w:hAnsi="Arial"/>
                <w:sz w:val="20"/>
                <w:szCs w:val="20"/>
                <w:color w:val="auto"/>
              </w:rPr>
              <w:t>Mark Litton</w:t>
            </w:r>
          </w:p>
        </w:tc>
        <w:tc>
          <w:tcPr>
            <w:tcW w:w="220" w:type="dxa"/>
            <w:vAlign w:val="bottom"/>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Principal Executive Officer</w:t>
            </w: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50"/>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Senior Vice President, Finance and</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Robert Renninger</w:t>
            </w:r>
          </w:p>
        </w:tc>
        <w:tc>
          <w:tcPr>
            <w:tcW w:w="2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Accounting</w:t>
            </w:r>
          </w:p>
        </w:tc>
        <w:tc>
          <w:tcPr>
            <w:tcW w:w="220" w:type="dxa"/>
            <w:vAlign w:val="bottom"/>
          </w:tcPr>
          <w:p>
            <w:pPr>
              <w:spacing w:after="0"/>
              <w:rPr>
                <w:sz w:val="21"/>
                <w:szCs w:val="21"/>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56"/>
        </w:trPr>
        <w:tc>
          <w:tcPr>
            <w:tcW w:w="3000" w:type="dxa"/>
            <w:vAlign w:val="bottom"/>
          </w:tcPr>
          <w:p>
            <w:pPr>
              <w:jc w:val="center"/>
              <w:spacing w:after="0"/>
              <w:rPr>
                <w:sz w:val="20"/>
                <w:szCs w:val="20"/>
                <w:color w:val="auto"/>
              </w:rPr>
            </w:pPr>
            <w:r>
              <w:rPr>
                <w:rFonts w:ascii="Arial" w:cs="Arial" w:eastAsia="Arial" w:hAnsi="Arial"/>
                <w:sz w:val="20"/>
                <w:szCs w:val="20"/>
                <w:color w:val="auto"/>
              </w:rPr>
              <w:t>Robert Renninger</w:t>
            </w:r>
          </w:p>
        </w:tc>
        <w:tc>
          <w:tcPr>
            <w:tcW w:w="220" w:type="dxa"/>
            <w:vAlign w:val="bottom"/>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Principal Financial and Accounting Officer</w:t>
            </w: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6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Kelly A. Romano</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Chairwoman of the Board of Directors</w:t>
            </w:r>
          </w:p>
        </w:tc>
        <w:tc>
          <w:tcPr>
            <w:tcW w:w="2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56"/>
        </w:trPr>
        <w:tc>
          <w:tcPr>
            <w:tcW w:w="3000" w:type="dxa"/>
            <w:vAlign w:val="bottom"/>
          </w:tcPr>
          <w:p>
            <w:pPr>
              <w:jc w:val="center"/>
              <w:spacing w:after="0"/>
              <w:rPr>
                <w:sz w:val="20"/>
                <w:szCs w:val="20"/>
                <w:color w:val="auto"/>
              </w:rPr>
            </w:pPr>
            <w:r>
              <w:rPr>
                <w:rFonts w:ascii="Arial" w:cs="Arial" w:eastAsia="Arial" w:hAnsi="Arial"/>
                <w:sz w:val="20"/>
                <w:szCs w:val="20"/>
                <w:color w:val="auto"/>
                <w:w w:val="99"/>
              </w:rPr>
              <w:t>Kelly A. Romano</w:t>
            </w:r>
          </w:p>
        </w:tc>
        <w:tc>
          <w:tcPr>
            <w:tcW w:w="2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6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Joseph Edelman</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Director</w:t>
            </w:r>
          </w:p>
        </w:tc>
        <w:tc>
          <w:tcPr>
            <w:tcW w:w="2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56"/>
        </w:trPr>
        <w:tc>
          <w:tcPr>
            <w:tcW w:w="3000" w:type="dxa"/>
            <w:vAlign w:val="bottom"/>
          </w:tcPr>
          <w:p>
            <w:pPr>
              <w:jc w:val="center"/>
              <w:spacing w:after="0"/>
              <w:rPr>
                <w:sz w:val="20"/>
                <w:szCs w:val="20"/>
                <w:color w:val="auto"/>
              </w:rPr>
            </w:pPr>
            <w:r>
              <w:rPr>
                <w:rFonts w:ascii="Arial" w:cs="Arial" w:eastAsia="Arial" w:hAnsi="Arial"/>
                <w:sz w:val="20"/>
                <w:szCs w:val="20"/>
                <w:color w:val="auto"/>
                <w:w w:val="99"/>
              </w:rPr>
              <w:t>Joseph Edelman</w:t>
            </w:r>
          </w:p>
        </w:tc>
        <w:tc>
          <w:tcPr>
            <w:tcW w:w="2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6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John M. Fluke, Jr.</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Director</w:t>
            </w:r>
          </w:p>
        </w:tc>
        <w:tc>
          <w:tcPr>
            <w:tcW w:w="2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56"/>
        </w:trPr>
        <w:tc>
          <w:tcPr>
            <w:tcW w:w="3000" w:type="dxa"/>
            <w:vAlign w:val="bottom"/>
          </w:tcPr>
          <w:p>
            <w:pPr>
              <w:jc w:val="center"/>
              <w:spacing w:after="0"/>
              <w:rPr>
                <w:sz w:val="20"/>
                <w:szCs w:val="20"/>
                <w:color w:val="auto"/>
              </w:rPr>
            </w:pPr>
            <w:r>
              <w:rPr>
                <w:rFonts w:ascii="Arial" w:cs="Arial" w:eastAsia="Arial" w:hAnsi="Arial"/>
                <w:sz w:val="20"/>
                <w:szCs w:val="20"/>
                <w:color w:val="auto"/>
              </w:rPr>
              <w:t>John M. Fluke, Jr.</w:t>
            </w:r>
          </w:p>
        </w:tc>
        <w:tc>
          <w:tcPr>
            <w:tcW w:w="2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6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James A. Johnson</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Director</w:t>
            </w:r>
          </w:p>
        </w:tc>
        <w:tc>
          <w:tcPr>
            <w:tcW w:w="2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61"/>
        </w:trPr>
        <w:tc>
          <w:tcPr>
            <w:tcW w:w="3000" w:type="dxa"/>
            <w:vAlign w:val="bottom"/>
          </w:tcPr>
          <w:p>
            <w:pPr>
              <w:jc w:val="center"/>
              <w:spacing w:after="0"/>
              <w:rPr>
                <w:sz w:val="20"/>
                <w:szCs w:val="20"/>
                <w:color w:val="auto"/>
              </w:rPr>
            </w:pPr>
            <w:r>
              <w:rPr>
                <w:rFonts w:ascii="Arial" w:cs="Arial" w:eastAsia="Arial" w:hAnsi="Arial"/>
                <w:sz w:val="20"/>
                <w:szCs w:val="20"/>
                <w:color w:val="auto"/>
                <w:w w:val="99"/>
              </w:rPr>
              <w:t>James A. Johnson</w:t>
            </w:r>
          </w:p>
        </w:tc>
        <w:tc>
          <w:tcPr>
            <w:tcW w:w="2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6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Barbara Kosacz</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Director</w:t>
            </w:r>
          </w:p>
        </w:tc>
        <w:tc>
          <w:tcPr>
            <w:tcW w:w="2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61"/>
        </w:trPr>
        <w:tc>
          <w:tcPr>
            <w:tcW w:w="3000" w:type="dxa"/>
            <w:vAlign w:val="bottom"/>
          </w:tcPr>
          <w:p>
            <w:pPr>
              <w:jc w:val="center"/>
              <w:spacing w:after="0"/>
              <w:rPr>
                <w:sz w:val="20"/>
                <w:szCs w:val="20"/>
                <w:color w:val="auto"/>
              </w:rPr>
            </w:pPr>
            <w:r>
              <w:rPr>
                <w:rFonts w:ascii="Arial" w:cs="Arial" w:eastAsia="Arial" w:hAnsi="Arial"/>
                <w:sz w:val="20"/>
                <w:szCs w:val="20"/>
                <w:color w:val="auto"/>
                <w:w w:val="99"/>
              </w:rPr>
              <w:t>Barbara Kosacz</w:t>
            </w:r>
          </w:p>
        </w:tc>
        <w:tc>
          <w:tcPr>
            <w:tcW w:w="2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6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Michael Panzara</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Director</w:t>
            </w:r>
          </w:p>
        </w:tc>
        <w:tc>
          <w:tcPr>
            <w:tcW w:w="2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61"/>
        </w:trPr>
        <w:tc>
          <w:tcPr>
            <w:tcW w:w="3000" w:type="dxa"/>
            <w:vAlign w:val="bottom"/>
          </w:tcPr>
          <w:p>
            <w:pPr>
              <w:jc w:val="center"/>
              <w:spacing w:after="0"/>
              <w:rPr>
                <w:sz w:val="20"/>
                <w:szCs w:val="20"/>
                <w:color w:val="auto"/>
              </w:rPr>
            </w:pPr>
            <w:r>
              <w:rPr>
                <w:rFonts w:ascii="Arial" w:cs="Arial" w:eastAsia="Arial" w:hAnsi="Arial"/>
                <w:sz w:val="20"/>
                <w:szCs w:val="20"/>
                <w:color w:val="auto"/>
                <w:w w:val="99"/>
              </w:rPr>
              <w:t>Michael Panzara</w:t>
            </w:r>
          </w:p>
        </w:tc>
        <w:tc>
          <w:tcPr>
            <w:tcW w:w="2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6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Grant Pickering</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Director</w:t>
            </w:r>
          </w:p>
        </w:tc>
        <w:tc>
          <w:tcPr>
            <w:tcW w:w="2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20"/>
                <w:szCs w:val="20"/>
                <w:color w:val="auto"/>
              </w:rPr>
              <w:t>February 27, 2025</w:t>
            </w:r>
          </w:p>
        </w:tc>
      </w:tr>
      <w:tr>
        <w:trPr>
          <w:trHeight w:val="261"/>
        </w:trPr>
        <w:tc>
          <w:tcPr>
            <w:tcW w:w="3000" w:type="dxa"/>
            <w:vAlign w:val="bottom"/>
          </w:tcPr>
          <w:p>
            <w:pPr>
              <w:jc w:val="center"/>
              <w:spacing w:after="0"/>
              <w:rPr>
                <w:sz w:val="20"/>
                <w:szCs w:val="20"/>
                <w:color w:val="auto"/>
              </w:rPr>
            </w:pPr>
            <w:r>
              <w:rPr>
                <w:rFonts w:ascii="Arial" w:cs="Arial" w:eastAsia="Arial" w:hAnsi="Arial"/>
                <w:sz w:val="20"/>
                <w:szCs w:val="20"/>
                <w:color w:val="auto"/>
              </w:rPr>
              <w:t>Grant Pickering</w:t>
            </w:r>
          </w:p>
        </w:tc>
        <w:tc>
          <w:tcPr>
            <w:tcW w:w="2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ectPr>
          <w:pgSz w:w="12240" w:h="15840" w:orient="portrait"/>
          <w:cols w:equalWidth="0" w:num="1">
            <w:col w:w="9360"/>
          </w:cols>
          <w:pgMar w:left="1440" w:top="1416" w:right="1440" w:bottom="186" w:gutter="0" w:footer="0" w:header="0"/>
          <w:type w:val="continuous"/>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&gt;7KLV SDJH LQWHQWLRQDOO\OHIWEODQN@</w:t>
      </w:r>
    </w:p>
    <w:p>
      <w:pPr>
        <w:sectPr>
          <w:pgSz w:w="12240" w:h="15840" w:orient="portrait"/>
          <w:cols w:equalWidth="0" w:num="1">
            <w:col w:w="9360"/>
          </w:cols>
          <w:pgMar w:left="1440" w:top="1440" w:right="1440" w:bottom="1440"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FFFFFF"/>
        </w:rPr>
        <w:t>NASDAQ: ATHA</w:t>
      </w:r>
    </w:p>
    <w:p>
      <w:pPr>
        <w:sectPr>
          <w:pgSz w:w="12240" w:h="15840" w:orient="portrait"/>
          <w:cols w:equalWidth="0" w:num="1">
            <w:col w:w="9360"/>
          </w:cols>
          <w:pgMar w:left="1440" w:top="1440" w:right="1440" w:bottom="3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tabs>
          <w:tab w:leader="none" w:pos="260" w:val="left"/>
          <w:tab w:leader="none" w:pos="280" w:val="left"/>
        </w:tabs>
        <w:rPr>
          <w:sz w:val="20"/>
          <w:szCs w:val="20"/>
          <w:color w:val="auto"/>
        </w:rPr>
      </w:pPr>
      <w:r>
        <w:rPr>
          <w:rFonts w:ascii="Arial" w:cs="Arial" w:eastAsia="Arial" w:hAnsi="Arial"/>
          <w:sz w:val="19"/>
          <w:szCs w:val="19"/>
          <w:color w:val="FFFFFF"/>
        </w:rPr>
        <w:t>18706 NORTH CREEK PARK WAY, SUITE 104, BOTHELL, WA 98011</w:t>
        <w:tab/>
        <w:t>•</w:t>
      </w:r>
      <w:r>
        <w:rPr>
          <w:sz w:val="20"/>
          <w:szCs w:val="20"/>
          <w:color w:val="auto"/>
        </w:rPr>
        <w:tab/>
      </w:r>
      <w:r>
        <w:rPr>
          <w:rFonts w:ascii="Arial" w:cs="Arial" w:eastAsia="Arial" w:hAnsi="Arial"/>
          <w:sz w:val="16"/>
          <w:szCs w:val="16"/>
          <w:color w:val="FFFFFF"/>
        </w:rPr>
        <w:t>AT H I R A .C O M</w:t>
      </w:r>
    </w:p>
    <w:sectPr>
      <w:pgSz w:w="12240" w:h="15840" w:orient="portrait"/>
      <w:cols w:equalWidth="0" w:num="1">
        <w:col w:w="9360"/>
      </w:cols>
      <w:pgMar w:left="1440" w:top="1440" w:right="1440" w:bottom="3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7"/>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lowerLetter"/>
      <w:start w:val="1"/>
    </w:lvl>
    <w:lvl w:ilvl="1">
      <w:lvlJc w:val="left"/>
      <w:lvlText w:val="(%2)"/>
      <w:numFmt w:val="decimal"/>
      <w:start w:val="1"/>
    </w:lvl>
  </w:abstractNum>
  <w:abstractNum w:abstractNumId="66">
    <w:nsid w:val="6590700B"/>
    <w:multiLevelType w:val="hybridMultilevel"/>
    <w:lvl w:ilvl="0">
      <w:lvlJc w:val="left"/>
      <w:lvlText w:val="(%1)"/>
      <w:numFmt w:val="decimal"/>
      <w:start w:val="2"/>
    </w:lvl>
  </w:abstractNum>
  <w:abstractNum w:abstractNumId="67">
    <w:nsid w:val="15014ACB"/>
    <w:multiLevelType w:val="hybridMultilevel"/>
    <w:lvl w:ilvl="0">
      <w:lvlJc w:val="left"/>
      <w:lvlText w:val="(%1)"/>
      <w:numFmt w:val="decimal"/>
      <w:start w:val="3"/>
    </w:lvl>
  </w:abstractNum>
  <w:abstractNum w:abstractNumId="68">
    <w:nsid w:val="5F5E7FD0"/>
    <w:multiLevelType w:val="hybridMultilevel"/>
    <w:lvl w:ilvl="0">
      <w:lvlJc w:val="left"/>
      <w:lvlText w:val="%1"/>
      <w:numFmt w:val="decimal"/>
      <w:start w:val="19"/>
    </w:lvl>
  </w:abstractNum>
  <w:abstractNum w:abstractNumId="69">
    <w:nsid w:val="98A3148"/>
    <w:multiLevelType w:val="hybridMultilevel"/>
    <w:lvl w:ilvl="0">
      <w:lvlJc w:val="left"/>
      <w:lvlText w:val="%1"/>
      <w:numFmt w:val="decimal"/>
      <w:start w:val="97"/>
    </w:lvl>
  </w:abstractNum>
  <w:abstractNum w:abstractNumId="70">
    <w:nsid w:val="799D0247"/>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2025-04-14T15:36:25Z</dcterms:created>
  <dcterms:modified xsi:type="dcterms:W3CDTF">2025-04-14T15:36:25Z</dcterms:modified>
</cp:coreProperties>
</file>