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10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31, 2026</w:t>
      </w:r>
    </w:p>
    <w:p>
      <w:pPr>
        <w:spacing w:after="0" w:line="59"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6"/>
          <w:szCs w:val="16"/>
          <w:b w:val="1"/>
          <w:bCs w:val="1"/>
          <w:color w:val="auto"/>
        </w:rPr>
        <w:t>Registration No. 333-292826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269875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PRE-EFFECTIVE AMENDMENT NO. 1</w:t>
      </w:r>
    </w:p>
    <w:p>
      <w:pPr>
        <w:spacing w:after="0" w:line="2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TO</w:t>
      </w:r>
    </w:p>
    <w:p>
      <w:pPr>
        <w:spacing w:after="0" w:line="175" w:lineRule="exact"/>
        <w:rPr>
          <w:sz w:val="24"/>
          <w:szCs w:val="24"/>
          <w:color w:val="auto"/>
        </w:rPr>
      </w:pPr>
    </w:p>
    <w:p>
      <w:pPr>
        <w:jc w:val="center"/>
        <w:ind w:right="-59"/>
        <w:spacing w:after="0" w:line="334" w:lineRule="exact"/>
        <w:rPr>
          <w:sz w:val="20"/>
          <w:szCs w:val="20"/>
          <w:color w:val="auto"/>
        </w:rPr>
      </w:pPr>
      <w:r>
        <w:rPr>
          <w:rFonts w:ascii="Times New Roman" w:cs="Times New Roman" w:eastAsia="Times New Roman" w:hAnsi="Times New Roman"/>
          <w:sz w:val="29"/>
          <w:szCs w:val="29"/>
          <w:b w:val="1"/>
          <w:bCs w:val="1"/>
          <w:color w:val="auto"/>
        </w:rPr>
        <w:t>FORM S</w:t>
      </w:r>
      <w:r>
        <w:rPr>
          <w:rFonts w:ascii="MS PGothic" w:cs="MS PGothic" w:eastAsia="MS PGothic" w:hAnsi="MS PGothic"/>
          <w:sz w:val="29"/>
          <w:szCs w:val="29"/>
          <w:color w:val="auto"/>
          <w:strike w:val="1"/>
        </w:rPr>
        <w:t>‑</w:t>
      </w:r>
      <w:r>
        <w:rPr>
          <w:rFonts w:ascii="Times New Roman" w:cs="Times New Roman" w:eastAsia="Times New Roman" w:hAnsi="Times New Roman"/>
          <w:sz w:val="29"/>
          <w:szCs w:val="29"/>
          <w:b w:val="1"/>
          <w:bCs w:val="1"/>
          <w:color w:val="auto"/>
        </w:rPr>
        <w:t>3 ON FORM S-1</w:t>
      </w:r>
    </w:p>
    <w:p>
      <w:pPr>
        <w:spacing w:after="0" w:line="10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10"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5"/>
          <w:szCs w:val="25"/>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276860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LeonaBio, Inc.</w:t>
      </w:r>
    </w:p>
    <w:p>
      <w:pPr>
        <w:spacing w:after="0" w:line="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219075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700" w:type="dxa"/>
            <w:vAlign w:val="bottom"/>
          </w:tcPr>
          <w:p>
            <w:pPr>
              <w:jc w:val="center"/>
              <w:ind w:right="101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80" w:type="dxa"/>
            <w:vAlign w:val="bottom"/>
          </w:tcPr>
          <w:p>
            <w:pPr>
              <w:jc w:val="center"/>
              <w:ind w:right="88"/>
              <w:spacing w:after="0"/>
              <w:rPr>
                <w:sz w:val="20"/>
                <w:szCs w:val="20"/>
                <w:color w:val="auto"/>
              </w:rPr>
            </w:pPr>
            <w:r>
              <w:rPr>
                <w:rFonts w:ascii="Times New Roman" w:cs="Times New Roman" w:eastAsia="Times New Roman" w:hAnsi="Times New Roman"/>
                <w:sz w:val="18"/>
                <w:szCs w:val="18"/>
                <w:b w:val="1"/>
                <w:bCs w:val="1"/>
                <w:color w:val="auto"/>
                <w:w w:val="99"/>
              </w:rPr>
              <w:t>2836</w:t>
            </w:r>
          </w:p>
        </w:tc>
        <w:tc>
          <w:tcPr>
            <w:tcW w:w="2220" w:type="dxa"/>
            <w:vAlign w:val="bottom"/>
          </w:tcPr>
          <w:p>
            <w:pPr>
              <w:jc w:val="center"/>
              <w:ind w:left="1171"/>
              <w:spacing w:after="0"/>
              <w:rPr>
                <w:sz w:val="20"/>
                <w:szCs w:val="20"/>
                <w:color w:val="auto"/>
              </w:rPr>
            </w:pPr>
            <w:r>
              <w:rPr>
                <w:rFonts w:ascii="Times New Roman" w:cs="Times New Roman" w:eastAsia="Times New Roman" w:hAnsi="Times New Roman"/>
                <w:sz w:val="16"/>
                <w:szCs w:val="16"/>
                <w:b w:val="1"/>
                <w:bCs w:val="1"/>
                <w:color w:val="auto"/>
              </w:rPr>
              <w:t>45-3368487</w:t>
            </w:r>
          </w:p>
        </w:tc>
      </w:tr>
      <w:tr>
        <w:trPr>
          <w:trHeight w:val="182"/>
        </w:trPr>
        <w:tc>
          <w:tcPr>
            <w:tcW w:w="2700" w:type="dxa"/>
            <w:vAlign w:val="bottom"/>
          </w:tcPr>
          <w:p>
            <w:pPr>
              <w:jc w:val="center"/>
              <w:ind w:right="991"/>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880" w:type="dxa"/>
            <w:vAlign w:val="bottom"/>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w w:val="96"/>
              </w:rPr>
              <w:t>(Primary Standard Industrial</w:t>
            </w:r>
          </w:p>
        </w:tc>
        <w:tc>
          <w:tcPr>
            <w:tcW w:w="2220" w:type="dxa"/>
            <w:vAlign w:val="bottom"/>
          </w:tcPr>
          <w:p>
            <w:pPr>
              <w:jc w:val="center"/>
              <w:ind w:left="1151"/>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700" w:type="dxa"/>
            <w:vAlign w:val="bottom"/>
          </w:tcPr>
          <w:p>
            <w:pPr>
              <w:jc w:val="center"/>
              <w:ind w:right="991"/>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880" w:type="dxa"/>
            <w:vAlign w:val="bottom"/>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w w:val="96"/>
              </w:rPr>
              <w:t>Classification Code Number)</w:t>
            </w:r>
          </w:p>
        </w:tc>
        <w:tc>
          <w:tcPr>
            <w:tcW w:w="2220" w:type="dxa"/>
            <w:vAlign w:val="bottom"/>
          </w:tcPr>
          <w:p>
            <w:pPr>
              <w:jc w:val="center"/>
              <w:ind w:left="117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bl>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18706 North Creek Parkway, Suite 104</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Bothell, WA 98011</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(425) 620-8501</w:t>
      </w:r>
    </w:p>
    <w:p>
      <w:pPr>
        <w:spacing w:after="0" w:line="7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389255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Mark Litton, Ph.D.</w:t>
      </w:r>
    </w:p>
    <w:p>
      <w:pPr>
        <w:spacing w:after="0" w:line="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LeonaBio, Inc.</w:t>
      </w:r>
    </w:p>
    <w:p>
      <w:pPr>
        <w:spacing w:after="0" w:line="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18706 North Creek Parkway, Suite 104</w:t>
      </w:r>
    </w:p>
    <w:p>
      <w:pPr>
        <w:spacing w:after="0" w:line="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Bothell, WA 98011</w:t>
      </w:r>
    </w:p>
    <w:p>
      <w:pPr>
        <w:spacing w:after="0" w:line="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(425) 620-8501</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303530</wp:posOffset>
            </wp:positionV>
            <wp:extent cx="21774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tbl>
      <w:tblPr>
        <w:tblLayout w:type="fixed"/>
        <w:tblInd w:w="2540" w:type="dxa"/>
        <w:tblCellMar>
          <w:top w:w="0" w:type="dxa"/>
          <w:left w:w="0" w:type="dxa"/>
          <w:bottom w:w="0" w:type="dxa"/>
          <w:right w:w="0" w:type="dxa"/>
        </w:tblCellMar>
      </w:tblPr>
      <w:tr>
        <w:trPr>
          <w:trHeight w:val="212"/>
        </w:trPr>
        <w:tc>
          <w:tcPr>
            <w:tcW w:w="258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Copies to:</w:t>
            </w:r>
          </w:p>
        </w:tc>
      </w:tr>
      <w:tr>
        <w:trPr>
          <w:trHeight w:val="233"/>
        </w:trPr>
        <w:tc>
          <w:tcPr>
            <w:tcW w:w="25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Michael Nordtvedt</w:t>
            </w:r>
          </w:p>
        </w:tc>
        <w:tc>
          <w:tcPr>
            <w:tcW w:w="396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Mark Worthington</w:t>
            </w:r>
          </w:p>
        </w:tc>
      </w:tr>
      <w:tr>
        <w:trPr>
          <w:trHeight w:val="203"/>
        </w:trPr>
        <w:tc>
          <w:tcPr>
            <w:tcW w:w="25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Bryan D. King</w:t>
            </w:r>
          </w:p>
        </w:tc>
        <w:tc>
          <w:tcPr>
            <w:tcW w:w="396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General Counsel, Chief Compliance Officer &amp;</w:t>
            </w:r>
          </w:p>
        </w:tc>
      </w:tr>
      <w:tr>
        <w:trPr>
          <w:trHeight w:val="203"/>
        </w:trPr>
        <w:tc>
          <w:tcPr>
            <w:tcW w:w="25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Wilson Sonsini Goodrich &amp; Rosati,</w:t>
            </w:r>
          </w:p>
        </w:tc>
        <w:tc>
          <w:tcPr>
            <w:tcW w:w="396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Corporate Secretary</w:t>
            </w:r>
          </w:p>
        </w:tc>
      </w:tr>
      <w:tr>
        <w:trPr>
          <w:trHeight w:val="203"/>
        </w:trPr>
        <w:tc>
          <w:tcPr>
            <w:tcW w:w="25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Professional Corporation</w:t>
            </w:r>
          </w:p>
        </w:tc>
        <w:tc>
          <w:tcPr>
            <w:tcW w:w="396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LeonaBio, Inc.</w:t>
            </w:r>
          </w:p>
        </w:tc>
      </w:tr>
      <w:tr>
        <w:trPr>
          <w:trHeight w:val="203"/>
        </w:trPr>
        <w:tc>
          <w:tcPr>
            <w:tcW w:w="25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701 Fifth Avenue</w:t>
            </w:r>
          </w:p>
        </w:tc>
        <w:tc>
          <w:tcPr>
            <w:tcW w:w="3960" w:type="dxa"/>
            <w:vAlign w:val="bottom"/>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18706 North Creek Parkway, Suite 104</w:t>
            </w:r>
          </w:p>
        </w:tc>
      </w:tr>
      <w:tr>
        <w:trPr>
          <w:trHeight w:val="203"/>
        </w:trPr>
        <w:tc>
          <w:tcPr>
            <w:tcW w:w="25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Suite 5100</w:t>
            </w:r>
          </w:p>
        </w:tc>
        <w:tc>
          <w:tcPr>
            <w:tcW w:w="396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Bothell, Washington 98011</w:t>
            </w:r>
          </w:p>
        </w:tc>
      </w:tr>
      <w:tr>
        <w:trPr>
          <w:trHeight w:val="203"/>
        </w:trPr>
        <w:tc>
          <w:tcPr>
            <w:tcW w:w="25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Seattle, WA 98104-7036</w:t>
            </w:r>
          </w:p>
        </w:tc>
        <w:tc>
          <w:tcPr>
            <w:tcW w:w="396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(425) 620-8501</w:t>
            </w:r>
          </w:p>
        </w:tc>
      </w:tr>
      <w:tr>
        <w:trPr>
          <w:trHeight w:val="212"/>
        </w:trPr>
        <w:tc>
          <w:tcPr>
            <w:tcW w:w="25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(206) 883-2500</w:t>
            </w:r>
          </w:p>
        </w:tc>
        <w:tc>
          <w:tcPr>
            <w:tcW w:w="3960" w:type="dxa"/>
            <w:vAlign w:val="bottom"/>
          </w:tcPr>
          <w:p>
            <w:pPr>
              <w:spacing w:after="0"/>
              <w:rPr>
                <w:sz w:val="18"/>
                <w:szCs w:val="18"/>
                <w:color w:val="auto"/>
              </w:rPr>
            </w:pPr>
          </w:p>
        </w:tc>
      </w:tr>
    </w:tbl>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Approximate date of commencement of proposed sale to the public: As soon as practicable after the effective date of this Registration Statement.</w:t>
      </w:r>
    </w:p>
    <w:p>
      <w:pPr>
        <w:spacing w:after="0" w:line="236" w:lineRule="auto"/>
        <w:rPr>
          <w:sz w:val="20"/>
          <w:szCs w:val="20"/>
          <w:color w:val="auto"/>
        </w:rPr>
      </w:pPr>
      <w:r>
        <w:rPr>
          <w:rFonts w:ascii="Times New Roman" w:cs="Times New Roman" w:eastAsia="Times New Roman" w:hAnsi="Times New Roman"/>
          <w:sz w:val="15"/>
          <w:szCs w:val="15"/>
          <w:color w:val="auto"/>
        </w:rPr>
        <w:t>If any of the securities being registered on this Form are to be offered on a delayed or continuous basis pursuant to Rule 415 under the Securities Act of 1933 check the following box.</w:t>
      </w:r>
    </w:p>
    <w:p>
      <w:pPr>
        <w:spacing w:after="0" w:line="236" w:lineRule="auto"/>
        <w:rPr>
          <w:sz w:val="20"/>
          <w:szCs w:val="20"/>
          <w:color w:val="auto"/>
        </w:rPr>
      </w:pPr>
      <w:r>
        <w:rPr>
          <w:rFonts w:ascii="Wingdings" w:cs="Wingdings" w:eastAsia="Wingdings" w:hAnsi="Wingdings"/>
          <w:sz w:val="15"/>
          <w:szCs w:val="15"/>
          <w:b w:val="1"/>
          <w:bCs w:val="1"/>
          <w:color w:val="auto"/>
        </w:rPr>
        <w:t></w:t>
      </w:r>
    </w:p>
    <w:p>
      <w:pPr>
        <w:ind w:right="540"/>
        <w:spacing w:after="0" w:line="239" w:lineRule="auto"/>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 w:cs="Wingdings" w:eastAsia="Wingdings" w:hAnsi="Wingdings"/>
          <w:sz w:val="15"/>
          <w:szCs w:val="15"/>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45" w:right="399" w:bottom="1440" w:gutter="0" w:footer="0" w:header="0"/>
        </w:sectPr>
      </w:pPr>
    </w:p>
    <w:bookmarkStart w:id="1" w:name="page2"/>
    <w:bookmarkEnd w:id="1"/>
    <w:p>
      <w:pPr>
        <w:ind w:right="100"/>
        <w:spacing w:after="0" w:line="236" w:lineRule="auto"/>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 w:cs="Wingdings" w:eastAsia="Wingdings" w:hAnsi="Wingdings"/>
          <w:sz w:val="15"/>
          <w:szCs w:val="15"/>
          <w:b w:val="1"/>
          <w:bCs w:val="1"/>
          <w:color w:val="auto"/>
        </w:rPr>
        <w:t></w:t>
      </w:r>
    </w:p>
    <w:p>
      <w:pPr>
        <w:spacing w:after="0" w:line="1"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Wingdings" w:cs="Wingdings" w:eastAsia="Wingdings" w:hAnsi="Wingdings"/>
          <w:sz w:val="15"/>
          <w:szCs w:val="15"/>
          <w:b w:val="1"/>
          <w:bCs w:val="1"/>
          <w:color w:val="auto"/>
        </w:rPr>
        <w:t></w:t>
      </w:r>
    </w:p>
    <w:p>
      <w:pPr>
        <w:spacing w:after="0" w:line="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4"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80" w:type="dxa"/>
            <w:vAlign w:val="bottom"/>
          </w:tcPr>
          <w:p>
            <w:pPr>
              <w:ind w:left="1120"/>
              <w:spacing w:after="0"/>
              <w:rPr>
                <w:sz w:val="20"/>
                <w:szCs w:val="20"/>
                <w:color w:val="auto"/>
              </w:rPr>
            </w:pPr>
            <w:r>
              <w:rPr>
                <w:rFonts w:ascii="Wingdings" w:cs="Wingdings" w:eastAsia="Wingdings" w:hAnsi="Wingdings"/>
                <w:sz w:val="14"/>
                <w:szCs w:val="14"/>
                <w:b w:val="1"/>
                <w:bCs w:val="1"/>
                <w:color w:val="auto"/>
              </w:rPr>
              <w:t></w:t>
            </w:r>
          </w:p>
        </w:tc>
        <w:tc>
          <w:tcPr>
            <w:tcW w:w="438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Accelerated filer</w:t>
            </w:r>
          </w:p>
        </w:tc>
        <w:tc>
          <w:tcPr>
            <w:tcW w:w="1120" w:type="dxa"/>
            <w:vAlign w:val="bottom"/>
          </w:tcPr>
          <w:p>
            <w:pPr>
              <w:ind w:left="1000"/>
              <w:spacing w:after="0"/>
              <w:rPr>
                <w:sz w:val="20"/>
                <w:szCs w:val="20"/>
                <w:color w:val="auto"/>
              </w:rPr>
            </w:pPr>
            <w:r>
              <w:rPr>
                <w:rFonts w:ascii="Wingdings" w:cs="Wingdings" w:eastAsia="Wingdings" w:hAnsi="Wingdings"/>
                <w:sz w:val="14"/>
                <w:szCs w:val="14"/>
                <w:b w:val="1"/>
                <w:bCs w:val="1"/>
                <w:color w:val="auto"/>
                <w:w w:val="79"/>
              </w:rPr>
              <w:t></w:t>
            </w:r>
          </w:p>
        </w:tc>
      </w:tr>
      <w:tr>
        <w:trPr>
          <w:trHeight w:val="256"/>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80" w:type="dxa"/>
            <w:vAlign w:val="bottom"/>
          </w:tcPr>
          <w:p>
            <w:pPr>
              <w:ind w:left="1120"/>
              <w:spacing w:after="0"/>
              <w:rPr>
                <w:sz w:val="20"/>
                <w:szCs w:val="20"/>
                <w:color w:val="auto"/>
              </w:rPr>
            </w:pPr>
            <w:r>
              <w:rPr>
                <w:rFonts w:ascii="Wingdings" w:cs="Wingdings" w:eastAsia="Wingdings" w:hAnsi="Wingdings"/>
                <w:sz w:val="14"/>
                <w:szCs w:val="14"/>
                <w:b w:val="1"/>
                <w:bCs w:val="1"/>
                <w:color w:val="auto"/>
              </w:rPr>
              <w:t></w:t>
            </w:r>
          </w:p>
        </w:tc>
        <w:tc>
          <w:tcPr>
            <w:tcW w:w="438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20" w:type="dxa"/>
            <w:vAlign w:val="bottom"/>
          </w:tcPr>
          <w:p>
            <w:pPr>
              <w:ind w:left="1000"/>
              <w:spacing w:after="0"/>
              <w:rPr>
                <w:sz w:val="20"/>
                <w:szCs w:val="20"/>
                <w:color w:val="auto"/>
              </w:rPr>
            </w:pPr>
            <w:r>
              <w:rPr>
                <w:rFonts w:ascii="Wingdings" w:cs="Wingdings" w:eastAsia="Wingdings" w:hAnsi="Wingdings"/>
                <w:sz w:val="14"/>
                <w:szCs w:val="14"/>
                <w:b w:val="1"/>
                <w:bCs w:val="1"/>
                <w:color w:val="auto"/>
                <w:w w:val="79"/>
              </w:rPr>
              <w:t></w:t>
            </w:r>
          </w:p>
        </w:tc>
      </w:tr>
      <w:tr>
        <w:trPr>
          <w:trHeight w:val="257"/>
        </w:trPr>
        <w:tc>
          <w:tcPr>
            <w:tcW w:w="24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438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20" w:type="dxa"/>
            <w:vAlign w:val="bottom"/>
          </w:tcPr>
          <w:p>
            <w:pPr>
              <w:ind w:left="1000"/>
              <w:spacing w:after="0"/>
              <w:rPr>
                <w:sz w:val="20"/>
                <w:szCs w:val="20"/>
                <w:color w:val="auto"/>
              </w:rPr>
            </w:pPr>
            <w:r>
              <w:rPr>
                <w:rFonts w:ascii="Wingdings" w:cs="Wingdings" w:eastAsia="Wingdings" w:hAnsi="Wingdings"/>
                <w:sz w:val="14"/>
                <w:szCs w:val="14"/>
                <w:b w:val="1"/>
                <w:bCs w:val="1"/>
                <w:color w:val="auto"/>
                <w:w w:val="79"/>
              </w:rPr>
              <w:t></w:t>
            </w:r>
          </w:p>
        </w:tc>
      </w:tr>
    </w:tbl>
    <w:p>
      <w:pPr>
        <w:spacing w:after="0" w:line="74"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4"/>
          <w:szCs w:val="14"/>
          <w:b w:val="1"/>
          <w:bCs w:val="1"/>
          <w:color w:val="auto"/>
        </w:rPr>
        <w:t></w:t>
      </w:r>
    </w:p>
    <w:p>
      <w:pPr>
        <w:spacing w:after="0" w:line="70"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201295</wp:posOffset>
            </wp:positionV>
            <wp:extent cx="2305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Pre-Effective Amendment No. 1 to Form S-3 on Form S-1 is being filed by LeonaBio, Inc. (the “Company”) to convert the Registration Statement on Form S-3 (File No. 333-292826) filed by the Company with the Securities and Exchange Commission on January 20, 2026, into a registration statement on Form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8"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Subject to Completion, dated March 31, 2026</w:t>
      </w:r>
    </w:p>
    <w:p>
      <w:pPr>
        <w:spacing w:after="0" w:line="229"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FF0000"/>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-13335</wp:posOffset>
            </wp:positionV>
            <wp:extent cx="1183005" cy="1251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8300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LeonaBio,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58,464,567 Shares of Common Stock</w:t>
      </w:r>
    </w:p>
    <w:p>
      <w:pPr>
        <w:spacing w:after="0" w:line="229"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This prospectus relates to the disposition, from time to time, by the selling stockholders identified in this prospectus under the section titled “Principal and Selling Stockholders” of up to 58,464,567 shares of our common stock, including shares issuable upon the exercise of pre-funded warrants and warrants to purchase our common stock and/or pre-funded warrants.</w:t>
      </w:r>
    </w:p>
    <w:p>
      <w:pPr>
        <w:spacing w:after="0" w:line="176"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The selling stockholders identified herein may or their permitted transferees or other successors-in-interest may, but are not required to, from time to time offer or sell shares of our common stock. See the section titled “Plan of Distribution” for a description of how the selling stockholders may dispose of the shares covered by this prospectus. We do not know when or in what amount the selling stockholders may offer the shares for sale.</w:t>
      </w:r>
    </w:p>
    <w:p>
      <w:pPr>
        <w:spacing w:after="0" w:line="176"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We are not selling any shares of our common stock under this prospectus and we will not receive any proceeds from the sale of our common stock by the selling stockholders. We will receive proceeds from the cash exercise of the pre-funded warrants which, if exercised for cash with respect to all of the 8,816,684 shares of common stock underlying such warrants at the exercise price per share of $0.001, would result in gross proceeds to us of approximately $8,816. We will also receive proceeds from the cash exercise of certain warrants eligible for cash exercise which, if exercised for cash with respect to all of the 23,031,494 shares of common stock underlying such warrants at the exercise price of $6.35, would result in gross proceeds to us of approximately $146,249,987. We have agreed to pay certain expenses related to the registration of the offer and sale of the shares of common stock pursuant to the registration statement of which this prospectus forms a part. The selling stockholders will bear all commissions and discounts, if any, attributable to the sale of the shares.</w:t>
      </w:r>
    </w:p>
    <w:p>
      <w:pPr>
        <w:spacing w:after="0" w:line="192"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“LONA.” On March 16, 2026, the last reported closing sale price of our common stock on The Nasdaq Capital Market was $8.42 per share.</w:t>
      </w:r>
    </w:p>
    <w:p>
      <w:pPr>
        <w:spacing w:after="0" w:line="162"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under the federal securities laws, and, as such, have elected to comply with certain reduced public company reporting requirements for this prospectus and may elect to do so in future filings.</w:t>
      </w:r>
    </w:p>
    <w:p>
      <w:pPr>
        <w:spacing w:after="0" w:line="158" w:lineRule="exact"/>
        <w:rPr>
          <w:sz w:val="20"/>
          <w:szCs w:val="20"/>
          <w:color w:val="auto"/>
        </w:rPr>
      </w:pPr>
    </w:p>
    <w:p>
      <w:pPr>
        <w:ind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w:t>
      </w:r>
      <w:r>
        <w:rPr>
          <w:rFonts w:ascii="Times New Roman" w:cs="Times New Roman" w:eastAsia="Times New Roman" w:hAnsi="Times New Roman"/>
          <w:sz w:val="18"/>
          <w:szCs w:val="18"/>
          <w:b w:val="1"/>
          <w:bCs w:val="1"/>
          <w:color w:val="0000FF"/>
        </w:rPr>
        <w:t>Risk Factors</w:t>
      </w:r>
      <w:r>
        <w:rPr>
          <w:rFonts w:ascii="Times New Roman" w:cs="Times New Roman" w:eastAsia="Times New Roman" w:hAnsi="Times New Roman"/>
          <w:sz w:val="18"/>
          <w:szCs w:val="18"/>
          <w:b w:val="1"/>
          <w:bCs w:val="1"/>
          <w:color w:val="auto"/>
        </w:rPr>
        <w:t xml:space="preserve">” starting on page </w:t>
      </w:r>
      <w:r>
        <w:rPr>
          <w:rFonts w:ascii="Times New Roman" w:cs="Times New Roman" w:eastAsia="Times New Roman" w:hAnsi="Times New Roman"/>
          <w:sz w:val="18"/>
          <w:szCs w:val="18"/>
          <w:b w:val="1"/>
          <w:bCs w:val="1"/>
          <w:u w:val="single" w:color="auto"/>
          <w:color w:val="0000FF"/>
        </w:rPr>
        <w:t>4</w:t>
      </w:r>
      <w:r>
        <w:rPr>
          <w:rFonts w:ascii="Times New Roman" w:cs="Times New Roman" w:eastAsia="Times New Roman" w:hAnsi="Times New Roman"/>
          <w:sz w:val="18"/>
          <w:szCs w:val="18"/>
          <w:b w:val="1"/>
          <w:bCs w:val="1"/>
          <w:color w:val="auto"/>
        </w:rPr>
        <w:t xml:space="preserve"> of this prospectus, and under similar headings in the documents that are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-177165</wp:posOffset>
            </wp:positionV>
            <wp:extent cx="6184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490" cy="8255"/>
                    </a:xfrm>
                    <a:prstGeom prst="rect">
                      <a:avLst/>
                    </a:prstGeom>
                    <a:noFill/>
                  </pic:spPr>
                </pic:pic>
              </a:graphicData>
            </a:graphic>
          </wp:anchor>
        </w:drawing>
        <w:drawing>
          <wp:anchor simplePos="0" relativeHeight="251657728" behindDoc="1" locked="0" layoutInCell="0" allowOverlap="1">
            <wp:simplePos x="0" y="0"/>
            <wp:positionH relativeFrom="column">
              <wp:posOffset>1998345</wp:posOffset>
            </wp:positionH>
            <wp:positionV relativeFrom="paragraph">
              <wp:posOffset>-177165</wp:posOffset>
            </wp:positionV>
            <wp:extent cx="5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51" w:lineRule="exact"/>
        <w:rPr>
          <w:sz w:val="20"/>
          <w:szCs w:val="20"/>
          <w:color w:val="auto"/>
        </w:rPr>
      </w:pPr>
    </w:p>
    <w:p>
      <w:pPr>
        <w:ind w:right="400"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2026.</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378460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9"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2100" w:type="dxa"/>
            <w:vAlign w:val="bottom"/>
            <w:tcBorders>
              <w:bottom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9"/>
              </w:rPr>
              <w:t>PROSPECTUS SUMMARY</w:t>
            </w: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40" w:type="dxa"/>
            <w:vAlign w:val="bottom"/>
            <w:gridSpan w:val="4"/>
          </w:tcPr>
          <w:p>
            <w:pPr>
              <w:jc w:val="right"/>
              <w:ind w:right="40"/>
              <w:spacing w:after="0" w:line="196" w:lineRule="exact"/>
              <w:rPr>
                <w:sz w:val="20"/>
                <w:szCs w:val="20"/>
                <w:color w:val="auto"/>
              </w:rPr>
            </w:pPr>
            <w:r>
              <w:rPr>
                <w:rFonts w:ascii="Times New Roman" w:cs="Times New Roman" w:eastAsia="Times New Roman" w:hAnsi="Times New Roman"/>
                <w:sz w:val="22"/>
                <w:szCs w:val="22"/>
                <w:color w:val="0000FF"/>
              </w:rPr>
              <w:t>1</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rPr>
              <w:t>4</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9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w w:val="99"/>
              </w:rPr>
              <w:t>CAUTIONARY NOTES REGARDING FORWARD-LOOKING STATEMENTS</w:t>
            </w:r>
          </w:p>
        </w:tc>
        <w:tc>
          <w:tcPr>
            <w:tcW w:w="52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rPr>
              <w:t>5</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6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9"/>
              </w:rPr>
              <w:t>USE OF PROCEEDS</w:t>
            </w:r>
          </w:p>
        </w:tc>
        <w:tc>
          <w:tcPr>
            <w:tcW w:w="44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rPr>
              <w:t>7</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5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9"/>
              </w:rPr>
              <w:t>DIVIDEND POLICY</w:t>
            </w:r>
          </w:p>
        </w:tc>
        <w:tc>
          <w:tcPr>
            <w:tcW w:w="460" w:type="dxa"/>
            <w:vAlign w:val="bottom"/>
            <w:gridSpan w:val="2"/>
          </w:tcPr>
          <w:p>
            <w:pPr>
              <w:spacing w:after="0"/>
              <w:rPr>
                <w:sz w:val="20"/>
                <w:szCs w:val="20"/>
                <w:color w:val="auto"/>
              </w:rPr>
            </w:pPr>
          </w:p>
        </w:tc>
        <w:tc>
          <w:tcPr>
            <w:tcW w:w="840" w:type="dxa"/>
            <w:vAlign w:val="bottom"/>
            <w:gridSpan w:val="2"/>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rPr>
              <w:t>8</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8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rPr>
              <w:t>9</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6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9"/>
              </w:rPr>
              <w:t>PRINCIPAL AND SELLING STOCKHOLDERS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rPr>
              <w:t>10</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0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1800" w:type="dxa"/>
            <w:vAlign w:val="bottom"/>
            <w:gridSpan w:val="4"/>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rPr>
              <w:t>18</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4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8"/>
              </w:rPr>
              <w:t>LEGAL MATTERS</w:t>
            </w:r>
          </w:p>
        </w:tc>
        <w:tc>
          <w:tcPr>
            <w:tcW w:w="2360" w:type="dxa"/>
            <w:vAlign w:val="bottom"/>
            <w:gridSpan w:val="7"/>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rPr>
              <w:t>21</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60" w:type="dxa"/>
            <w:vAlign w:val="bottom"/>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3060" w:type="dxa"/>
            <w:vAlign w:val="bottom"/>
            <w:gridSpan w:val="9"/>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rPr>
              <w:t>22</w:t>
            </w:r>
          </w:p>
        </w:tc>
      </w:tr>
      <w:tr>
        <w:trPr>
          <w:trHeight w:val="20"/>
        </w:trPr>
        <w:tc>
          <w:tcPr>
            <w:tcW w:w="40" w:type="dxa"/>
            <w:vAlign w:val="bottom"/>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8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rPr>
              <w:t>23</w:t>
            </w:r>
          </w:p>
        </w:tc>
      </w:tr>
      <w:tr>
        <w:trPr>
          <w:trHeight w:val="20"/>
        </w:trPr>
        <w:tc>
          <w:tcPr>
            <w:tcW w:w="40" w:type="dxa"/>
            <w:vAlign w:val="bottom"/>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2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w w:val="99"/>
              </w:rPr>
              <w:t>INCORPORATION OF CERTAIN INFORMATION BY REFERENCE</w:t>
            </w:r>
          </w:p>
        </w:tc>
        <w:tc>
          <w:tcPr>
            <w:tcW w:w="720" w:type="dxa"/>
            <w:vAlign w:val="bottom"/>
          </w:tcPr>
          <w:p>
            <w:pPr>
              <w:spacing w:after="0"/>
              <w:rPr>
                <w:sz w:val="20"/>
                <w:szCs w:val="20"/>
                <w:color w:val="auto"/>
              </w:rPr>
            </w:pPr>
          </w:p>
        </w:tc>
        <w:tc>
          <w:tcPr>
            <w:tcW w:w="52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rPr>
              <w:t>24</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or contained in any free writing prospectus prepared by or on behalf of us or to which we have referred you. Neither we nor the selling stockholders have authorized anyone to provide any information or to make any representations other than those contained in this prospectus or in any free writing prospectuses prepared by or on behalf of us or to which we have referred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The information contained in this prospectus is accurate only as of its date regardless of the time of delivery of this prospectus or of any sale of securities. Our business, operating results and financial condition may have changed since that date.</w:t>
      </w:r>
    </w:p>
    <w:p>
      <w:pPr>
        <w:spacing w:after="0" w:line="187"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You should also read and consider the information in the documents to which we have referred you under the captions “Where You Can Find More Information” and “Incorporation of Certain Information by Reference” in this prospectus.</w:t>
      </w:r>
    </w:p>
    <w:p>
      <w:pPr>
        <w:spacing w:after="0" w:line="162"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selling stockholders have done anything that would permit this offering or possession or distribution of this prospectus in any jurisdiction where action for that purpose is required, other than in the United States. Persons who come into possession of this prospectus and any free writing prospectus related to this offering in jurisdictions outside the United States are required to inform themselves about and to observe any restrictions as to this offering and the distribution of this prospectus and any such free writing prospectus applicable to that jurisdiction.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378460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943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894334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right="40" w:firstLine="333"/>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together with, the more detailed information and financial statements and related notes thereto incorporated by reference into this prospectus. Before you decide to invest in our common stock, you should read the entire prospectus carefully, including the risk factors and the financial statements and related notes incorporated by reference into this prospectus. Unless the context requires otherwise, in this prospectus the terms “LeonaBio,” the “Company,” “we,” “us” and “our” refer to LeonaBio, Inc., a Delaware corporation, together with its subsidiaries, taken as a whole. This prospectus includes trademarks, service marks and trade names owned by us or other companies. All trademarks, service marks and trade names included in this prospectus are the property of their respective owners.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240" w:firstLine="333"/>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the development of novel therapeutics for high unmet medical needs, including treatment-resistant metastatic breast cancer and amyotrophic lateral sclerosis (“ALS”), with the goal of improving patients’ lives. Our lead drug candidates, lasofoxifene and ATH-1105, are novel, small molecule therapies with the potential to address devastating diseases where current treatment options are limited or ineffective. With a strong commitment to scientific excellence and patient-centered innovation, we aim to advance meaningful new therapies that are designed to treat patients with treatment-resistant metastatic breast cancer and ALS. Our other product candidates include ATH-1020 and new early compounds to address neurodegenerative diseases.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333"/>
        <w:spacing w:after="0" w:line="256" w:lineRule="auto"/>
        <w:rPr>
          <w:sz w:val="20"/>
          <w:szCs w:val="20"/>
          <w:color w:val="auto"/>
        </w:rPr>
      </w:pPr>
      <w:r>
        <w:rPr>
          <w:rFonts w:ascii="Times New Roman" w:cs="Times New Roman" w:eastAsia="Times New Roman" w:hAnsi="Times New Roman"/>
          <w:sz w:val="18"/>
          <w:szCs w:val="18"/>
          <w:color w:val="auto"/>
        </w:rPr>
        <w:t>We were incorporated in Washington as a corporation in March 2011 under the name M3 Biotechnology, Inc. In October 2015, we converted to a Delaware corporation and subsequently changed our name to “Athira Pharma, Inc.” In January 2026, we changed our name to “LeonaBio, Inc.” Our principal executive office is located at 18706 North Creek Parkway, Suite 104, Bothell Washington 98011. Our telephone number is (425) 620-8501. Our website is www.leonabio.com. Information contained in, or that can be accessed through, our website is not a part of, and is not incorporated into, this report, and the inclusion of our website address in this report is an inactive textual reference only.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229" w:lineRule="exact"/>
        <w:rPr>
          <w:sz w:val="20"/>
          <w:szCs w:val="20"/>
          <w:color w:val="auto"/>
        </w:rPr>
      </w:pPr>
    </w:p>
    <w:p>
      <w:pPr>
        <w:ind w:right="40" w:firstLine="333"/>
        <w:spacing w:after="0" w:line="256" w:lineRule="auto"/>
        <w:rPr>
          <w:sz w:val="20"/>
          <w:szCs w:val="20"/>
          <w:color w:val="auto"/>
        </w:rPr>
      </w:pPr>
      <w:r>
        <w:rPr>
          <w:rFonts w:ascii="Times New Roman" w:cs="Times New Roman" w:eastAsia="Times New Roman" w:hAnsi="Times New Roman"/>
          <w:sz w:val="18"/>
          <w:szCs w:val="18"/>
          <w:color w:val="auto"/>
        </w:rPr>
        <w:t>The selling stockholders named in this prospectus may offer and sell up to 58,464,567 shares of our common stock, including shares issuable upon the exercise of pre-funded warrants and warrants to purchase our common stock and/or pre-funded warrants. Our common stock is listed on The Nasdaq Capital Market under the symbol “LONA.” We will not receive any proceeds from sales by the selling stockholders of any of the shares of common stock covered by this prospectus. We will receive proceeds from any cash exercise of pre-funded warrants or warrants to purchase the shares included in the shares that are being offered by the selling stockholders hereunder. See the section titled “Use of Proceeds.”</w:t>
      </w:r>
    </w:p>
    <w:p>
      <w:pPr>
        <w:spacing w:after="0" w:line="187" w:lineRule="exact"/>
        <w:rPr>
          <w:sz w:val="20"/>
          <w:szCs w:val="20"/>
          <w:color w:val="auto"/>
        </w:rPr>
      </w:pPr>
    </w:p>
    <w:p>
      <w:pPr>
        <w:ind w:right="160" w:firstLine="333"/>
        <w:spacing w:after="0" w:line="255" w:lineRule="auto"/>
        <w:rPr>
          <w:sz w:val="20"/>
          <w:szCs w:val="20"/>
          <w:color w:val="auto"/>
        </w:rPr>
      </w:pPr>
      <w:r>
        <w:rPr>
          <w:rFonts w:ascii="Times New Roman" w:cs="Times New Roman" w:eastAsia="Times New Roman" w:hAnsi="Times New Roman"/>
          <w:sz w:val="18"/>
          <w:szCs w:val="18"/>
          <w:color w:val="auto"/>
        </w:rPr>
        <w:t>Throughout this prospectus, when we refer to the shares of our common stock, the offer and sale of which are being registered on behalf of the selling stockholders, we are referring to the shares of common stock that have been issued to or are issuable upon the exercise of pre-funded warrants or warrants to the stockholders listed in the section titled “Principal and Selling Stockholders,” pursuant to the applicable securities purchase agreement described below. When we refer to the selling stockholders in this prospectus, we are referring to the investors in our December 2025 private placement (the “PIPE Purchasers”) and, as applicable, any donees, pledgees, transferees or other successors-in-interest selling shares received after the date of this prospectus from the PIPE Purchasers as a gift, pledge or other non-sale related transfer.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2025 Private Placement</w:t>
      </w:r>
    </w:p>
    <w:p>
      <w:pPr>
        <w:spacing w:after="0" w:line="229" w:lineRule="exact"/>
        <w:rPr>
          <w:sz w:val="20"/>
          <w:szCs w:val="20"/>
          <w:color w:val="auto"/>
        </w:rPr>
      </w:pPr>
    </w:p>
    <w:p>
      <w:pPr>
        <w:ind w:right="80" w:firstLine="333"/>
        <w:spacing w:after="0" w:line="266" w:lineRule="auto"/>
        <w:rPr>
          <w:sz w:val="20"/>
          <w:szCs w:val="20"/>
          <w:color w:val="auto"/>
        </w:rPr>
      </w:pPr>
      <w:r>
        <w:rPr>
          <w:rFonts w:ascii="Times New Roman" w:cs="Times New Roman" w:eastAsia="Times New Roman" w:hAnsi="Times New Roman"/>
          <w:sz w:val="18"/>
          <w:szCs w:val="18"/>
          <w:color w:val="auto"/>
        </w:rPr>
        <w:t>On December 18, 2025, we entered into a securities purchase agreement (the “PIPE SPA”) for a private placement with the PIPE Purchasers, one of which is affiliated with a member of our board of directors. Pursuant to such agreement, the PIPE Purchasers received an aggregate of (1) 5,356,547 shares of our common stock (the “PIPE Initial</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541655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120" w:top="1440" w:right="819" w:bottom="1440" w:gutter="0" w:footer="0" w:header="0"/>
        </w:sectPr>
      </w:pPr>
    </w:p>
    <w:bookmarkStart w:id="5" w:name="page6"/>
    <w:bookmarkEnd w:id="5"/>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669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8669020"/>
                    </a:xfrm>
                    <a:prstGeom prst="rect">
                      <a:avLst/>
                    </a:prstGeom>
                    <a:noFill/>
                  </pic:spPr>
                </pic:pic>
              </a:graphicData>
            </a:graphic>
          </wp:anchor>
        </w:drawing>
      </w:r>
    </w:p>
    <w:p>
      <w:pPr>
        <w:ind w:right="100"/>
        <w:spacing w:after="0" w:line="255" w:lineRule="auto"/>
        <w:rPr>
          <w:sz w:val="20"/>
          <w:szCs w:val="20"/>
          <w:color w:val="auto"/>
        </w:rPr>
      </w:pPr>
      <w:r>
        <w:rPr>
          <w:rFonts w:ascii="Times New Roman" w:cs="Times New Roman" w:eastAsia="Times New Roman" w:hAnsi="Times New Roman"/>
          <w:sz w:val="18"/>
          <w:szCs w:val="18"/>
          <w:color w:val="auto"/>
        </w:rPr>
        <w:t>Shares”), (2) pre-funded warrants to purchase 8,816,684 shares of our common stock (the “PIPE Pre-Funded Warrants”), (3) warrants to purchase 23,031,494 shares of our common stock and/or pre-funded warrants (the “PIPE Series A Common Warrants”) and (4) warrants to purchase 21,259,842 shares of our common stock and/or pre-funded warrants (the “PIPE Series B Common Warrants” and, together with the PIPE Pre-Funded Warrants and the PIPE Series A Common Warrants, the “PIPE Warrants”). The purchase price for each PIPE Initial Share was $6.350 and the purchase price for each PIPE Pre-Funded Warrant was $6.349, for an aggregate purchase price of approximately $90 million. The closing of the purchase and sale of the PIPE Initial Shares and the PIPE Warrants occurred on December 23, 2025.</w:t>
      </w:r>
    </w:p>
    <w:p>
      <w:pPr>
        <w:spacing w:after="0" w:line="189" w:lineRule="exact"/>
        <w:rPr>
          <w:sz w:val="20"/>
          <w:szCs w:val="20"/>
          <w:color w:val="auto"/>
        </w:rPr>
      </w:pPr>
    </w:p>
    <w:p>
      <w:pPr>
        <w:ind w:firstLine="333"/>
        <w:spacing w:after="0" w:line="252" w:lineRule="auto"/>
        <w:rPr>
          <w:sz w:val="20"/>
          <w:szCs w:val="20"/>
          <w:color w:val="auto"/>
        </w:rPr>
      </w:pPr>
      <w:r>
        <w:rPr>
          <w:rFonts w:ascii="Times New Roman" w:cs="Times New Roman" w:eastAsia="Times New Roman" w:hAnsi="Times New Roman"/>
          <w:sz w:val="18"/>
          <w:szCs w:val="18"/>
          <w:color w:val="auto"/>
        </w:rPr>
        <w:t>The PIPE Pre-Funded Warrants are immediately exercisable at an exercise price of $0.001 per share, subject to adjustments as provided therein and the restrictions discussed below. The PIPE Series A Common Warrants are exercisable at an exercise price of $6.35 per share, subject to adjustments as provided therein and the restrictions discussed below, after the earlier of (1) the latest of (a) June 30, 2026, (b) the date on which the Company publicly announces, by means of a widely disseminated press release or a Current Report on Form 8-K, the enrollment of the 500th subject or the last subject, whichever is earlier, in the ELAINE-3 Trial; provided that the total enrollment will be no less than 500 subjects unless the study’s Data Safety Monitoring Board recommends stopping enrollment at an earlier time or unless the FDA permits a different number for subject enrollment in a protocol amendment and (c) the date on which the FDA approves or issues a complete response letter to Eli Lilly &amp; Co.’s marketing application, including a supplement to a new drug application, for imlunestrant in combination with abemaciclib in breast cancer, and (2) October 31, 2026 (the “PIPE Series A Common Warrant Initial Exercise Date” and such exercise limitation, the “PIPE Series A Common Warrant Exercise Limitation”). The PIPE Series A Common Warrants will remain exercisable until the 30th day following the PIPE Series A Common Warrant Initial Exercise Date (the “PIPE Series A Common Warrant Termination Date”), except that if the PIPE Series A Common Warrant Initial Exercise Date has not occurred by December 23, 2030, then December 23, 2030 will be the PIPE Series A Common Warrant Termination Date. The PIPE Series B Common Warrants are exercisable at an exercise price of $7.62 per share payable on a cashless net exercise basis, subject to adjustments as provided therein and the restrictions discussed below, after the later of (1) June 30, 2026 and (2) the date of the completion of the public readout of topline results of the ELAINE-3 Trial (the later of (1) and (2), the “PIPE Series B Common Warrant Initial Exercise Date” and such exercise limitation, the “PIPE Series B Common Warrant Exercise Limitation”). The PIPE Series B Common Warrants will remain exercisable until the 30th day following the PIPE Series B Common Warrant Initial Exercise Date (the “PIPE Series B Common Warrant Termination Date”), except that if the PIPE Series B Common Warrant Initial Exercise Date has not occurred by December 23, 2030, then December 23, 2030 will be the PIPE Series B Common Warrant Termination Date.</w:t>
      </w:r>
    </w:p>
    <w:p>
      <w:pPr>
        <w:spacing w:after="0" w:line="189" w:lineRule="exact"/>
        <w:rPr>
          <w:sz w:val="20"/>
          <w:szCs w:val="20"/>
          <w:color w:val="auto"/>
        </w:rPr>
      </w:pPr>
    </w:p>
    <w:p>
      <w:pPr>
        <w:ind w:right="40" w:firstLine="333"/>
        <w:spacing w:after="0" w:line="252" w:lineRule="auto"/>
        <w:rPr>
          <w:sz w:val="20"/>
          <w:szCs w:val="20"/>
          <w:color w:val="auto"/>
        </w:rPr>
      </w:pPr>
      <w:r>
        <w:rPr>
          <w:rFonts w:ascii="Times New Roman" w:cs="Times New Roman" w:eastAsia="Times New Roman" w:hAnsi="Times New Roman"/>
          <w:sz w:val="18"/>
          <w:szCs w:val="18"/>
          <w:color w:val="auto"/>
        </w:rPr>
        <w:t>None of the PIPE Pre-Funded Warrants, the PIPE Series A Common Warrants or the PIPE Series B Common Warrants can be exercised if, immediately prior to or following such exercise, the applicable PIPE Purchaser, together with its affiliates and any other persons whose beneficial ownership of shares of our common stock would be aggregated with the PIPE Purchaser for purposes of Section 13(d) of the Securities Exchange Act of 1934, as amended (the “Exchange Act”), would beneficially own more than 4.99%, 9.99% or 19.99%, at the election of the PIPE Purchaser (in each case, the “PIPE Maximum Percentage”) of the total number of issued and outstanding shares of our common stock following such exercise. If, upon exercise of the PIPE Series A Common Warrants or PIPE Series B Common Warrants, a PIPE Purchaser would exceed a PIPE Purchaser’s respective PIPE Maximum Percentage, then the PIPE Series A Common Warrants and PIPE Series B Common Warrants may be exercised for pre-funded warrants to purchase shares of our common stock, which pre-funded warrants will have terms substantially the same as the PIPE Pre-Funded Warrants. A PIPE Purchaser’s respective PIPE Maximum Percentage may be increased or decreased by a PIPE Purchaser with 61 days’ written notice to us; provided, however, that such percentage may in no event exceed (1) 19.99% prior to a vote of our stockholders approving the removal of such exercise limitation, which vote was obtained with respect to Perceptive Life Sciences Master Fund, Ltd. and Perceptive Xontogeny Venture Fund II, LP (collectively, the “Perceptive Entities”) at a special meeting held on March 18, 2026 or (2) with respect to certain PIPE Purchasers, 4.99%.</w:t>
      </w:r>
    </w:p>
    <w:p>
      <w:pPr>
        <w:spacing w:after="0" w:line="197" w:lineRule="exact"/>
        <w:rPr>
          <w:sz w:val="20"/>
          <w:szCs w:val="20"/>
          <w:color w:val="auto"/>
        </w:rPr>
      </w:pPr>
    </w:p>
    <w:p>
      <w:pPr>
        <w:ind w:right="140" w:firstLine="555"/>
        <w:spacing w:after="0" w:line="282" w:lineRule="auto"/>
        <w:rPr>
          <w:sz w:val="20"/>
          <w:szCs w:val="20"/>
          <w:color w:val="auto"/>
        </w:rPr>
      </w:pPr>
      <w:r>
        <w:rPr>
          <w:rFonts w:ascii="Times New Roman" w:cs="Times New Roman" w:eastAsia="Times New Roman" w:hAnsi="Times New Roman"/>
          <w:sz w:val="18"/>
          <w:szCs w:val="18"/>
          <w:color w:val="auto"/>
        </w:rPr>
        <w:t>We also entered into a registration rights agreement with the PIPE Purchasers requiring us to register the resale of the Shares and the shares issuable upon exercise of the PIPE Warrants.</w:t>
      </w:r>
    </w:p>
    <w:p>
      <w:pPr>
        <w:spacing w:after="0" w:line="162" w:lineRule="exact"/>
        <w:rPr>
          <w:sz w:val="20"/>
          <w:szCs w:val="20"/>
          <w:color w:val="auto"/>
        </w:rPr>
      </w:pPr>
    </w:p>
    <w:p>
      <w:pPr>
        <w:ind w:right="40" w:firstLine="333"/>
        <w:spacing w:after="0" w:line="282" w:lineRule="auto"/>
        <w:rPr>
          <w:sz w:val="20"/>
          <w:szCs w:val="20"/>
          <w:color w:val="auto"/>
        </w:rPr>
      </w:pPr>
      <w:r>
        <w:rPr>
          <w:rFonts w:ascii="Times New Roman" w:cs="Times New Roman" w:eastAsia="Times New Roman" w:hAnsi="Times New Roman"/>
          <w:sz w:val="18"/>
          <w:szCs w:val="18"/>
          <w:color w:val="auto"/>
        </w:rPr>
        <w:t>Pursuant to the terms of the PIPE SPA, for so long as funds affiliated with each of Commodore Capital LP (“Commodore”) and TCG Crossover Management LLC (“TGCX”), respectively, beneficially own 5% or more in the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541655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1120" w:top="1440" w:right="799" w:bottom="1440" w:gutter="0" w:footer="0" w:header="0"/>
        </w:sectPr>
      </w:pPr>
    </w:p>
    <w:bookmarkStart w:id="6" w:name="page7"/>
    <w:bookmarkEnd w:id="6"/>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3319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3319780"/>
                    </a:xfrm>
                    <a:prstGeom prst="rect">
                      <a:avLst/>
                    </a:prstGeom>
                    <a:noFill/>
                  </pic:spPr>
                </pic:pic>
              </a:graphicData>
            </a:graphic>
          </wp:anchor>
        </w:drawing>
      </w:r>
    </w:p>
    <w:p>
      <w:pPr>
        <w:spacing w:after="0" w:line="255" w:lineRule="auto"/>
        <w:rPr>
          <w:sz w:val="20"/>
          <w:szCs w:val="20"/>
          <w:color w:val="auto"/>
        </w:rPr>
      </w:pPr>
      <w:r>
        <w:rPr>
          <w:rFonts w:ascii="Times New Roman" w:cs="Times New Roman" w:eastAsia="Times New Roman" w:hAnsi="Times New Roman"/>
          <w:sz w:val="18"/>
          <w:szCs w:val="18"/>
          <w:color w:val="auto"/>
        </w:rPr>
        <w:t>aggregate of the issued and outstanding common stock of the Company (including any shares of common stock issuable upon the exercise of any outstanding PIPE Warrants whose initial exercise date has occurred, without otherwise giving effect to any limitations on exercise of the PIPE Warrants), each of Commodore and TCGX will be entitled to designate one member of our board of directors, and the Company will take all actions reasonably necessary to have such designee promptly appointed to the board, including, but not limited to, increasing the size of the board to accommodate the appointment of such designee, subject to specified conditions. In addition, the Company has agreed to use its reasonable best efforts to cause the resignation of two (2) current members of the board by the six (6) month anniversary of December 23, 2025.</w:t>
      </w:r>
    </w:p>
    <w:p>
      <w:pPr>
        <w:spacing w:after="0" w:line="189" w:lineRule="exact"/>
        <w:rPr>
          <w:sz w:val="20"/>
          <w:szCs w:val="20"/>
          <w:color w:val="auto"/>
        </w:rPr>
      </w:pPr>
    </w:p>
    <w:p>
      <w:pPr>
        <w:ind w:right="460" w:firstLine="333"/>
        <w:spacing w:after="0" w:line="282"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titled “Plan of Distribution.”</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541655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120" w:top="1440" w:right="81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31" w:lineRule="exact"/>
        <w:rPr>
          <w:sz w:val="20"/>
          <w:szCs w:val="20"/>
          <w:color w:val="auto"/>
        </w:rPr>
      </w:pPr>
    </w:p>
    <w:p>
      <w:pPr>
        <w:ind w:firstLine="374"/>
        <w:spacing w:after="0" w:line="25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An investment in our securities involves a high degree of risk. Before you invest you should carefully consider the risks and uncertainties described in “Part I. Item 1A - Risk Factors” in our </w:t>
      </w:r>
      <w:hyperlink r:id="rId29">
        <w:r>
          <w:rPr>
            <w:rFonts w:ascii="Times New Roman" w:cs="Times New Roman" w:eastAsia="Times New Roman" w:hAnsi="Times New Roman"/>
            <w:sz w:val="18"/>
            <w:szCs w:val="18"/>
            <w:i w:val="1"/>
            <w:iCs w:val="1"/>
            <w:u w:val="single" w:color="auto"/>
            <w:color w:val="0000FF"/>
          </w:rPr>
          <w:t>Annual Report on Form 10-K</w:t>
        </w:r>
      </w:hyperlink>
      <w:r>
        <w:rPr>
          <w:rFonts w:ascii="Times New Roman" w:cs="Times New Roman" w:eastAsia="Times New Roman" w:hAnsi="Times New Roman"/>
          <w:sz w:val="18"/>
          <w:szCs w:val="18"/>
          <w:i w:val="1"/>
          <w:iCs w:val="1"/>
          <w:color w:val="auto"/>
        </w:rPr>
        <w:t>, filed with the SEC on March 31, 2026, which are incorporated by reference in this prospectus, together with all of the other information contained in this prospectus and the documents incorporated by reference herein. If any of these risks actually occur, our business, operating results and financial condition could be materially and adversely impacted, the market price of our common stock could decline and you could lose all or part of your investment. Additional risks and uncertainties not presently known or which we consider immaterial as of the date hereof may also have an adverse effect on our business. The Risk Factors are not guarantees that no such conditions exist as of the date of this prospectus and should not be interpreted as an affirmative statement that such risks or conditions have not materialized, in whole or in part. The risks and uncertainties we have described are not the only ones we face. Additional risks and uncertainties not presently known to us or that we currently deem immaterial may also affect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1826895</wp:posOffset>
            </wp:positionH>
            <wp:positionV relativeFrom="paragraph">
              <wp:posOffset>-988060</wp:posOffset>
            </wp:positionV>
            <wp:extent cx="13519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NOTES REGARDING FORWARD-LOOKING STATEMENTS</w:t>
      </w:r>
    </w:p>
    <w:p>
      <w:pPr>
        <w:spacing w:after="0" w:line="31" w:lineRule="exact"/>
        <w:rPr>
          <w:sz w:val="20"/>
          <w:szCs w:val="20"/>
          <w:color w:val="auto"/>
        </w:rPr>
      </w:pPr>
    </w:p>
    <w:p>
      <w:pPr>
        <w:ind w:firstLine="374"/>
        <w:spacing w:after="0" w:line="251"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herein contain certain forward-looking statements within the meaning of Section 27A of the Securities Act of 1933, as amended (the “Securities Act”) and Section 21E of the Exchange Act. Forward-looking statements are based on Company management’s beliefs and assumptions and on information currently available to management. The statements in this prospectus and the information incorporated by reference in this prospectus that are not purely historical are forward-looking statements. In some cases, you can identify forward-looking statements by such words as “anticipate,” “believe,” “continue,” “could,” “estimate,” “expect,” “intend,” “may,” “ongoing,” “plan,” “possible,” “potential,” “predict,” “on track,” “project,” “should,” “target,” “will,” “would” or the negative of these terms or words of similar import,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and are based on current expectations that involve risks and uncertainties, such as our plans, projections, objectives, expectations and intentions. These forward-looking statements include, but are not limited to, statements about:</w:t>
      </w:r>
    </w:p>
    <w:p>
      <w:pPr>
        <w:spacing w:after="0" w:line="192"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investments to fund our future operating expenses and capital expenditure requirements</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9" w:lineRule="exact"/>
        <w:rPr>
          <w:rFonts w:ascii="Times New Roman" w:cs="Times New Roman" w:eastAsia="Times New Roman" w:hAnsi="Times New Roman"/>
          <w:sz w:val="18"/>
          <w:szCs w:val="18"/>
          <w:color w:val="auto"/>
        </w:rPr>
      </w:pPr>
    </w:p>
    <w:p>
      <w:pPr>
        <w:ind w:left="760" w:right="420" w:hanging="378"/>
        <w:spacing w:after="0" w:line="250"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develop and commercialize our drug candidates and funding necessary for the payment of future milestone and other payments that may be earned by our collaboration partners;</w:t>
      </w: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nonclinical studies and clinical trials to demonstrate safety and efficacy of our drug candidates;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development activities, nonclinical studies and clinical trials;</w:t>
      </w:r>
    </w:p>
    <w:p>
      <w:pPr>
        <w:spacing w:after="0" w:line="9" w:lineRule="exact"/>
        <w:rPr>
          <w:rFonts w:ascii="Times New Roman" w:cs="Times New Roman" w:eastAsia="Times New Roman" w:hAnsi="Times New Roman"/>
          <w:sz w:val="18"/>
          <w:szCs w:val="18"/>
          <w:color w:val="auto"/>
        </w:rPr>
      </w:pPr>
    </w:p>
    <w:p>
      <w:pPr>
        <w:ind w:left="760" w:right="180" w:hanging="378"/>
        <w:spacing w:after="0" w:line="250"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to complete the Phase 3 ELAINE-3 clinical trial for lasofoxifene and any subsequent clinical trials to show the clinical benefits of lasofoxifene;</w:t>
      </w:r>
    </w:p>
    <w:p>
      <w:pPr>
        <w:ind w:left="760" w:right="180" w:hanging="378"/>
        <w:spacing w:after="0" w:line="250"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Phase 2 ATH-1105 clinical trial and any subsequent clinical trials to show the beneficial characteristics, safety and efficacy of ATH-1105;</w:t>
      </w: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drug candidates;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learnings from our ongoing clinical trials and their ability to inform and improve future clinical development plans;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focus of our future clinical trials, and the reporting of data from those trials;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milestone timelines, such as the timing of data releases, and our ability to meet such timelines;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drug candidates, if approved;</w:t>
      </w:r>
    </w:p>
    <w:p>
      <w:pPr>
        <w:spacing w:after="0" w:line="9" w:lineRule="exact"/>
        <w:rPr>
          <w:rFonts w:ascii="Times New Roman" w:cs="Times New Roman" w:eastAsia="Times New Roman" w:hAnsi="Times New Roman"/>
          <w:sz w:val="18"/>
          <w:szCs w:val="18"/>
          <w:color w:val="auto"/>
        </w:rPr>
      </w:pPr>
    </w:p>
    <w:p>
      <w:pPr>
        <w:ind w:left="760" w:right="480" w:hanging="378"/>
        <w:spacing w:after="0" w:line="250"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establish sales, marketing and distribution infrastructure to commercialize any drug candidates for which we obtain approval;</w:t>
      </w: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managerial, scientific and clinical personnel and the expected contributions of such personnel;</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lasofoxifene to be a new standard of care in the genetically defined patient group;</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drug candidates, if approved;</w:t>
      </w:r>
    </w:p>
    <w:p>
      <w:pPr>
        <w:spacing w:after="0" w:line="9" w:lineRule="exact"/>
        <w:rPr>
          <w:rFonts w:ascii="Times New Roman" w:cs="Times New Roman" w:eastAsia="Times New Roman" w:hAnsi="Times New Roman"/>
          <w:sz w:val="18"/>
          <w:szCs w:val="18"/>
          <w:color w:val="auto"/>
        </w:rPr>
      </w:pPr>
    </w:p>
    <w:p>
      <w:pPr>
        <w:ind w:left="760" w:right="480" w:hanging="378"/>
        <w:spacing w:after="0" w:line="250"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clinical trials of our drug candidates, and for the manufacture of our drug candidates for nonclinical studies and clinical trials;</w:t>
      </w: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and efficacy of our drug candidates;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other jurisdictions;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ind w:left="760" w:right="640" w:hanging="378"/>
        <w:spacing w:after="0" w:line="261"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drug candidates in the United States and other jurisdictions, and any related restrictions, limitations or warnings in the label of any approved drug candidate;</w:t>
      </w: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our drug candidates;</w:t>
      </w:r>
    </w:p>
    <w:p>
      <w:pPr>
        <w:spacing w:after="0" w:line="9" w:lineRule="exact"/>
        <w:rPr>
          <w:rFonts w:ascii="Times New Roman" w:cs="Times New Roman" w:eastAsia="Times New Roman" w:hAnsi="Times New Roman"/>
          <w:sz w:val="18"/>
          <w:szCs w:val="18"/>
          <w:color w:val="auto"/>
        </w:rPr>
      </w:pPr>
    </w:p>
    <w:p>
      <w:pPr>
        <w:ind w:left="760" w:right="80" w:hanging="378"/>
        <w:spacing w:after="0" w:line="25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capacity and capability relating to the further development and manufacturing of our drug candidates, including additional indications for which we may pursue regulatory approval;</w:t>
      </w: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drug candidates and technology;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proceedings which may in the future be instituted against us and certain of our directors and officers;</w:t>
      </w:r>
    </w:p>
    <w:p>
      <w:pPr>
        <w:spacing w:after="0" w:line="9" w:lineRule="exact"/>
        <w:rPr>
          <w:rFonts w:ascii="Times New Roman" w:cs="Times New Roman" w:eastAsia="Times New Roman" w:hAnsi="Times New Roman"/>
          <w:sz w:val="18"/>
          <w:szCs w:val="18"/>
          <w:color w:val="auto"/>
        </w:rPr>
      </w:pPr>
    </w:p>
    <w:p>
      <w:pPr>
        <w:ind w:left="760" w:right="460" w:hanging="378"/>
        <w:spacing w:after="0" w:line="25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by activist stockholders, which have in the past been, and may in the future be, disruptive and could cause uncertainty about the strategic direction of our business;</w:t>
      </w: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drug candidates, if approved for commercial use, and our ability to serve those markets;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any strategic collaborations, partnerships, or other transactions we may enter into.</w:t>
      </w:r>
    </w:p>
    <w:p>
      <w:pPr>
        <w:spacing w:after="0" w:line="207" w:lineRule="exact"/>
        <w:rPr>
          <w:sz w:val="20"/>
          <w:szCs w:val="20"/>
          <w:color w:val="auto"/>
        </w:rPr>
      </w:pPr>
    </w:p>
    <w:p>
      <w:pPr>
        <w:ind w:right="40" w:firstLine="374"/>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the Risk Factors and elsewhere in “Part I. Item 1A - Risk Factors” in our </w:t>
      </w:r>
      <w:hyperlink r:id="rId29">
        <w:r>
          <w:rPr>
            <w:rFonts w:ascii="Times New Roman" w:cs="Times New Roman" w:eastAsia="Times New Roman" w:hAnsi="Times New Roman"/>
            <w:sz w:val="18"/>
            <w:szCs w:val="18"/>
            <w:u w:val="single" w:color="auto"/>
            <w:color w:val="0000FF"/>
          </w:rPr>
          <w:t>Annual Report on Form 10-K</w:t>
        </w:r>
      </w:hyperlink>
      <w:r>
        <w:rPr>
          <w:rFonts w:ascii="Times New Roman" w:cs="Times New Roman" w:eastAsia="Times New Roman" w:hAnsi="Times New Roman"/>
          <w:sz w:val="18"/>
          <w:szCs w:val="18"/>
          <w:color w:val="auto"/>
        </w:rPr>
        <w:t>, filed with the SEC on March 31, 2026. These statements, like all statements in this report, speak only as of their date and we undertake no obligation to update or revise these statements in light of future developments. Our ability to advance the development of our product candidates is subject to risks and uncertainties, including: (1) unexpected costs, charges or expenses resulting from any transactions; (2) potential adverse reactions or changes to business relationships resulting from the announcement or completion of any transactions; and (3) risks associated with the possible failure to realize certain anticipated benefits of any transactions, including with respect to future financial and operating results. The Risk Factors are not guarantees that no such conditions exist as of the date of this prospectus and should not be interpreted as an affirmative statement that such risks or conditions have not materialized,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-854075</wp:posOffset>
            </wp:positionV>
            <wp:extent cx="13582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168"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our securities by the selling stockholders.</w:t>
      </w:r>
    </w:p>
    <w:p>
      <w:pPr>
        <w:spacing w:after="0" w:line="225"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will receive proceeds from the cash exercise of the pre-funded warrants which, if exercised for cash with respect to all of the 8,816,684 shares of common stock underlying such pre-funded warrants at the exercise price per share of $0.001, would result in gross proceeds to us of approximately $8,816. There can be no assurance that any of the pre-funded warrants will be exercised by the selling stockholders or that they will exercise the pre-funded warrants for cash instead of using the cashless exercise feature. We will also receive proceeds from the cash exercise of certain warrants eligible for cash exercise which, if exercised for cash with respect to all of the 23,031,494 shares of common stock underlying such warrants at the exercise price of $6.35, would result in gross proceeds to us of approximately $146,249,987.</w:t>
      </w:r>
    </w:p>
    <w:p>
      <w:pPr>
        <w:spacing w:after="0" w:line="187" w:lineRule="exact"/>
        <w:rPr>
          <w:sz w:val="20"/>
          <w:szCs w:val="20"/>
          <w:color w:val="auto"/>
        </w:rPr>
      </w:pPr>
    </w:p>
    <w:p>
      <w:pPr>
        <w:ind w:right="400" w:firstLine="374"/>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if any, from the cash exercise of the pre-funded warrants and the warrants for working capital purposes and to advance lasofoxifene and the drug candidates in our existing pipeline.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1" w:name="page12"/>
    <w:bookmarkEnd w:id="1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In addition, our credit facility materially restricts, and future debt instruments we issue may materially restrict, our ability to pay dividends on our common stock. Payment of future cash dividends, if any, will be at the discretion of our board of directors after taking into account various factors, including our financial condition, operating results, current and anticipated cash needs, the requirements of current or then-existing debt instruments and other factors our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2" w:name="page13"/>
    <w:bookmarkEnd w:id="1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31" w:lineRule="exact"/>
        <w:rPr>
          <w:sz w:val="20"/>
          <w:szCs w:val="20"/>
          <w:color w:val="auto"/>
        </w:rPr>
      </w:pPr>
    </w:p>
    <w:p>
      <w:pPr>
        <w:ind w:right="620" w:firstLine="37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is incorporated by reference to </w:t>
      </w:r>
      <w:hyperlink r:id="rId37">
        <w:r>
          <w:rPr>
            <w:rFonts w:ascii="Times New Roman" w:cs="Times New Roman" w:eastAsia="Times New Roman" w:hAnsi="Times New Roman"/>
            <w:sz w:val="18"/>
            <w:szCs w:val="18"/>
            <w:u w:val="single" w:color="auto"/>
            <w:color w:val="0000FF"/>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fiscal year ended December 31, 2025, filed with the SEC on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-172720</wp:posOffset>
            </wp:positionV>
            <wp:extent cx="5080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508000" cy="8255"/>
                    </a:xfrm>
                    <a:prstGeom prst="rect">
                      <a:avLst/>
                    </a:prstGeom>
                    <a:noFill/>
                  </pic:spPr>
                </pic:pic>
              </a:graphicData>
            </a:graphic>
          </wp:anchor>
        </w:drawing>
      </w:r>
    </w:p>
    <w:p>
      <w:pPr>
        <w:spacing w:after="0" w:line="16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As of March 16, 2026, there were 9,393,514 shares of our common stock issued and outstanding and there were 38 holders of record of our common stock. As of March 16, 2026, there were no outstanding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sectPr>
      </w:pPr>
    </w:p>
    <w:bookmarkStart w:id="13" w:name="page14"/>
    <w:bookmarkEnd w:id="13"/>
    <w:p>
      <w:pPr>
        <w:ind w:left="3700"/>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March 16, 2026 for:</w:t>
      </w:r>
    </w:p>
    <w:p>
      <w:pPr>
        <w:spacing w:after="0" w:line="207"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we know beneficially owns more than 5% of our common stock;</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percentage of beneficial ownership shown in the table is based upon 9,393,514 shares of common stock outstanding as of March 16, 2026.</w:t>
      </w:r>
    </w:p>
    <w:p>
      <w:pPr>
        <w:spacing w:after="0" w:line="225" w:lineRule="exact"/>
        <w:rPr>
          <w:sz w:val="20"/>
          <w:szCs w:val="20"/>
          <w:color w:val="auto"/>
        </w:rPr>
      </w:pPr>
    </w:p>
    <w:p>
      <w:pPr>
        <w:jc w:val="both"/>
        <w:ind w:right="160" w:firstLine="374"/>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76" w:lineRule="exact"/>
        <w:rPr>
          <w:sz w:val="20"/>
          <w:szCs w:val="20"/>
          <w:color w:val="auto"/>
        </w:rPr>
      </w:pPr>
    </w:p>
    <w:p>
      <w:pPr>
        <w:ind w:right="300" w:firstLine="374"/>
        <w:spacing w:after="0" w:line="258" w:lineRule="auto"/>
        <w:rPr>
          <w:sz w:val="20"/>
          <w:szCs w:val="20"/>
          <w:color w:val="auto"/>
        </w:rPr>
      </w:pPr>
      <w:r>
        <w:rPr>
          <w:rFonts w:ascii="Times New Roman" w:cs="Times New Roman" w:eastAsia="Times New Roman" w:hAnsi="Times New Roman"/>
          <w:sz w:val="18"/>
          <w:szCs w:val="18"/>
          <w:color w:val="auto"/>
        </w:rPr>
        <w:t>In computing the number of shares beneficially owned by a person and the percentage ownership of that person, we take into account shares of common stock issuable pursuant to stock options, warrants and restricted stock units that may be exercised or that are scheduled to vest on or before the 60th day after March 16, 2026. These shares are deemed to be outstanding and beneficially owned by the person holding those options, warrants or restricted stock units for the purpose of computing the percentage ownership of that person, but they are not treated as outstanding for the purpose of computing the percentage ownership of any other person.</w:t>
      </w:r>
    </w:p>
    <w:p>
      <w:pPr>
        <w:spacing w:after="0" w:line="183"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each person listed in the table is c/o LeonaBio, Inc., 18706 North Creek Parkway, Suite 104, Bothell, Washington 98011.</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6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r>
      <w:tr>
        <w:trPr>
          <w:trHeight w:val="187"/>
        </w:trPr>
        <w:tc>
          <w:tcPr>
            <w:tcW w:w="7640" w:type="dxa"/>
            <w:vAlign w:val="bottom"/>
          </w:tcPr>
          <w:p>
            <w:pPr>
              <w:spacing w:after="0"/>
              <w:rPr>
                <w:sz w:val="16"/>
                <w:szCs w:val="16"/>
                <w:color w:val="auto"/>
              </w:rPr>
            </w:pPr>
          </w:p>
        </w:tc>
        <w:tc>
          <w:tcPr>
            <w:tcW w:w="154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6"/>
                <w:szCs w:val="16"/>
                <w:color w:val="auto"/>
              </w:rPr>
            </w:pPr>
          </w:p>
        </w:tc>
        <w:tc>
          <w:tcPr>
            <w:tcW w:w="1940" w:type="dxa"/>
            <w:vAlign w:val="bottom"/>
          </w:tcPr>
          <w:p>
            <w:pPr>
              <w:jc w:val="right"/>
              <w:ind w:right="45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r>
      <w:tr>
        <w:trPr>
          <w:trHeight w:val="238"/>
        </w:trPr>
        <w:tc>
          <w:tcPr>
            <w:tcW w:w="7640" w:type="dxa"/>
            <w:vAlign w:val="bottom"/>
          </w:tcPr>
          <w:p>
            <w:pPr>
              <w:spacing w:after="0"/>
              <w:rPr>
                <w:sz w:val="20"/>
                <w:szCs w:val="20"/>
                <w:color w:val="auto"/>
              </w:rPr>
            </w:pPr>
          </w:p>
        </w:tc>
        <w:tc>
          <w:tcPr>
            <w:tcW w:w="15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 (#)</w:t>
            </w:r>
          </w:p>
        </w:tc>
        <w:tc>
          <w:tcPr>
            <w:tcW w:w="20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 and greater stockholders:</w:t>
            </w:r>
          </w:p>
        </w:tc>
        <w:tc>
          <w:tcPr>
            <w:tcW w:w="15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spacing w:after="0"/>
              <w:rPr>
                <w:sz w:val="18"/>
                <w:szCs w:val="18"/>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Anders Hove (1)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596,068</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Perceptive Entities (2)</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1,882,370</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Named executive officers and directors: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 Litton (3)</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244,445</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 Worthington (4)</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89,259</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Javier San Martin (5)</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53,976</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Joseph Edelman (6)</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1,882,370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John M. Fluke, Jr. (7)</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24,589</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James A. Johnson (8)</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Barbara Kosacz (9)</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Kelly A. Romano (10)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16,412</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 Pickering (11)</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9,878</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Michael Panzara (12)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(12 persons)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2,473,404</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ind w:left="120" w:hanging="112"/>
        <w:spacing w:after="0"/>
        <w:tabs>
          <w:tab w:leader="none" w:pos="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Represents beneficial ownership of less than 1% of our outstanding common stock.</w:t>
      </w:r>
    </w:p>
    <w:p>
      <w:pPr>
        <w:spacing w:after="0" w:line="117" w:lineRule="exact"/>
        <w:rPr>
          <w:rFonts w:ascii="Times New Roman" w:cs="Times New Roman" w:eastAsia="Times New Roman" w:hAnsi="Times New Roman"/>
          <w:sz w:val="16"/>
          <w:szCs w:val="16"/>
          <w:color w:val="auto"/>
        </w:rPr>
      </w:pPr>
    </w:p>
    <w:p>
      <w:pPr>
        <w:jc w:val="both"/>
        <w:ind w:left="760" w:hanging="378"/>
        <w:spacing w:after="0" w:line="254" w:lineRule="auto"/>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13G/A filed with the Securities and Exchange Commission on January 8, 2026. Consists of (i) 250,348 shares of common stock which Acorn Bioventures, L.P. and Acorn Capital Advisors GP, LLC may be deemed to beneficially own and (ii) 345,720 shares of common stock which Acorn Bioventures 2, L.P. and Acorn Capital Advisors GP 2, LLC may be deemed to beneficially own. Acorn Capital Advisors GP, LLC is the General Partner of Acorn Bioventures, L.P. and may be deemed to beneficially own the shares of common stock beneficially owned by Acorn Bioventures, L.P. Acorn Capital Advisors GP 2, LLC is the General Partner of Acorn Bioventures 2, L.P. and may be deemed to beneficially own the shares of common stock beneficially owned by Acorn Bioventures 2, L.P. Mr. Hove, in his capacity as Manager of each of Acorn Capital Advisors GP, LLC and Acorn Capital Advisors GP 2, LLC, may be deemed to beneficially own the shares beneficially owned by each of Acorn Capital Advisors GP, LLC and Acorn Capital Advisors GP 2, LLC. The business address of Acorn Bioventures, L.P. and Acorn Bioventures 2, L.P. is 420 Lexington Avenue, Suite 2626, New York, New York 10170.</w:t>
      </w:r>
    </w:p>
    <w:p>
      <w:pPr>
        <w:spacing w:after="0" w:line="80" w:lineRule="exact"/>
        <w:rPr>
          <w:rFonts w:ascii="Times New Roman" w:cs="Times New Roman" w:eastAsia="Times New Roman" w:hAnsi="Times New Roman"/>
          <w:sz w:val="18"/>
          <w:szCs w:val="18"/>
          <w:color w:val="auto"/>
        </w:rPr>
      </w:pPr>
    </w:p>
    <w:p>
      <w:pPr>
        <w:jc w:val="both"/>
        <w:ind w:left="760" w:hanging="378"/>
        <w:spacing w:after="0" w:line="253" w:lineRule="auto"/>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13D/A filed with the Securities and Exchange Commission on January 16, 2026. Consists of (i) 1,529,566 shares of common stock and 18,960 shares of common stock issuable upon the partial exercise of a pre-funded warrant that is exercisable within 60 days of March 16, 2026 held directly by Perceptive Life Sciences Master Fund, Ltd. (“Master Fund”), and (ii) 329,756 shares of common stock and 4,088 shares of common stock issuable upon the partial exercise of a pre-funded warrant that is exercisable within 60 days of March 16, 2026 held directly by Perceptive Xontogeny Venture Fund II, LP (“PXV II” and, together with Master Fund, “Perceptive Entities”). Perceptive Advisors LLC (“Perceptive Advisors”) is the investment advisor of Perceptive Life Sciences Master Fund Ltd (“Perceptive Master Fund”) and may be deemed to have beneficial ownership of the shares beneficially owned thereby. Perceptive Venture Advisors, LP (“Perceptive Venture”) is the investment manager to Perceptive Xontogeny Venture Fund II, LP (“PXV II”), and accordingly, may be deemed to beneficially own the securities directly held by PXV II. Joseph Edelman is the controlling person of Perceptive Advisors and Perceptive Venture and accordingly, may be deemed to have beneficial ownership of the shares beneficially owned by the Perceptive Master Fund, PXV II, Perceptive Advisors and Perceptive Venture. Perceptive Advisors, Perceptive Venture, the Perceptive Master Fund, PXV II and Mr. Edelman disclaim beneficial ownership of all such securities except to the extent of its or his pecuniary interest therein. The business address for each of Perceptive Advisors, Perceptive Venture, the Perceptive Master Fund, PXV II and Mr. Edelman is 51 Astor Place, 10th Floor, New York, NY 10003.</w:t>
      </w:r>
    </w:p>
    <w:p>
      <w:pPr>
        <w:spacing w:after="0" w:line="79"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57,926 shares held of record by Dr. Litton, 656 shares held by Irrevocable Trust of OSL, 656 shares held by Irrevocable Trust of SWL, and 656 shares held by Irrevocable Trust of WGL, each irrevocable trust is for the benefit of Dr. Litton’s children, and options to purchase 184,551 shares that are exercisable within 60 days of March 16, 2026.</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18,376 shares held by Mr. Worthington and options to purchase 70,883 shares that are exercisable within 60 days of March 16, 2026.</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15,887 shares held by Dr. San Martin and options to purchase 38,089 shares that are exercisable within 60 days of March 16, 2026.</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shares referenced in footnote (2) above and excludes 9,728 shares issuable upon the exercise of options held by Mr. Edelman, which are not exercisable within 60 days of March 16, 2026. Joseph Edelman is the managing member of Perceptive Advisors LLC and he may be deemed to beneficially own the shares held by Perceptive. Mr. Edelman disclaims beneficial ownership of all such securities except to the extent of its or his pecuniary interest therein.</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373 shares held of record by Fluke Capital Management, L.P., 14,488 shares held by Mr. Fluke, and options to purchase 9,728 shares that are exercisable within 60 days of March 16, 2026</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 shares held by Mr. Johnson and options to purchase 9,728 shares that are exercisable within 60 days of March 16, 2026.</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held by Ms. Kosacz to purchase 8,341 shares that are exercisable within 60 days of March 16,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spacing w:after="0" w:line="86" w:lineRule="exact"/>
        <w:rPr>
          <w:sz w:val="20"/>
          <w:szCs w:val="20"/>
          <w:color w:val="auto"/>
        </w:rPr>
      </w:pPr>
    </w:p>
    <w:p>
      <w:pPr>
        <w:ind w:left="800" w:hanging="418"/>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8,071 shares held by Ms. Romano and options to purchase 8,341 shares that are exercisable within 60 days of March 16, 2026.</w:t>
      </w:r>
    </w:p>
    <w:p>
      <w:pPr>
        <w:spacing w:after="0" w:line="117" w:lineRule="exact"/>
        <w:rPr>
          <w:rFonts w:ascii="Times New Roman" w:cs="Times New Roman" w:eastAsia="Times New Roman" w:hAnsi="Times New Roman"/>
          <w:sz w:val="18"/>
          <w:szCs w:val="18"/>
          <w:color w:val="auto"/>
        </w:rPr>
      </w:pPr>
    </w:p>
    <w:p>
      <w:pPr>
        <w:ind w:left="800" w:hanging="418"/>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2,578 shares held by Mr. Pickering and options to purchase 7,300 shares that are exercisable within 60 days of March 16, 2026.</w:t>
      </w:r>
    </w:p>
    <w:p>
      <w:pPr>
        <w:spacing w:after="0" w:line="117" w:lineRule="exact"/>
        <w:rPr>
          <w:rFonts w:ascii="Times New Roman" w:cs="Times New Roman" w:eastAsia="Times New Roman" w:hAnsi="Times New Roman"/>
          <w:sz w:val="18"/>
          <w:szCs w:val="18"/>
          <w:color w:val="auto"/>
        </w:rPr>
      </w:pPr>
    </w:p>
    <w:p>
      <w:pPr>
        <w:ind w:left="800" w:hanging="418"/>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held by Dr. Panzara to purchase 7,185 shares that are exercisable within 60 days of March 16, 2026.</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82" w:lineRule="auto"/>
        <w:tabs>
          <w:tab w:leader="none" w:pos="8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2,020,518 shares held by our current directors and executive officers as a group, pre-funded warrants to purchase 23,048 shares that are exercisable within 60 days of March 16, 2026, and options to purchase 429,838 shares that are exercisable within 60 days of March 16, 2026.</w:t>
      </w:r>
    </w:p>
    <w:p>
      <w:pPr>
        <w:spacing w:after="0" w:line="270"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have included in this prospectus and related registration statement 58,464,567 shares of our common stock, including shares issuable upon the exercise of pre-funded warrants and warrants to purchase our common stock and/or pre-funded warrants issued in our December 2025 private placement to the selling stockholders. The term “selling stockholder” includes the stockholders listed below and their transferees, pledges, donees or other successors in interest selling shares received after the date of this prospectus from a selling stockholder as a permitted transfer. Information concerning the selling stockholders may change after the date of this prospectus and changed information will be presented in a supplement to this prospectus if and when required.</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sets forth certain information with respect to each selling stockholder, including (1) the name and address of each selling stockholder;</w:t>
      </w:r>
    </w:p>
    <w:p>
      <w:pPr>
        <w:spacing w:after="0" w:line="27" w:lineRule="exact"/>
        <w:rPr>
          <w:sz w:val="20"/>
          <w:szCs w:val="20"/>
          <w:color w:val="auto"/>
        </w:rPr>
      </w:pPr>
    </w:p>
    <w:p>
      <w:pPr>
        <w:ind w:right="320" w:firstLine="8"/>
        <w:spacing w:after="0" w:line="255"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beneficially owned by each selling stockholder prior to this offering; (3) the maximum number of shares being offered by each selling stockholder pursuant to this prospectus; and (4) each selling stockholder’s beneficial ownership after completion of this offering, assuming that all of the shares covered hereby (but no other shares, if any, held by the selling stockholders) are sold.</w:t>
      </w:r>
    </w:p>
    <w:p>
      <w:pPr>
        <w:spacing w:after="0" w:line="18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The table is based on information supplied to us by the selling stockholders, with beneficial ownership and percentage ownership determined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rules and regulations of the SEC, and includes information with respect to voting or investment power with respect to shares of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information does not necessarily indicate beneficial ownership for any other purpose.</w:t>
      </w:r>
    </w:p>
    <w:p>
      <w:pPr>
        <w:spacing w:after="0" w:line="207"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The percentage of each selling stockholder’s ownership is based on 9,393,514 shares of common stock outstanding as of March 16, 2026. In computing the number of shares beneficially owned by a selling stockholder and the percentage ownership of that selling stockholder before this offering, shares of common stock underlying the warrants and pre-funded warrants held by that selling stockholder are deemed outstanding, as well as any other derivative securities that are exercisable as of March 16, 2026, or exercisable within 60 days thereafter. Such shares, however, are not deemed outstanding for the purposes of computing the percentage ownership of any other person. The percentage of beneficial ownership after this offering is based on shares outstanding on March 16, 2026, which includes the shares of our common stock registered for sale in this offering.</w:t>
      </w:r>
    </w:p>
    <w:p>
      <w:pPr>
        <w:spacing w:after="0" w:line="187"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 registration of the sale of shares of common stock held by and issuable to the selling stockholders upon exercise of the warrants and pre-funded warrants does not mean that the selling stockholders will sell or otherwise dispose of all or any of those securities. The selling stockholders may sell or otherwise dispose of all, a portion or none of such shares from time to time. We do not know the number of shares, if any, that will be offered for sale or other disposition by any of the selling stockholders under this prospectus. Furthermore, the selling stockholders may have sold, transferred or disposed of the shares of common stock covered hereby in transactions exempt from the registration requirements of the Securities Act since the date on which we filed this prospectus.</w:t>
      </w:r>
    </w:p>
    <w:p>
      <w:pPr>
        <w:spacing w:after="0" w:line="187"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None of the selling stockholders has, or within the past three years has had, any position, office or other material relationship with us or any of our predecessors or affiliates. None of the selling stockholders is a broker-dealer or an affiliate of a broker-dealer, except as noted below. We have prepared the table below based on information given to us by, or on behalf of, the selling stockholders.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0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Beneficial Ownership</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3"/>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Beneficial Ownership</w:t>
            </w:r>
          </w:p>
        </w:tc>
        <w:tc>
          <w:tcPr>
            <w:tcW w:w="0" w:type="dxa"/>
            <w:vAlign w:val="bottom"/>
          </w:tcPr>
          <w:p>
            <w:pPr>
              <w:spacing w:after="0"/>
              <w:rPr>
                <w:sz w:val="1"/>
                <w:szCs w:val="1"/>
                <w:color w:val="auto"/>
              </w:rPr>
            </w:pPr>
          </w:p>
        </w:tc>
      </w:tr>
      <w:tr>
        <w:trPr>
          <w:trHeight w:val="155"/>
        </w:trPr>
        <w:tc>
          <w:tcPr>
            <w:tcW w:w="2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0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Before This Offering</w:t>
            </w: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3"/>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After This Offering</w:t>
            </w: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8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Offered</w:t>
            </w: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Offered</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Hereby</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Offered</w:t>
            </w:r>
          </w:p>
        </w:tc>
        <w:tc>
          <w:tcPr>
            <w:tcW w:w="40" w:type="dxa"/>
            <w:vAlign w:val="bottom"/>
          </w:tcPr>
          <w:p>
            <w:pPr>
              <w:spacing w:after="0"/>
              <w:rPr>
                <w:sz w:val="11"/>
                <w:szCs w:val="11"/>
                <w:color w:val="auto"/>
              </w:rPr>
            </w:pPr>
          </w:p>
        </w:tc>
        <w:tc>
          <w:tcPr>
            <w:tcW w:w="88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Hereby</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Issuable Upon</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Hereby Issuable</w:t>
            </w:r>
          </w:p>
        </w:tc>
        <w:tc>
          <w:tcPr>
            <w:tcW w:w="40" w:type="dxa"/>
            <w:vAlign w:val="bottom"/>
          </w:tcPr>
          <w:p>
            <w:pPr>
              <w:spacing w:after="0"/>
              <w:rPr>
                <w:sz w:val="11"/>
                <w:szCs w:val="11"/>
                <w:color w:val="auto"/>
              </w:rPr>
            </w:pPr>
          </w:p>
        </w:tc>
        <w:tc>
          <w:tcPr>
            <w:tcW w:w="88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40" w:type="dxa"/>
            <w:vAlign w:val="bottom"/>
          </w:tcPr>
          <w:p>
            <w:pPr>
              <w:spacing w:after="0"/>
              <w:rPr>
                <w:sz w:val="11"/>
                <w:szCs w:val="11"/>
                <w:color w:val="auto"/>
              </w:rPr>
            </w:pPr>
          </w:p>
        </w:tc>
        <w:tc>
          <w:tcPr>
            <w:tcW w:w="29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Exercise of</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Upon Exercise of</w:t>
            </w:r>
          </w:p>
        </w:tc>
        <w:tc>
          <w:tcPr>
            <w:tcW w:w="40" w:type="dxa"/>
            <w:vAlign w:val="bottom"/>
          </w:tcPr>
          <w:p>
            <w:pPr>
              <w:spacing w:after="0"/>
              <w:rPr>
                <w:sz w:val="11"/>
                <w:szCs w:val="11"/>
                <w:color w:val="auto"/>
              </w:rPr>
            </w:pPr>
          </w:p>
        </w:tc>
        <w:tc>
          <w:tcPr>
            <w:tcW w:w="88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Upon Exercise</w:t>
            </w:r>
          </w:p>
        </w:tc>
        <w:tc>
          <w:tcPr>
            <w:tcW w:w="6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of</w:t>
            </w:r>
          </w:p>
        </w:tc>
        <w:tc>
          <w:tcPr>
            <w:tcW w:w="40" w:type="dxa"/>
            <w:vAlign w:val="bottom"/>
          </w:tcPr>
          <w:p>
            <w:pPr>
              <w:spacing w:after="0"/>
              <w:rPr>
                <w:sz w:val="11"/>
                <w:szCs w:val="11"/>
                <w:color w:val="auto"/>
              </w:rPr>
            </w:pPr>
          </w:p>
        </w:tc>
        <w:tc>
          <w:tcPr>
            <w:tcW w:w="29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40" w:type="dxa"/>
            <w:vAlign w:val="bottom"/>
          </w:tcPr>
          <w:p>
            <w:pPr>
              <w:spacing w:after="0"/>
              <w:rPr>
                <w:sz w:val="11"/>
                <w:szCs w:val="11"/>
                <w:color w:val="auto"/>
              </w:rPr>
            </w:pPr>
          </w:p>
        </w:tc>
        <w:tc>
          <w:tcPr>
            <w:tcW w:w="86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PIPE Pre-</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PIPE Series A</w:t>
            </w:r>
          </w:p>
        </w:tc>
        <w:tc>
          <w:tcPr>
            <w:tcW w:w="40" w:type="dxa"/>
            <w:vAlign w:val="bottom"/>
          </w:tcPr>
          <w:p>
            <w:pPr>
              <w:spacing w:after="0"/>
              <w:rPr>
                <w:sz w:val="11"/>
                <w:szCs w:val="11"/>
                <w:color w:val="auto"/>
              </w:rPr>
            </w:pPr>
          </w:p>
        </w:tc>
        <w:tc>
          <w:tcPr>
            <w:tcW w:w="88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PIPE Series</w:t>
            </w:r>
          </w:p>
        </w:tc>
        <w:tc>
          <w:tcPr>
            <w:tcW w:w="6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40" w:type="dxa"/>
            <w:vAlign w:val="bottom"/>
          </w:tcPr>
          <w:p>
            <w:pPr>
              <w:spacing w:after="0"/>
              <w:rPr>
                <w:sz w:val="11"/>
                <w:szCs w:val="11"/>
                <w:color w:val="auto"/>
              </w:rPr>
            </w:pPr>
          </w:p>
        </w:tc>
        <w:tc>
          <w:tcPr>
            <w:tcW w:w="29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Offered</w:t>
            </w:r>
          </w:p>
        </w:tc>
        <w:tc>
          <w:tcPr>
            <w:tcW w:w="40" w:type="dxa"/>
            <w:vAlign w:val="bottom"/>
          </w:tcPr>
          <w:p>
            <w:pPr>
              <w:spacing w:after="0"/>
              <w:rPr>
                <w:sz w:val="11"/>
                <w:szCs w:val="11"/>
                <w:color w:val="auto"/>
              </w:rPr>
            </w:pPr>
          </w:p>
        </w:tc>
        <w:tc>
          <w:tcPr>
            <w:tcW w:w="86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Funded</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40" w:type="dxa"/>
            <w:vAlign w:val="bottom"/>
          </w:tcPr>
          <w:p>
            <w:pPr>
              <w:spacing w:after="0"/>
              <w:rPr>
                <w:sz w:val="11"/>
                <w:szCs w:val="11"/>
                <w:color w:val="auto"/>
              </w:rPr>
            </w:pPr>
          </w:p>
        </w:tc>
        <w:tc>
          <w:tcPr>
            <w:tcW w:w="88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B Common</w:t>
            </w:r>
          </w:p>
        </w:tc>
        <w:tc>
          <w:tcPr>
            <w:tcW w:w="6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Outstanding</w:t>
            </w:r>
          </w:p>
        </w:tc>
        <w:tc>
          <w:tcPr>
            <w:tcW w:w="0" w:type="dxa"/>
            <w:vAlign w:val="bottom"/>
          </w:tcPr>
          <w:p>
            <w:pPr>
              <w:spacing w:after="0"/>
              <w:rPr>
                <w:sz w:val="1"/>
                <w:szCs w:val="1"/>
                <w:color w:val="auto"/>
              </w:rPr>
            </w:pPr>
          </w:p>
        </w:tc>
      </w:tr>
      <w:tr>
        <w:trPr>
          <w:trHeight w:val="155"/>
        </w:trPr>
        <w:tc>
          <w:tcPr>
            <w:tcW w:w="2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Selling Stockholder (1)</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Owned (2)</w:t>
            </w:r>
          </w:p>
        </w:tc>
        <w:tc>
          <w:tcPr>
            <w:tcW w:w="40" w:type="dxa"/>
            <w:vAlign w:val="bottom"/>
          </w:tcPr>
          <w:p>
            <w:pPr>
              <w:spacing w:after="0"/>
              <w:rPr>
                <w:sz w:val="13"/>
                <w:szCs w:val="13"/>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Shares (2)</w:t>
            </w:r>
          </w:p>
        </w:tc>
        <w:tc>
          <w:tcPr>
            <w:tcW w:w="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Hereby (3)</w:t>
            </w:r>
          </w:p>
        </w:tc>
        <w:tc>
          <w:tcPr>
            <w:tcW w:w="4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Warrants (4)</w:t>
            </w:r>
          </w:p>
        </w:tc>
        <w:tc>
          <w:tcPr>
            <w:tcW w:w="4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Warrants(5)</w:t>
            </w:r>
          </w:p>
        </w:tc>
        <w:tc>
          <w:tcPr>
            <w:tcW w:w="4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Warrants(6)</w:t>
            </w:r>
          </w:p>
        </w:tc>
        <w:tc>
          <w:tcPr>
            <w:tcW w:w="2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2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0" w:type="dxa"/>
            <w:vAlign w:val="bottom"/>
          </w:tcPr>
          <w:p>
            <w:pPr>
              <w:spacing w:after="0"/>
              <w:rPr>
                <w:sz w:val="1"/>
                <w:szCs w:val="1"/>
                <w:color w:val="auto"/>
              </w:rPr>
            </w:pPr>
          </w:p>
        </w:tc>
      </w:tr>
      <w:tr>
        <w:trPr>
          <w:trHeight w:val="119"/>
        </w:trPr>
        <w:tc>
          <w:tcPr>
            <w:tcW w:w="232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9vc SPV 1, Limited</w:t>
            </w:r>
          </w:p>
        </w:tc>
        <w:tc>
          <w:tcPr>
            <w:tcW w:w="840" w:type="dxa"/>
            <w:vAlign w:val="bottom"/>
            <w:shd w:val="clear" w:color="auto" w:fill="CFF0FC"/>
          </w:tcPr>
          <w:p>
            <w:pPr>
              <w:ind w:left="580"/>
              <w:spacing w:after="0" w:line="119" w:lineRule="exact"/>
              <w:rPr>
                <w:sz w:val="20"/>
                <w:szCs w:val="20"/>
                <w:color w:val="auto"/>
              </w:rPr>
            </w:pPr>
            <w:r>
              <w:rPr>
                <w:rFonts w:ascii="Times New Roman" w:cs="Times New Roman" w:eastAsia="Times New Roman" w:hAnsi="Times New Roman"/>
                <w:sz w:val="13"/>
                <w:szCs w:val="13"/>
                <w:color w:val="auto"/>
              </w:rPr>
              <w:t>157,</w:t>
            </w:r>
          </w:p>
        </w:tc>
        <w:tc>
          <w:tcPr>
            <w:tcW w:w="294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1.68%</w:t>
            </w:r>
          </w:p>
        </w:tc>
        <w:tc>
          <w:tcPr>
            <w:tcW w:w="800" w:type="dxa"/>
            <w:vAlign w:val="bottom"/>
            <w:shd w:val="clear" w:color="auto" w:fill="CFF0FC"/>
          </w:tcPr>
          <w:p>
            <w:pPr>
              <w:ind w:left="560"/>
              <w:spacing w:after="0" w:line="119" w:lineRule="exact"/>
              <w:rPr>
                <w:sz w:val="20"/>
                <w:szCs w:val="20"/>
                <w:color w:val="auto"/>
              </w:rPr>
            </w:pPr>
            <w:r>
              <w:rPr>
                <w:rFonts w:ascii="Times New Roman" w:cs="Times New Roman" w:eastAsia="Times New Roman" w:hAnsi="Times New Roman"/>
                <w:sz w:val="13"/>
                <w:szCs w:val="13"/>
                <w:color w:val="auto"/>
                <w:w w:val="96"/>
              </w:rPr>
              <w:t>157,</w:t>
            </w:r>
          </w:p>
        </w:tc>
        <w:tc>
          <w:tcPr>
            <w:tcW w:w="4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255,905</w:t>
            </w:r>
          </w:p>
        </w:tc>
        <w:tc>
          <w:tcPr>
            <w:tcW w:w="4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236,2</w:t>
            </w:r>
          </w:p>
        </w:tc>
        <w:tc>
          <w:tcPr>
            <w:tcW w:w="2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DAEEF3"/>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Partnership (7)</w:t>
            </w:r>
          </w:p>
        </w:tc>
        <w:tc>
          <w:tcPr>
            <w:tcW w:w="8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480</w:t>
            </w:r>
          </w:p>
        </w:tc>
        <w:tc>
          <w:tcPr>
            <w:tcW w:w="2940" w:type="dxa"/>
            <w:vAlign w:val="bottom"/>
            <w:gridSpan w:val="3"/>
            <w:vMerge w:val="continue"/>
            <w:shd w:val="clear" w:color="auto" w:fill="CFF0FC"/>
          </w:tcPr>
          <w:p>
            <w:pPr>
              <w:spacing w:after="0"/>
              <w:rPr>
                <w:sz w:val="14"/>
                <w:szCs w:val="14"/>
                <w:color w:val="auto"/>
              </w:rPr>
            </w:pPr>
          </w:p>
        </w:tc>
        <w:tc>
          <w:tcPr>
            <w:tcW w:w="8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480</w:t>
            </w:r>
          </w:p>
        </w:tc>
        <w:tc>
          <w:tcPr>
            <w:tcW w:w="4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880" w:type="dxa"/>
            <w:vAlign w:val="bottom"/>
            <w:tcBorders>
              <w:right w:val="single" w:sz="8" w:color="DAEEF3"/>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ADAR1 Partners, LP (8)</w:t>
            </w:r>
          </w:p>
        </w:tc>
        <w:tc>
          <w:tcPr>
            <w:tcW w:w="840" w:type="dxa"/>
            <w:vAlign w:val="bottom"/>
          </w:tcPr>
          <w:p>
            <w:pPr>
              <w:ind w:left="580"/>
              <w:spacing w:after="0" w:line="126" w:lineRule="exact"/>
              <w:rPr>
                <w:sz w:val="20"/>
                <w:szCs w:val="20"/>
                <w:color w:val="auto"/>
              </w:rPr>
            </w:pPr>
            <w:r>
              <w:rPr>
                <w:rFonts w:ascii="Times New Roman" w:cs="Times New Roman" w:eastAsia="Times New Roman" w:hAnsi="Times New Roman"/>
                <w:sz w:val="14"/>
                <w:szCs w:val="14"/>
                <w:color w:val="auto"/>
                <w:w w:val="97"/>
              </w:rPr>
              <w:t>340,</w:t>
            </w:r>
          </w:p>
        </w:tc>
        <w:tc>
          <w:tcPr>
            <w:tcW w:w="29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3.63%</w:t>
            </w:r>
          </w:p>
        </w:tc>
        <w:tc>
          <w:tcPr>
            <w:tcW w:w="800" w:type="dxa"/>
            <w:vAlign w:val="bottom"/>
          </w:tcPr>
          <w:p>
            <w:pPr>
              <w:ind w:left="560"/>
              <w:spacing w:after="0" w:line="126" w:lineRule="exact"/>
              <w:rPr>
                <w:sz w:val="20"/>
                <w:szCs w:val="20"/>
                <w:color w:val="auto"/>
              </w:rPr>
            </w:pPr>
            <w:r>
              <w:rPr>
                <w:rFonts w:ascii="Times New Roman" w:cs="Times New Roman" w:eastAsia="Times New Roman" w:hAnsi="Times New Roman"/>
                <w:sz w:val="14"/>
                <w:szCs w:val="14"/>
                <w:color w:val="auto"/>
                <w:w w:val="89"/>
              </w:rPr>
              <w:t>340,</w:t>
            </w:r>
          </w:p>
        </w:tc>
        <w:tc>
          <w:tcPr>
            <w:tcW w:w="40" w:type="dxa"/>
            <w:vAlign w:val="bottom"/>
          </w:tcPr>
          <w:p>
            <w:pPr>
              <w:spacing w:after="0"/>
              <w:rPr>
                <w:sz w:val="10"/>
                <w:szCs w:val="10"/>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553,397</w:t>
            </w:r>
          </w:p>
        </w:tc>
        <w:tc>
          <w:tcPr>
            <w:tcW w:w="92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510,8</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552</w:t>
            </w:r>
          </w:p>
        </w:tc>
        <w:tc>
          <w:tcPr>
            <w:tcW w:w="2940" w:type="dxa"/>
            <w:vAlign w:val="bottom"/>
            <w:gridSpan w:val="3"/>
            <w:vMerge w:val="continue"/>
          </w:tcPr>
          <w:p>
            <w:pPr>
              <w:spacing w:after="0"/>
              <w:rPr>
                <w:sz w:val="14"/>
                <w:szCs w:val="14"/>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552</w:t>
            </w:r>
          </w:p>
        </w:tc>
        <w:tc>
          <w:tcPr>
            <w:tcW w:w="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CDK Associates, LLC (9)</w:t>
            </w:r>
          </w:p>
        </w:tc>
        <w:tc>
          <w:tcPr>
            <w:tcW w:w="840" w:type="dxa"/>
            <w:vAlign w:val="bottom"/>
            <w:shd w:val="clear" w:color="auto" w:fill="CFF0FC"/>
          </w:tcPr>
          <w:p>
            <w:pPr>
              <w:ind w:left="580"/>
              <w:spacing w:after="0" w:line="126" w:lineRule="exact"/>
              <w:rPr>
                <w:sz w:val="20"/>
                <w:szCs w:val="20"/>
                <w:color w:val="auto"/>
              </w:rPr>
            </w:pPr>
            <w:r>
              <w:rPr>
                <w:rFonts w:ascii="Times New Roman" w:cs="Times New Roman" w:eastAsia="Times New Roman" w:hAnsi="Times New Roman"/>
                <w:sz w:val="14"/>
                <w:szCs w:val="14"/>
                <w:color w:val="auto"/>
                <w:w w:val="97"/>
              </w:rPr>
              <w:t>441,</w:t>
            </w:r>
          </w:p>
        </w:tc>
        <w:tc>
          <w:tcPr>
            <w:tcW w:w="294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4.70%</w:t>
            </w:r>
          </w:p>
        </w:tc>
        <w:tc>
          <w:tcPr>
            <w:tcW w:w="800" w:type="dxa"/>
            <w:vAlign w:val="bottom"/>
            <w:shd w:val="clear" w:color="auto" w:fill="CFF0FC"/>
          </w:tcPr>
          <w:p>
            <w:pPr>
              <w:ind w:left="560"/>
              <w:spacing w:after="0" w:line="126" w:lineRule="exact"/>
              <w:rPr>
                <w:sz w:val="20"/>
                <w:szCs w:val="20"/>
                <w:color w:val="auto"/>
              </w:rPr>
            </w:pPr>
            <w:r>
              <w:rPr>
                <w:rFonts w:ascii="Times New Roman" w:cs="Times New Roman" w:eastAsia="Times New Roman" w:hAnsi="Times New Roman"/>
                <w:sz w:val="14"/>
                <w:szCs w:val="14"/>
                <w:color w:val="auto"/>
                <w:w w:val="89"/>
              </w:rPr>
              <w:t>429,</w:t>
            </w:r>
          </w:p>
        </w:tc>
        <w:tc>
          <w:tcPr>
            <w:tcW w:w="8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271,</w:t>
            </w:r>
          </w:p>
        </w:tc>
        <w:tc>
          <w:tcPr>
            <w:tcW w:w="4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1,138,678</w:t>
            </w:r>
          </w:p>
        </w:tc>
        <w:tc>
          <w:tcPr>
            <w:tcW w:w="920" w:type="dxa"/>
            <w:vAlign w:val="bottom"/>
            <w:gridSpan w:val="3"/>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1,051,0</w:t>
            </w:r>
          </w:p>
        </w:tc>
        <w:tc>
          <w:tcPr>
            <w:tcW w:w="6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DAEEF3"/>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shd w:val="clear" w:color="auto" w:fill="CFF0FC"/>
          </w:tcPr>
          <w:p>
            <w:pPr>
              <w:spacing w:after="0"/>
              <w:rPr>
                <w:sz w:val="14"/>
                <w:szCs w:val="14"/>
                <w:color w:val="auto"/>
              </w:rPr>
            </w:pPr>
          </w:p>
        </w:tc>
        <w:tc>
          <w:tcPr>
            <w:tcW w:w="8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791</w:t>
            </w:r>
          </w:p>
        </w:tc>
        <w:tc>
          <w:tcPr>
            <w:tcW w:w="2940" w:type="dxa"/>
            <w:vAlign w:val="bottom"/>
            <w:gridSpan w:val="3"/>
            <w:vMerge w:val="continue"/>
            <w:shd w:val="clear" w:color="auto" w:fill="CFF0FC"/>
          </w:tcPr>
          <w:p>
            <w:pPr>
              <w:spacing w:after="0"/>
              <w:rPr>
                <w:sz w:val="14"/>
                <w:szCs w:val="14"/>
                <w:color w:val="auto"/>
              </w:rPr>
            </w:pPr>
          </w:p>
        </w:tc>
        <w:tc>
          <w:tcPr>
            <w:tcW w:w="8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197</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4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880" w:type="dxa"/>
            <w:vAlign w:val="bottom"/>
            <w:tcBorders>
              <w:right w:val="single" w:sz="8" w:color="DAEEF3"/>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Commodore Capital Master</w:t>
            </w:r>
          </w:p>
        </w:tc>
        <w:tc>
          <w:tcPr>
            <w:tcW w:w="840" w:type="dxa"/>
            <w:vAlign w:val="bottom"/>
          </w:tcPr>
          <w:p>
            <w:pPr>
              <w:ind w:left="580"/>
              <w:spacing w:after="0" w:line="126" w:lineRule="exact"/>
              <w:rPr>
                <w:sz w:val="20"/>
                <w:szCs w:val="20"/>
                <w:color w:val="auto"/>
              </w:rPr>
            </w:pPr>
            <w:r>
              <w:rPr>
                <w:rFonts w:ascii="Times New Roman" w:cs="Times New Roman" w:eastAsia="Times New Roman" w:hAnsi="Times New Roman"/>
                <w:sz w:val="14"/>
                <w:szCs w:val="14"/>
                <w:color w:val="auto"/>
                <w:w w:val="97"/>
              </w:rPr>
              <w:t>468,</w:t>
            </w:r>
          </w:p>
        </w:tc>
        <w:tc>
          <w:tcPr>
            <w:tcW w:w="29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4.99%</w:t>
            </w:r>
          </w:p>
        </w:tc>
        <w:tc>
          <w:tcPr>
            <w:tcW w:w="800" w:type="dxa"/>
            <w:vAlign w:val="bottom"/>
          </w:tcPr>
          <w:p>
            <w:pPr>
              <w:ind w:left="560"/>
              <w:spacing w:after="0" w:line="126" w:lineRule="exact"/>
              <w:rPr>
                <w:sz w:val="20"/>
                <w:szCs w:val="20"/>
                <w:color w:val="auto"/>
              </w:rPr>
            </w:pPr>
            <w:r>
              <w:rPr>
                <w:rFonts w:ascii="Times New Roman" w:cs="Times New Roman" w:eastAsia="Times New Roman" w:hAnsi="Times New Roman"/>
                <w:sz w:val="14"/>
                <w:szCs w:val="14"/>
                <w:color w:val="auto"/>
                <w:w w:val="89"/>
              </w:rPr>
              <w:t>464,</w:t>
            </w:r>
          </w:p>
        </w:tc>
        <w:tc>
          <w:tcPr>
            <w:tcW w:w="8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2,685,</w:t>
            </w:r>
          </w:p>
        </w:tc>
        <w:tc>
          <w:tcPr>
            <w:tcW w:w="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5,118,111</w:t>
            </w:r>
          </w:p>
        </w:tc>
        <w:tc>
          <w:tcPr>
            <w:tcW w:w="92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4,724,4</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LP (10)</w:t>
            </w:r>
          </w:p>
        </w:tc>
        <w:tc>
          <w:tcPr>
            <w:tcW w:w="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964</w:t>
            </w:r>
          </w:p>
        </w:tc>
        <w:tc>
          <w:tcPr>
            <w:tcW w:w="2940" w:type="dxa"/>
            <w:vAlign w:val="bottom"/>
            <w:gridSpan w:val="3"/>
            <w:vMerge w:val="continue"/>
          </w:tcPr>
          <w:p>
            <w:pPr>
              <w:spacing w:after="0"/>
              <w:rPr>
                <w:sz w:val="14"/>
                <w:szCs w:val="14"/>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398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Growth Equity Opportunities 18</w:t>
            </w:r>
          </w:p>
        </w:tc>
        <w:tc>
          <w:tcPr>
            <w:tcW w:w="840" w:type="dxa"/>
            <w:vAlign w:val="bottom"/>
            <w:shd w:val="clear" w:color="auto" w:fill="CFF0FC"/>
          </w:tcPr>
          <w:p>
            <w:pPr>
              <w:ind w:left="580"/>
              <w:spacing w:after="0" w:line="126" w:lineRule="exact"/>
              <w:rPr>
                <w:sz w:val="20"/>
                <w:szCs w:val="20"/>
                <w:color w:val="auto"/>
              </w:rPr>
            </w:pPr>
            <w:r>
              <w:rPr>
                <w:rFonts w:ascii="Times New Roman" w:cs="Times New Roman" w:eastAsia="Times New Roman" w:hAnsi="Times New Roman"/>
                <w:sz w:val="14"/>
                <w:szCs w:val="14"/>
                <w:color w:val="auto"/>
                <w:w w:val="97"/>
              </w:rPr>
              <w:t>468,</w:t>
            </w:r>
          </w:p>
        </w:tc>
        <w:tc>
          <w:tcPr>
            <w:tcW w:w="294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4.99%</w:t>
            </w:r>
          </w:p>
        </w:tc>
        <w:tc>
          <w:tcPr>
            <w:tcW w:w="800" w:type="dxa"/>
            <w:vAlign w:val="bottom"/>
            <w:shd w:val="clear" w:color="auto" w:fill="CFF0FC"/>
          </w:tcPr>
          <w:p>
            <w:pPr>
              <w:ind w:left="560"/>
              <w:spacing w:after="0" w:line="126" w:lineRule="exact"/>
              <w:rPr>
                <w:sz w:val="20"/>
                <w:szCs w:val="20"/>
                <w:color w:val="auto"/>
              </w:rPr>
            </w:pPr>
            <w:r>
              <w:rPr>
                <w:rFonts w:ascii="Times New Roman" w:cs="Times New Roman" w:eastAsia="Times New Roman" w:hAnsi="Times New Roman"/>
                <w:sz w:val="14"/>
                <w:szCs w:val="14"/>
                <w:color w:val="auto"/>
                <w:w w:val="89"/>
              </w:rPr>
              <w:t>464,</w:t>
            </w:r>
          </w:p>
        </w:tc>
        <w:tc>
          <w:tcPr>
            <w:tcW w:w="8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1,110,</w:t>
            </w:r>
          </w:p>
        </w:tc>
        <w:tc>
          <w:tcPr>
            <w:tcW w:w="4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2,559,056</w:t>
            </w:r>
          </w:p>
        </w:tc>
        <w:tc>
          <w:tcPr>
            <w:tcW w:w="920" w:type="dxa"/>
            <w:vAlign w:val="bottom"/>
            <w:gridSpan w:val="3"/>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2,362,2</w:t>
            </w:r>
          </w:p>
        </w:tc>
        <w:tc>
          <w:tcPr>
            <w:tcW w:w="6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DAEEF3"/>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VGE, LLC (11)</w:t>
            </w:r>
          </w:p>
        </w:tc>
        <w:tc>
          <w:tcPr>
            <w:tcW w:w="8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964</w:t>
            </w:r>
          </w:p>
        </w:tc>
        <w:tc>
          <w:tcPr>
            <w:tcW w:w="2940" w:type="dxa"/>
            <w:vAlign w:val="bottom"/>
            <w:gridSpan w:val="3"/>
            <w:vMerge w:val="continue"/>
            <w:shd w:val="clear" w:color="auto" w:fill="CFF0FC"/>
          </w:tcPr>
          <w:p>
            <w:pPr>
              <w:spacing w:after="0"/>
              <w:rPr>
                <w:sz w:val="14"/>
                <w:szCs w:val="14"/>
                <w:color w:val="auto"/>
              </w:rPr>
            </w:pPr>
          </w:p>
        </w:tc>
        <w:tc>
          <w:tcPr>
            <w:tcW w:w="8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398</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4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880" w:type="dxa"/>
            <w:vAlign w:val="bottom"/>
            <w:tcBorders>
              <w:right w:val="single" w:sz="8" w:color="DAEEF3"/>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Kalehua Capital Partners LP (12)</w:t>
            </w:r>
          </w:p>
        </w:tc>
        <w:tc>
          <w:tcPr>
            <w:tcW w:w="840" w:type="dxa"/>
            <w:vAlign w:val="bottom"/>
          </w:tcPr>
          <w:p>
            <w:pPr>
              <w:ind w:left="580"/>
              <w:spacing w:after="0" w:line="126" w:lineRule="exact"/>
              <w:rPr>
                <w:sz w:val="20"/>
                <w:szCs w:val="20"/>
                <w:color w:val="auto"/>
              </w:rPr>
            </w:pPr>
            <w:r>
              <w:rPr>
                <w:rFonts w:ascii="Times New Roman" w:cs="Times New Roman" w:eastAsia="Times New Roman" w:hAnsi="Times New Roman"/>
                <w:sz w:val="14"/>
                <w:szCs w:val="14"/>
                <w:color w:val="auto"/>
                <w:w w:val="97"/>
              </w:rPr>
              <w:t>393,</w:t>
            </w:r>
          </w:p>
        </w:tc>
        <w:tc>
          <w:tcPr>
            <w:tcW w:w="29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4.19%</w:t>
            </w:r>
          </w:p>
        </w:tc>
        <w:tc>
          <w:tcPr>
            <w:tcW w:w="800" w:type="dxa"/>
            <w:vAlign w:val="bottom"/>
          </w:tcPr>
          <w:p>
            <w:pPr>
              <w:ind w:left="560"/>
              <w:spacing w:after="0" w:line="126" w:lineRule="exact"/>
              <w:rPr>
                <w:sz w:val="20"/>
                <w:szCs w:val="20"/>
                <w:color w:val="auto"/>
              </w:rPr>
            </w:pPr>
            <w:r>
              <w:rPr>
                <w:rFonts w:ascii="Times New Roman" w:cs="Times New Roman" w:eastAsia="Times New Roman" w:hAnsi="Times New Roman"/>
                <w:sz w:val="14"/>
                <w:szCs w:val="14"/>
                <w:color w:val="auto"/>
                <w:w w:val="89"/>
              </w:rPr>
              <w:t>393,</w:t>
            </w:r>
          </w:p>
        </w:tc>
        <w:tc>
          <w:tcPr>
            <w:tcW w:w="40" w:type="dxa"/>
            <w:vAlign w:val="bottom"/>
          </w:tcPr>
          <w:p>
            <w:pPr>
              <w:spacing w:after="0"/>
              <w:rPr>
                <w:sz w:val="10"/>
                <w:szCs w:val="10"/>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639,764</w:t>
            </w:r>
          </w:p>
        </w:tc>
        <w:tc>
          <w:tcPr>
            <w:tcW w:w="92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590,5</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701</w:t>
            </w:r>
          </w:p>
        </w:tc>
        <w:tc>
          <w:tcPr>
            <w:tcW w:w="2940" w:type="dxa"/>
            <w:vAlign w:val="bottom"/>
            <w:gridSpan w:val="3"/>
            <w:vMerge w:val="continue"/>
          </w:tcPr>
          <w:p>
            <w:pPr>
              <w:spacing w:after="0"/>
              <w:rPr>
                <w:sz w:val="14"/>
                <w:szCs w:val="14"/>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701</w:t>
            </w:r>
          </w:p>
        </w:tc>
        <w:tc>
          <w:tcPr>
            <w:tcW w:w="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Ligand Pharmaceuticals</w:t>
            </w:r>
          </w:p>
        </w:tc>
        <w:tc>
          <w:tcPr>
            <w:tcW w:w="840" w:type="dxa"/>
            <w:vAlign w:val="bottom"/>
            <w:shd w:val="clear" w:color="auto" w:fill="CFF0FC"/>
          </w:tcPr>
          <w:p>
            <w:pPr>
              <w:ind w:left="580"/>
              <w:spacing w:after="0" w:line="126" w:lineRule="exact"/>
              <w:rPr>
                <w:sz w:val="20"/>
                <w:szCs w:val="20"/>
                <w:color w:val="auto"/>
              </w:rPr>
            </w:pPr>
            <w:r>
              <w:rPr>
                <w:rFonts w:ascii="Times New Roman" w:cs="Times New Roman" w:eastAsia="Times New Roman" w:hAnsi="Times New Roman"/>
                <w:sz w:val="14"/>
                <w:szCs w:val="14"/>
                <w:color w:val="auto"/>
                <w:w w:val="97"/>
              </w:rPr>
              <w:t>157,</w:t>
            </w:r>
          </w:p>
        </w:tc>
        <w:tc>
          <w:tcPr>
            <w:tcW w:w="294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1.68%</w:t>
            </w:r>
          </w:p>
        </w:tc>
        <w:tc>
          <w:tcPr>
            <w:tcW w:w="800" w:type="dxa"/>
            <w:vAlign w:val="bottom"/>
            <w:shd w:val="clear" w:color="auto" w:fill="CFF0FC"/>
          </w:tcPr>
          <w:p>
            <w:pPr>
              <w:ind w:left="560"/>
              <w:spacing w:after="0" w:line="126" w:lineRule="exact"/>
              <w:rPr>
                <w:sz w:val="20"/>
                <w:szCs w:val="20"/>
                <w:color w:val="auto"/>
              </w:rPr>
            </w:pPr>
            <w:r>
              <w:rPr>
                <w:rFonts w:ascii="Times New Roman" w:cs="Times New Roman" w:eastAsia="Times New Roman" w:hAnsi="Times New Roman"/>
                <w:sz w:val="14"/>
                <w:szCs w:val="14"/>
                <w:color w:val="auto"/>
                <w:w w:val="89"/>
              </w:rPr>
              <w:t>157,</w:t>
            </w:r>
          </w:p>
        </w:tc>
        <w:tc>
          <w:tcPr>
            <w:tcW w:w="4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255,905</w:t>
            </w:r>
          </w:p>
        </w:tc>
        <w:tc>
          <w:tcPr>
            <w:tcW w:w="920" w:type="dxa"/>
            <w:vAlign w:val="bottom"/>
            <w:gridSpan w:val="3"/>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236,2</w:t>
            </w:r>
          </w:p>
        </w:tc>
        <w:tc>
          <w:tcPr>
            <w:tcW w:w="6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DAEEF3"/>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Incorporated (13)</w:t>
            </w:r>
          </w:p>
        </w:tc>
        <w:tc>
          <w:tcPr>
            <w:tcW w:w="8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480</w:t>
            </w:r>
          </w:p>
        </w:tc>
        <w:tc>
          <w:tcPr>
            <w:tcW w:w="2940" w:type="dxa"/>
            <w:vAlign w:val="bottom"/>
            <w:gridSpan w:val="3"/>
            <w:vMerge w:val="continue"/>
            <w:shd w:val="clear" w:color="auto" w:fill="CFF0FC"/>
          </w:tcPr>
          <w:p>
            <w:pPr>
              <w:spacing w:after="0"/>
              <w:rPr>
                <w:sz w:val="14"/>
                <w:szCs w:val="14"/>
                <w:color w:val="auto"/>
              </w:rPr>
            </w:pPr>
          </w:p>
        </w:tc>
        <w:tc>
          <w:tcPr>
            <w:tcW w:w="8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480</w:t>
            </w:r>
          </w:p>
        </w:tc>
        <w:tc>
          <w:tcPr>
            <w:tcW w:w="4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880" w:type="dxa"/>
            <w:vAlign w:val="bottom"/>
            <w:tcBorders>
              <w:right w:val="single" w:sz="8" w:color="DAEEF3"/>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Nemean Asset Management,</w:t>
            </w:r>
          </w:p>
        </w:tc>
        <w:tc>
          <w:tcPr>
            <w:tcW w:w="840" w:type="dxa"/>
            <w:vAlign w:val="bottom"/>
          </w:tcPr>
          <w:p>
            <w:pPr>
              <w:ind w:left="580"/>
              <w:spacing w:after="0" w:line="126" w:lineRule="exact"/>
              <w:rPr>
                <w:sz w:val="20"/>
                <w:szCs w:val="20"/>
                <w:color w:val="auto"/>
              </w:rPr>
            </w:pPr>
            <w:r>
              <w:rPr>
                <w:rFonts w:ascii="Times New Roman" w:cs="Times New Roman" w:eastAsia="Times New Roman" w:hAnsi="Times New Roman"/>
                <w:sz w:val="14"/>
                <w:szCs w:val="14"/>
                <w:color w:val="auto"/>
                <w:w w:val="97"/>
              </w:rPr>
              <w:t>365,</w:t>
            </w:r>
          </w:p>
        </w:tc>
        <w:tc>
          <w:tcPr>
            <w:tcW w:w="29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3.89%</w:t>
            </w:r>
          </w:p>
        </w:tc>
        <w:tc>
          <w:tcPr>
            <w:tcW w:w="800" w:type="dxa"/>
            <w:vAlign w:val="bottom"/>
          </w:tcPr>
          <w:p>
            <w:pPr>
              <w:ind w:left="560"/>
              <w:spacing w:after="0" w:line="126" w:lineRule="exact"/>
              <w:rPr>
                <w:sz w:val="20"/>
                <w:szCs w:val="20"/>
                <w:color w:val="auto"/>
              </w:rPr>
            </w:pPr>
            <w:r>
              <w:rPr>
                <w:rFonts w:ascii="Times New Roman" w:cs="Times New Roman" w:eastAsia="Times New Roman" w:hAnsi="Times New Roman"/>
                <w:sz w:val="14"/>
                <w:szCs w:val="14"/>
                <w:color w:val="auto"/>
                <w:w w:val="89"/>
              </w:rPr>
              <w:t>236,</w:t>
            </w:r>
          </w:p>
        </w:tc>
        <w:tc>
          <w:tcPr>
            <w:tcW w:w="40" w:type="dxa"/>
            <w:vAlign w:val="bottom"/>
          </w:tcPr>
          <w:p>
            <w:pPr>
              <w:spacing w:after="0"/>
              <w:rPr>
                <w:sz w:val="10"/>
                <w:szCs w:val="10"/>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383,857</w:t>
            </w:r>
          </w:p>
        </w:tc>
        <w:tc>
          <w:tcPr>
            <w:tcW w:w="92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354,3</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128,806</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71"/>
        </w:trPr>
        <w:tc>
          <w:tcPr>
            <w:tcW w:w="2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LLC (14)</w:t>
            </w:r>
          </w:p>
        </w:tc>
        <w:tc>
          <w:tcPr>
            <w:tcW w:w="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026</w:t>
            </w:r>
          </w:p>
        </w:tc>
        <w:tc>
          <w:tcPr>
            <w:tcW w:w="2940" w:type="dxa"/>
            <w:vAlign w:val="bottom"/>
            <w:gridSpan w:val="3"/>
            <w:vMerge w:val="continue"/>
          </w:tcPr>
          <w:p>
            <w:pPr>
              <w:spacing w:after="0"/>
              <w:rPr>
                <w:sz w:val="14"/>
                <w:szCs w:val="14"/>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Perceptive Life Sciences Master</w:t>
            </w:r>
          </w:p>
        </w:tc>
        <w:tc>
          <w:tcPr>
            <w:tcW w:w="840" w:type="dxa"/>
            <w:vAlign w:val="bottom"/>
            <w:shd w:val="clear" w:color="auto" w:fill="CFF0FC"/>
          </w:tcPr>
          <w:p>
            <w:pPr>
              <w:ind w:left="480"/>
              <w:spacing w:after="0" w:line="126" w:lineRule="exact"/>
              <w:rPr>
                <w:sz w:val="20"/>
                <w:szCs w:val="20"/>
                <w:color w:val="auto"/>
              </w:rPr>
            </w:pPr>
            <w:r>
              <w:rPr>
                <w:rFonts w:ascii="Times New Roman" w:cs="Times New Roman" w:eastAsia="Times New Roman" w:hAnsi="Times New Roman"/>
                <w:sz w:val="14"/>
                <w:szCs w:val="14"/>
                <w:color w:val="auto"/>
                <w:w w:val="97"/>
              </w:rPr>
              <w:t>1,548,</w:t>
            </w:r>
          </w:p>
        </w:tc>
        <w:tc>
          <w:tcPr>
            <w:tcW w:w="294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16.44%</w:t>
            </w:r>
          </w:p>
        </w:tc>
        <w:tc>
          <w:tcPr>
            <w:tcW w:w="800" w:type="dxa"/>
            <w:vAlign w:val="bottom"/>
            <w:shd w:val="clear" w:color="auto" w:fill="CFF0FC"/>
          </w:tcPr>
          <w:p>
            <w:pPr>
              <w:ind w:left="560"/>
              <w:spacing w:after="0" w:line="126" w:lineRule="exact"/>
              <w:rPr>
                <w:sz w:val="20"/>
                <w:szCs w:val="20"/>
                <w:color w:val="auto"/>
              </w:rPr>
            </w:pPr>
            <w:r>
              <w:rPr>
                <w:rFonts w:ascii="Times New Roman" w:cs="Times New Roman" w:eastAsia="Times New Roman" w:hAnsi="Times New Roman"/>
                <w:sz w:val="14"/>
                <w:szCs w:val="14"/>
                <w:color w:val="auto"/>
                <w:w w:val="89"/>
              </w:rPr>
              <w:t>989,</w:t>
            </w:r>
          </w:p>
        </w:tc>
        <w:tc>
          <w:tcPr>
            <w:tcW w:w="8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1,372,</w:t>
            </w:r>
          </w:p>
        </w:tc>
        <w:tc>
          <w:tcPr>
            <w:tcW w:w="4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3,838,583</w:t>
            </w:r>
          </w:p>
        </w:tc>
        <w:tc>
          <w:tcPr>
            <w:tcW w:w="920" w:type="dxa"/>
            <w:vAlign w:val="bottom"/>
            <w:gridSpan w:val="3"/>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3,543,3</w:t>
            </w: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FF0FC"/>
          </w:tcPr>
          <w:p>
            <w:pPr>
              <w:spacing w:after="0"/>
              <w:rPr>
                <w:sz w:val="10"/>
                <w:szCs w:val="10"/>
                <w:color w:val="auto"/>
              </w:rPr>
            </w:pPr>
          </w:p>
        </w:tc>
        <w:tc>
          <w:tcPr>
            <w:tcW w:w="880" w:type="dxa"/>
            <w:vAlign w:val="bottom"/>
            <w:tcBorders>
              <w:right w:val="single" w:sz="8" w:color="DAEEF3"/>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0" w:type="dxa"/>
            <w:vAlign w:val="bottom"/>
          </w:tcPr>
          <w:p>
            <w:pPr>
              <w:spacing w:after="0"/>
              <w:rPr>
                <w:sz w:val="1"/>
                <w:szCs w:val="1"/>
                <w:color w:val="auto"/>
              </w:rPr>
            </w:pPr>
          </w:p>
        </w:tc>
      </w:tr>
      <w:tr>
        <w:trPr>
          <w:trHeight w:val="171"/>
        </w:trPr>
        <w:tc>
          <w:tcPr>
            <w:tcW w:w="2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Fund, Ltd. (15)</w:t>
            </w:r>
          </w:p>
        </w:tc>
        <w:tc>
          <w:tcPr>
            <w:tcW w:w="8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526</w:t>
            </w:r>
          </w:p>
        </w:tc>
        <w:tc>
          <w:tcPr>
            <w:tcW w:w="2940" w:type="dxa"/>
            <w:vAlign w:val="bottom"/>
            <w:gridSpan w:val="3"/>
            <w:vMerge w:val="continue"/>
            <w:shd w:val="clear" w:color="auto" w:fill="CFF0FC"/>
          </w:tcPr>
          <w:p>
            <w:pPr>
              <w:spacing w:after="0"/>
              <w:rPr>
                <w:sz w:val="14"/>
                <w:szCs w:val="14"/>
                <w:color w:val="auto"/>
              </w:rPr>
            </w:pPr>
          </w:p>
        </w:tc>
        <w:tc>
          <w:tcPr>
            <w:tcW w:w="8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270</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4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40,296</w:t>
            </w:r>
          </w:p>
        </w:tc>
        <w:tc>
          <w:tcPr>
            <w:tcW w:w="20" w:type="dxa"/>
            <w:vAlign w:val="bottom"/>
            <w:shd w:val="clear" w:color="auto" w:fill="CFF0FC"/>
          </w:tcPr>
          <w:p>
            <w:pPr>
              <w:spacing w:after="0"/>
              <w:rPr>
                <w:sz w:val="14"/>
                <w:szCs w:val="14"/>
                <w:color w:val="auto"/>
              </w:rPr>
            </w:pPr>
          </w:p>
        </w:tc>
        <w:tc>
          <w:tcPr>
            <w:tcW w:w="880" w:type="dxa"/>
            <w:vAlign w:val="bottom"/>
            <w:tcBorders>
              <w:right w:val="single" w:sz="8" w:color="DAEEF3"/>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Perceptive Xontogeny Venture</w:t>
            </w:r>
          </w:p>
        </w:tc>
        <w:tc>
          <w:tcPr>
            <w:tcW w:w="840" w:type="dxa"/>
            <w:vAlign w:val="bottom"/>
          </w:tcPr>
          <w:p>
            <w:pPr>
              <w:ind w:left="580"/>
              <w:spacing w:after="0" w:line="126" w:lineRule="exact"/>
              <w:rPr>
                <w:sz w:val="20"/>
                <w:szCs w:val="20"/>
                <w:color w:val="auto"/>
              </w:rPr>
            </w:pPr>
            <w:r>
              <w:rPr>
                <w:rFonts w:ascii="Times New Roman" w:cs="Times New Roman" w:eastAsia="Times New Roman" w:hAnsi="Times New Roman"/>
                <w:sz w:val="14"/>
                <w:szCs w:val="14"/>
                <w:color w:val="auto"/>
                <w:w w:val="97"/>
              </w:rPr>
              <w:t>333,</w:t>
            </w:r>
          </w:p>
        </w:tc>
        <w:tc>
          <w:tcPr>
            <w:tcW w:w="29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3.55%</w:t>
            </w:r>
          </w:p>
        </w:tc>
        <w:tc>
          <w:tcPr>
            <w:tcW w:w="800" w:type="dxa"/>
            <w:vAlign w:val="bottom"/>
          </w:tcPr>
          <w:p>
            <w:pPr>
              <w:ind w:left="560"/>
              <w:spacing w:after="0" w:line="126" w:lineRule="exact"/>
              <w:rPr>
                <w:sz w:val="20"/>
                <w:szCs w:val="20"/>
                <w:color w:val="auto"/>
              </w:rPr>
            </w:pPr>
            <w:r>
              <w:rPr>
                <w:rFonts w:ascii="Times New Roman" w:cs="Times New Roman" w:eastAsia="Times New Roman" w:hAnsi="Times New Roman"/>
                <w:sz w:val="14"/>
                <w:szCs w:val="14"/>
                <w:color w:val="auto"/>
                <w:w w:val="89"/>
              </w:rPr>
              <w:t>329,</w:t>
            </w:r>
          </w:p>
        </w:tc>
        <w:tc>
          <w:tcPr>
            <w:tcW w:w="8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457,</w:t>
            </w:r>
          </w:p>
        </w:tc>
        <w:tc>
          <w:tcPr>
            <w:tcW w:w="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1,279,526</w:t>
            </w:r>
          </w:p>
        </w:tc>
        <w:tc>
          <w:tcPr>
            <w:tcW w:w="92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1,181,1</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Fund II, LP (15)</w:t>
            </w:r>
          </w:p>
        </w:tc>
        <w:tc>
          <w:tcPr>
            <w:tcW w:w="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844</w:t>
            </w:r>
          </w:p>
        </w:tc>
        <w:tc>
          <w:tcPr>
            <w:tcW w:w="2940" w:type="dxa"/>
            <w:vAlign w:val="bottom"/>
            <w:gridSpan w:val="3"/>
            <w:vMerge w:val="continue"/>
          </w:tcPr>
          <w:p>
            <w:pPr>
              <w:spacing w:after="0"/>
              <w:rPr>
                <w:sz w:val="14"/>
                <w:szCs w:val="14"/>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756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Spearhead Insurance Solutions</w:t>
            </w:r>
          </w:p>
        </w:tc>
        <w:tc>
          <w:tcPr>
            <w:tcW w:w="840" w:type="dxa"/>
            <w:vAlign w:val="bottom"/>
            <w:shd w:val="clear" w:color="auto" w:fill="CFF0FC"/>
          </w:tcPr>
          <w:p>
            <w:pPr>
              <w:ind w:left="580"/>
              <w:spacing w:after="0" w:line="126" w:lineRule="exact"/>
              <w:rPr>
                <w:sz w:val="20"/>
                <w:szCs w:val="20"/>
                <w:color w:val="auto"/>
              </w:rPr>
            </w:pPr>
            <w:r>
              <w:rPr>
                <w:rFonts w:ascii="Times New Roman" w:cs="Times New Roman" w:eastAsia="Times New Roman" w:hAnsi="Times New Roman"/>
                <w:sz w:val="14"/>
                <w:szCs w:val="14"/>
                <w:color w:val="auto"/>
                <w:w w:val="97"/>
              </w:rPr>
              <w:t>53,1</w:t>
            </w:r>
          </w:p>
        </w:tc>
        <w:tc>
          <w:tcPr>
            <w:tcW w:w="294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ind w:left="540"/>
              <w:spacing w:after="0" w:line="126" w:lineRule="exact"/>
              <w:rPr>
                <w:sz w:val="20"/>
                <w:szCs w:val="20"/>
                <w:color w:val="auto"/>
              </w:rPr>
            </w:pPr>
            <w:r>
              <w:rPr>
                <w:rFonts w:ascii="Times New Roman" w:cs="Times New Roman" w:eastAsia="Times New Roman" w:hAnsi="Times New Roman"/>
                <w:sz w:val="14"/>
                <w:szCs w:val="14"/>
                <w:color w:val="auto"/>
                <w:w w:val="97"/>
              </w:rPr>
              <w:t>53,1</w:t>
            </w:r>
          </w:p>
        </w:tc>
        <w:tc>
          <w:tcPr>
            <w:tcW w:w="4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86,367</w:t>
            </w:r>
          </w:p>
        </w:tc>
        <w:tc>
          <w:tcPr>
            <w:tcW w:w="90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79,72</w:t>
            </w:r>
          </w:p>
        </w:tc>
        <w:tc>
          <w:tcPr>
            <w:tcW w:w="2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DAEEF3"/>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IDF, LLC – Series ADAR1 (8)</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940" w:type="dxa"/>
            <w:vAlign w:val="bottom"/>
            <w:gridSpan w:val="3"/>
            <w:vMerge w:val="continue"/>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880" w:type="dxa"/>
            <w:vAlign w:val="bottom"/>
            <w:tcBorders>
              <w:right w:val="single" w:sz="8" w:color="DAEEF3"/>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Spruce Street Aggregator</w:t>
            </w:r>
          </w:p>
        </w:tc>
        <w:tc>
          <w:tcPr>
            <w:tcW w:w="840" w:type="dxa"/>
            <w:vAlign w:val="bottom"/>
          </w:tcPr>
          <w:p>
            <w:pPr>
              <w:ind w:left="580"/>
              <w:spacing w:after="0" w:line="126" w:lineRule="exact"/>
              <w:rPr>
                <w:sz w:val="20"/>
                <w:szCs w:val="20"/>
                <w:color w:val="auto"/>
              </w:rPr>
            </w:pPr>
            <w:r>
              <w:rPr>
                <w:rFonts w:ascii="Times New Roman" w:cs="Times New Roman" w:eastAsia="Times New Roman" w:hAnsi="Times New Roman"/>
                <w:sz w:val="14"/>
                <w:szCs w:val="14"/>
                <w:color w:val="auto"/>
                <w:w w:val="97"/>
              </w:rPr>
              <w:t>469,</w:t>
            </w:r>
          </w:p>
        </w:tc>
        <w:tc>
          <w:tcPr>
            <w:tcW w:w="29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4.99%</w:t>
            </w:r>
          </w:p>
        </w:tc>
        <w:tc>
          <w:tcPr>
            <w:tcW w:w="800" w:type="dxa"/>
            <w:vAlign w:val="bottom"/>
          </w:tcPr>
          <w:p>
            <w:pPr>
              <w:ind w:left="560"/>
              <w:spacing w:after="0" w:line="126" w:lineRule="exact"/>
              <w:rPr>
                <w:sz w:val="20"/>
                <w:szCs w:val="20"/>
                <w:color w:val="auto"/>
              </w:rPr>
            </w:pPr>
            <w:r>
              <w:rPr>
                <w:rFonts w:ascii="Times New Roman" w:cs="Times New Roman" w:eastAsia="Times New Roman" w:hAnsi="Times New Roman"/>
                <w:sz w:val="14"/>
                <w:szCs w:val="14"/>
                <w:color w:val="auto"/>
                <w:w w:val="89"/>
              </w:rPr>
              <w:t>456,</w:t>
            </w:r>
          </w:p>
        </w:tc>
        <w:tc>
          <w:tcPr>
            <w:tcW w:w="8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216,</w:t>
            </w:r>
          </w:p>
        </w:tc>
        <w:tc>
          <w:tcPr>
            <w:tcW w:w="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1,093,306</w:t>
            </w:r>
          </w:p>
        </w:tc>
        <w:tc>
          <w:tcPr>
            <w:tcW w:w="92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1,009,2</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L.P. (16)</w:t>
            </w:r>
          </w:p>
        </w:tc>
        <w:tc>
          <w:tcPr>
            <w:tcW w:w="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404</w:t>
            </w:r>
          </w:p>
        </w:tc>
        <w:tc>
          <w:tcPr>
            <w:tcW w:w="2940" w:type="dxa"/>
            <w:vAlign w:val="bottom"/>
            <w:gridSpan w:val="3"/>
            <w:vMerge w:val="continue"/>
          </w:tcPr>
          <w:p>
            <w:pPr>
              <w:spacing w:after="0"/>
              <w:rPr>
                <w:sz w:val="14"/>
                <w:szCs w:val="14"/>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022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Spruce Street Entities (17)</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393,701</w:t>
            </w:r>
          </w:p>
        </w:tc>
        <w:tc>
          <w:tcPr>
            <w:tcW w:w="294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4.19%</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393,701</w:t>
            </w:r>
          </w:p>
        </w:tc>
        <w:tc>
          <w:tcPr>
            <w:tcW w:w="4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63</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590,551</w:t>
            </w:r>
          </w:p>
        </w:tc>
        <w:tc>
          <w:tcPr>
            <w:tcW w:w="2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DAEEF3"/>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940" w:type="dxa"/>
            <w:vAlign w:val="bottom"/>
            <w:gridSpan w:val="3"/>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9,763</w:t>
            </w:r>
          </w:p>
        </w:tc>
        <w:tc>
          <w:tcPr>
            <w:tcW w:w="90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880" w:type="dxa"/>
            <w:vAlign w:val="bottom"/>
            <w:tcBorders>
              <w:right w:val="single" w:sz="8" w:color="DAEEF3"/>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TCG Crossover Fund II,</w:t>
            </w:r>
          </w:p>
        </w:tc>
        <w:tc>
          <w:tcPr>
            <w:tcW w:w="840" w:type="dxa"/>
            <w:vAlign w:val="bottom"/>
          </w:tcPr>
          <w:p>
            <w:pPr>
              <w:ind w:left="580"/>
              <w:spacing w:after="0" w:line="126" w:lineRule="exact"/>
              <w:rPr>
                <w:sz w:val="20"/>
                <w:szCs w:val="20"/>
                <w:color w:val="auto"/>
              </w:rPr>
            </w:pPr>
            <w:r>
              <w:rPr>
                <w:rFonts w:ascii="Times New Roman" w:cs="Times New Roman" w:eastAsia="Times New Roman" w:hAnsi="Times New Roman"/>
                <w:sz w:val="14"/>
                <w:szCs w:val="14"/>
                <w:color w:val="auto"/>
                <w:w w:val="97"/>
              </w:rPr>
              <w:t>234,</w:t>
            </w:r>
          </w:p>
        </w:tc>
        <w:tc>
          <w:tcPr>
            <w:tcW w:w="29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2.50%</w:t>
            </w:r>
          </w:p>
        </w:tc>
        <w:tc>
          <w:tcPr>
            <w:tcW w:w="800" w:type="dxa"/>
            <w:vAlign w:val="bottom"/>
          </w:tcPr>
          <w:p>
            <w:pPr>
              <w:ind w:left="560"/>
              <w:spacing w:after="0" w:line="126" w:lineRule="exact"/>
              <w:rPr>
                <w:sz w:val="20"/>
                <w:szCs w:val="20"/>
                <w:color w:val="auto"/>
              </w:rPr>
            </w:pPr>
            <w:r>
              <w:rPr>
                <w:rFonts w:ascii="Times New Roman" w:cs="Times New Roman" w:eastAsia="Times New Roman" w:hAnsi="Times New Roman"/>
                <w:sz w:val="14"/>
                <w:szCs w:val="14"/>
                <w:color w:val="auto"/>
                <w:w w:val="89"/>
              </w:rPr>
              <w:t>232,</w:t>
            </w:r>
          </w:p>
        </w:tc>
        <w:tc>
          <w:tcPr>
            <w:tcW w:w="8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1,342,</w:t>
            </w:r>
          </w:p>
        </w:tc>
        <w:tc>
          <w:tcPr>
            <w:tcW w:w="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2,559,056</w:t>
            </w:r>
          </w:p>
        </w:tc>
        <w:tc>
          <w:tcPr>
            <w:tcW w:w="92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2,362,2</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L.P. (18)</w:t>
            </w:r>
          </w:p>
        </w:tc>
        <w:tc>
          <w:tcPr>
            <w:tcW w:w="8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482</w:t>
            </w:r>
          </w:p>
        </w:tc>
        <w:tc>
          <w:tcPr>
            <w:tcW w:w="2940" w:type="dxa"/>
            <w:vAlign w:val="bottom"/>
            <w:gridSpan w:val="3"/>
            <w:vMerge w:val="continue"/>
          </w:tcPr>
          <w:p>
            <w:pPr>
              <w:spacing w:after="0"/>
              <w:rPr>
                <w:sz w:val="14"/>
                <w:szCs w:val="14"/>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199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TCG Crossover Fund III,</w:t>
            </w:r>
          </w:p>
        </w:tc>
        <w:tc>
          <w:tcPr>
            <w:tcW w:w="840" w:type="dxa"/>
            <w:vAlign w:val="bottom"/>
            <w:shd w:val="clear" w:color="auto" w:fill="CFF0FC"/>
          </w:tcPr>
          <w:p>
            <w:pPr>
              <w:ind w:left="580"/>
              <w:spacing w:after="0" w:line="126" w:lineRule="exact"/>
              <w:rPr>
                <w:sz w:val="20"/>
                <w:szCs w:val="20"/>
                <w:color w:val="auto"/>
              </w:rPr>
            </w:pPr>
            <w:r>
              <w:rPr>
                <w:rFonts w:ascii="Times New Roman" w:cs="Times New Roman" w:eastAsia="Times New Roman" w:hAnsi="Times New Roman"/>
                <w:sz w:val="14"/>
                <w:szCs w:val="14"/>
                <w:color w:val="auto"/>
                <w:w w:val="97"/>
              </w:rPr>
              <w:t>234,</w:t>
            </w:r>
          </w:p>
        </w:tc>
        <w:tc>
          <w:tcPr>
            <w:tcW w:w="294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2.50%</w:t>
            </w:r>
          </w:p>
        </w:tc>
        <w:tc>
          <w:tcPr>
            <w:tcW w:w="800" w:type="dxa"/>
            <w:vAlign w:val="bottom"/>
            <w:shd w:val="clear" w:color="auto" w:fill="CFF0FC"/>
          </w:tcPr>
          <w:p>
            <w:pPr>
              <w:ind w:left="560"/>
              <w:spacing w:after="0" w:line="126" w:lineRule="exact"/>
              <w:rPr>
                <w:sz w:val="20"/>
                <w:szCs w:val="20"/>
                <w:color w:val="auto"/>
              </w:rPr>
            </w:pPr>
            <w:r>
              <w:rPr>
                <w:rFonts w:ascii="Times New Roman" w:cs="Times New Roman" w:eastAsia="Times New Roman" w:hAnsi="Times New Roman"/>
                <w:sz w:val="14"/>
                <w:szCs w:val="14"/>
                <w:color w:val="auto"/>
                <w:w w:val="89"/>
              </w:rPr>
              <w:t>232,</w:t>
            </w:r>
          </w:p>
        </w:tc>
        <w:tc>
          <w:tcPr>
            <w:tcW w:w="8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1,342,</w:t>
            </w:r>
          </w:p>
        </w:tc>
        <w:tc>
          <w:tcPr>
            <w:tcW w:w="4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2,559,054</w:t>
            </w:r>
          </w:p>
        </w:tc>
        <w:tc>
          <w:tcPr>
            <w:tcW w:w="920" w:type="dxa"/>
            <w:vAlign w:val="bottom"/>
            <w:gridSpan w:val="3"/>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2,362,2</w:t>
            </w:r>
          </w:p>
        </w:tc>
        <w:tc>
          <w:tcPr>
            <w:tcW w:w="6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DAEEF3"/>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L.P. (18)</w:t>
            </w:r>
          </w:p>
        </w:tc>
        <w:tc>
          <w:tcPr>
            <w:tcW w:w="8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482</w:t>
            </w:r>
          </w:p>
        </w:tc>
        <w:tc>
          <w:tcPr>
            <w:tcW w:w="2940" w:type="dxa"/>
            <w:vAlign w:val="bottom"/>
            <w:gridSpan w:val="3"/>
            <w:vMerge w:val="continue"/>
            <w:shd w:val="clear" w:color="auto" w:fill="CFF0FC"/>
          </w:tcPr>
          <w:p>
            <w:pPr>
              <w:spacing w:after="0"/>
              <w:rPr>
                <w:sz w:val="14"/>
                <w:szCs w:val="14"/>
                <w:color w:val="auto"/>
              </w:rPr>
            </w:pPr>
          </w:p>
        </w:tc>
        <w:tc>
          <w:tcPr>
            <w:tcW w:w="8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199</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4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880" w:type="dxa"/>
            <w:vAlign w:val="bottom"/>
            <w:tcBorders>
              <w:right w:val="single" w:sz="8" w:color="DAEEF3"/>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Third Street Holdings, LLC (9)</w:t>
            </w:r>
          </w:p>
        </w:tc>
        <w:tc>
          <w:tcPr>
            <w:tcW w:w="840" w:type="dxa"/>
            <w:vAlign w:val="bottom"/>
          </w:tcPr>
          <w:p>
            <w:pPr>
              <w:ind w:left="580"/>
              <w:spacing w:after="0" w:line="126" w:lineRule="exact"/>
              <w:rPr>
                <w:sz w:val="20"/>
                <w:szCs w:val="20"/>
                <w:color w:val="auto"/>
              </w:rPr>
            </w:pPr>
            <w:r>
              <w:rPr>
                <w:rFonts w:ascii="Times New Roman" w:cs="Times New Roman" w:eastAsia="Times New Roman" w:hAnsi="Times New Roman"/>
                <w:sz w:val="14"/>
                <w:szCs w:val="14"/>
                <w:color w:val="auto"/>
                <w:w w:val="97"/>
              </w:rPr>
              <w:t>27,6</w:t>
            </w:r>
          </w:p>
        </w:tc>
        <w:tc>
          <w:tcPr>
            <w:tcW w:w="29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40"/>
              <w:spacing w:after="0" w:line="126" w:lineRule="exact"/>
              <w:rPr>
                <w:sz w:val="20"/>
                <w:szCs w:val="20"/>
                <w:color w:val="auto"/>
              </w:rPr>
            </w:pPr>
            <w:r>
              <w:rPr>
                <w:rFonts w:ascii="Times New Roman" w:cs="Times New Roman" w:eastAsia="Times New Roman" w:hAnsi="Times New Roman"/>
                <w:sz w:val="14"/>
                <w:szCs w:val="14"/>
                <w:color w:val="auto"/>
                <w:w w:val="97"/>
              </w:rPr>
              <w:t>26,8</w:t>
            </w:r>
          </w:p>
        </w:tc>
        <w:tc>
          <w:tcPr>
            <w:tcW w:w="8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16,9</w:t>
            </w:r>
          </w:p>
        </w:tc>
        <w:tc>
          <w:tcPr>
            <w:tcW w:w="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71,166</w:t>
            </w:r>
          </w:p>
        </w:tc>
        <w:tc>
          <w:tcPr>
            <w:tcW w:w="9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65,69</w:t>
            </w:r>
          </w:p>
        </w:tc>
        <w:tc>
          <w:tcPr>
            <w:tcW w:w="20" w:type="dxa"/>
            <w:vAlign w:val="bottom"/>
          </w:tcPr>
          <w:p>
            <w:pPr>
              <w:spacing w:after="0"/>
              <w:rPr>
                <w:sz w:val="10"/>
                <w:szCs w:val="10"/>
                <w:color w:val="auto"/>
              </w:rPr>
            </w:pP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940" w:type="dxa"/>
            <w:vAlign w:val="bottom"/>
            <w:gridSpan w:val="3"/>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32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shd w:val="clear" w:color="auto" w:fill="CFF0FC"/>
          </w:tcPr>
          <w:p>
            <w:pPr>
              <w:ind w:left="480"/>
              <w:spacing w:after="0" w:line="124" w:lineRule="exact"/>
              <w:rPr>
                <w:sz w:val="20"/>
                <w:szCs w:val="20"/>
                <w:color w:val="auto"/>
              </w:rPr>
            </w:pPr>
            <w:r>
              <w:rPr>
                <w:rFonts w:ascii="Times New Roman" w:cs="Times New Roman" w:eastAsia="Times New Roman" w:hAnsi="Times New Roman"/>
                <w:sz w:val="14"/>
                <w:szCs w:val="14"/>
                <w:b w:val="1"/>
                <w:bCs w:val="1"/>
                <w:color w:val="auto"/>
                <w:w w:val="97"/>
              </w:rPr>
              <w:t>6,089,</w:t>
            </w:r>
          </w:p>
        </w:tc>
        <w:tc>
          <w:tcPr>
            <w:tcW w:w="294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64.76%</w:t>
            </w:r>
          </w:p>
        </w:tc>
        <w:tc>
          <w:tcPr>
            <w:tcW w:w="800" w:type="dxa"/>
            <w:vAlign w:val="bottom"/>
            <w:shd w:val="clear" w:color="auto" w:fill="CFF0FC"/>
          </w:tcPr>
          <w:p>
            <w:pPr>
              <w:ind w:left="440"/>
              <w:spacing w:after="0" w:line="124" w:lineRule="exact"/>
              <w:rPr>
                <w:sz w:val="20"/>
                <w:szCs w:val="20"/>
                <w:color w:val="auto"/>
              </w:rPr>
            </w:pPr>
            <w:r>
              <w:rPr>
                <w:rFonts w:ascii="Times New Roman" w:cs="Times New Roman" w:eastAsia="Times New Roman" w:hAnsi="Times New Roman"/>
                <w:sz w:val="14"/>
                <w:szCs w:val="14"/>
                <w:b w:val="1"/>
                <w:bCs w:val="1"/>
                <w:color w:val="auto"/>
                <w:w w:val="97"/>
              </w:rPr>
              <w:t>5,356,</w:t>
            </w:r>
          </w:p>
        </w:tc>
        <w:tc>
          <w:tcPr>
            <w:tcW w:w="86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8,816,</w:t>
            </w:r>
          </w:p>
        </w:tc>
        <w:tc>
          <w:tcPr>
            <w:tcW w:w="4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23,031,494</w:t>
            </w:r>
          </w:p>
        </w:tc>
        <w:tc>
          <w:tcPr>
            <w:tcW w:w="920" w:type="dxa"/>
            <w:vAlign w:val="bottom"/>
            <w:gridSpan w:val="3"/>
            <w:shd w:val="clear" w:color="auto" w:fill="CFF0FC"/>
          </w:tcPr>
          <w:p>
            <w:pPr>
              <w:jc w:val="right"/>
              <w:ind w:right="20"/>
              <w:spacing w:after="0" w:line="124" w:lineRule="exact"/>
              <w:rPr>
                <w:sz w:val="20"/>
                <w:szCs w:val="20"/>
                <w:color w:val="auto"/>
              </w:rPr>
            </w:pPr>
            <w:r>
              <w:rPr>
                <w:rFonts w:ascii="Times New Roman" w:cs="Times New Roman" w:eastAsia="Times New Roman" w:hAnsi="Times New Roman"/>
                <w:sz w:val="14"/>
                <w:szCs w:val="14"/>
                <w:b w:val="1"/>
                <w:bCs w:val="1"/>
                <w:color w:val="auto"/>
              </w:rPr>
              <w:t>21,259,8</w:t>
            </w:r>
          </w:p>
        </w:tc>
        <w:tc>
          <w:tcPr>
            <w:tcW w:w="6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669,102</w:t>
            </w:r>
          </w:p>
        </w:tc>
        <w:tc>
          <w:tcPr>
            <w:tcW w:w="880" w:type="dxa"/>
            <w:vAlign w:val="bottom"/>
            <w:tcBorders>
              <w:right w:val="single" w:sz="8" w:color="DAEEF3"/>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16.94%</w:t>
            </w:r>
          </w:p>
        </w:tc>
        <w:tc>
          <w:tcPr>
            <w:tcW w:w="0" w:type="dxa"/>
            <w:vAlign w:val="bottom"/>
          </w:tcPr>
          <w:p>
            <w:pPr>
              <w:spacing w:after="0"/>
              <w:rPr>
                <w:sz w:val="1"/>
                <w:szCs w:val="1"/>
                <w:color w:val="auto"/>
              </w:rPr>
            </w:pPr>
          </w:p>
        </w:tc>
      </w:tr>
      <w:tr>
        <w:trPr>
          <w:trHeight w:val="173"/>
        </w:trPr>
        <w:tc>
          <w:tcPr>
            <w:tcW w:w="2320" w:type="dxa"/>
            <w:vAlign w:val="bottom"/>
            <w:shd w:val="clear" w:color="auto" w:fill="CFF0FC"/>
          </w:tcPr>
          <w:p>
            <w:pPr>
              <w:spacing w:after="0"/>
              <w:rPr>
                <w:sz w:val="15"/>
                <w:szCs w:val="15"/>
                <w:color w:val="auto"/>
              </w:rPr>
            </w:pPr>
          </w:p>
        </w:tc>
        <w:tc>
          <w:tcPr>
            <w:tcW w:w="8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b w:val="1"/>
                <w:bCs w:val="1"/>
                <w:color w:val="auto"/>
              </w:rPr>
              <w:t>159</w:t>
            </w:r>
          </w:p>
        </w:tc>
        <w:tc>
          <w:tcPr>
            <w:tcW w:w="2940" w:type="dxa"/>
            <w:vAlign w:val="bottom"/>
            <w:gridSpan w:val="3"/>
            <w:vMerge w:val="continue"/>
            <w:shd w:val="clear" w:color="auto" w:fill="CFF0FC"/>
          </w:tcPr>
          <w:p>
            <w:pPr>
              <w:spacing w:after="0"/>
              <w:rPr>
                <w:sz w:val="15"/>
                <w:szCs w:val="15"/>
                <w:color w:val="auto"/>
              </w:rPr>
            </w:pPr>
          </w:p>
        </w:tc>
        <w:tc>
          <w:tcPr>
            <w:tcW w:w="8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b w:val="1"/>
                <w:bCs w:val="1"/>
                <w:color w:val="auto"/>
              </w:rPr>
              <w:t>547</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684</w:t>
            </w:r>
          </w:p>
        </w:tc>
        <w:tc>
          <w:tcPr>
            <w:tcW w:w="40" w:type="dxa"/>
            <w:vAlign w:val="bottom"/>
            <w:shd w:val="clear" w:color="auto" w:fill="CFF0FC"/>
          </w:tcPr>
          <w:p>
            <w:pPr>
              <w:spacing w:after="0"/>
              <w:rPr>
                <w:sz w:val="15"/>
                <w:szCs w:val="15"/>
                <w:color w:val="auto"/>
              </w:rPr>
            </w:pPr>
          </w:p>
        </w:tc>
        <w:tc>
          <w:tcPr>
            <w:tcW w:w="1000" w:type="dxa"/>
            <w:vAlign w:val="bottom"/>
            <w:vMerge w:val="continue"/>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c>
          <w:tcPr>
            <w:tcW w:w="20" w:type="dxa"/>
            <w:vAlign w:val="bottom"/>
            <w:shd w:val="clear" w:color="auto" w:fill="CFF0FC"/>
          </w:tcPr>
          <w:p>
            <w:pPr>
              <w:spacing w:after="0"/>
              <w:rPr>
                <w:sz w:val="15"/>
                <w:szCs w:val="15"/>
                <w:color w:val="auto"/>
              </w:rPr>
            </w:pPr>
          </w:p>
        </w:tc>
        <w:tc>
          <w:tcPr>
            <w:tcW w:w="640" w:type="dxa"/>
            <w:vAlign w:val="bottom"/>
            <w:gridSpan w:val="2"/>
            <w:vMerge w:val="continue"/>
            <w:shd w:val="clear" w:color="auto" w:fill="CFF0FC"/>
          </w:tcPr>
          <w:p>
            <w:pPr>
              <w:spacing w:after="0"/>
              <w:rPr>
                <w:sz w:val="15"/>
                <w:szCs w:val="15"/>
                <w:color w:val="auto"/>
              </w:rPr>
            </w:pPr>
          </w:p>
        </w:tc>
        <w:tc>
          <w:tcPr>
            <w:tcW w:w="880" w:type="dxa"/>
            <w:vAlign w:val="bottom"/>
            <w:tcBorders>
              <w:right w:val="single" w:sz="8" w:color="DAEEF3"/>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25" w:lineRule="exact"/>
        <w:rPr>
          <w:rFonts w:ascii="Times New Roman" w:cs="Times New Roman" w:eastAsia="Times New Roman" w:hAnsi="Times New Roman"/>
          <w:sz w:val="18"/>
          <w:szCs w:val="18"/>
          <w:color w:val="auto"/>
        </w:rPr>
      </w:pPr>
    </w:p>
    <w:p>
      <w:pPr>
        <w:ind w:left="760" w:right="40" w:hanging="378"/>
        <w:spacing w:after="0" w:line="256" w:lineRule="auto"/>
        <w:tabs>
          <w:tab w:leader="none" w:pos="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and the information in the notes below are based upon information supplied by the selling stockholders and shares of our common stock outstanding as of March 16, 2026. Equity securities exercisable within 60 days of March 16, 2026 are deemed outstanding for the purposes of listing the number of shares owned by that person and for computing the percentage of shares owned by that person, but are not deemed outstanding for purposes of computing the percentage of shares owned by any other person. This table assumes the sale of all shares of common stock registered pursuant to this prospectus, although the selling stockholder is under no obligation known to us to sell any shares of common stock at this time.</w:t>
      </w:r>
    </w:p>
    <w:p>
      <w:pPr>
        <w:spacing w:after="0" w:line="187" w:lineRule="exact"/>
        <w:rPr>
          <w:rFonts w:ascii="Times New Roman" w:cs="Times New Roman" w:eastAsia="Times New Roman" w:hAnsi="Times New Roman"/>
          <w:sz w:val="18"/>
          <w:szCs w:val="18"/>
          <w:color w:val="auto"/>
        </w:rPr>
      </w:pPr>
    </w:p>
    <w:p>
      <w:pPr>
        <w:ind w:left="760" w:right="480" w:hanging="378"/>
        <w:spacing w:after="0" w:line="282" w:lineRule="auto"/>
        <w:tabs>
          <w:tab w:leader="none" w:pos="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PIPE Warrants held by the selling stockholders are subject to beneficial ownership limitations such that the PIPE Warrants may not be exercised if, immediately prior to or following such exercise, the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ind w:left="380" w:right="20"/>
        <w:spacing w:after="0" w:line="253" w:lineRule="auto"/>
        <w:rPr>
          <w:sz w:val="20"/>
          <w:szCs w:val="20"/>
          <w:color w:val="auto"/>
        </w:rPr>
      </w:pPr>
      <w:r>
        <w:rPr>
          <w:rFonts w:ascii="Times New Roman" w:cs="Times New Roman" w:eastAsia="Times New Roman" w:hAnsi="Times New Roman"/>
          <w:sz w:val="18"/>
          <w:szCs w:val="18"/>
          <w:color w:val="auto"/>
        </w:rPr>
        <w:t>applicable selling stockholder, together with its affiliates and any other persons whose beneficial ownership of shares of our common stock would be aggregated with the selling stockholder for purposes of Section 13(d) of the Exchange Act, would beneficially own more than such selling stockholder’s PIPE Maximum Percentage of the total number of issued and outstanding shares of our common stock following such exercise (the “Beneficial Ownership Limitation”). If, upon exercise of the PIPE Series A Common Warrants or PIPE Series B Common Warrants, a selling stockholder would exceed a selling stockholder’s PIPE Maximum Percentage, then the PIPE Series A Common Warrants and the PIPE Series B Common Warrants may be exercised for pre-funded warrants to purchase shares of our common stock, which pre-funded warrants will have terms substantially the same as the PIPE Pre-Funded Warrants. The PIPE Maximum Percentage in each of the PIPE Warrants held by (i) each of 9vc, the ADAR1 Entities, the Blackstone Entities, Commodore, GEO 18 VGE, Kalehua, Ligand, Nemean, Aggregator and the TCGX Entities (each as defined below) is 4.99% and (ii) the Spruce Street Entities (as defined below) is 9.99% and (iii), the Perceptive Entities is 19.99%. The PIPE Series A Common Warrants and the PIPE Series B Common Warrants are also subject to the PIPE Series A Common Warrant Exercise Limitation and the PIPE Series B Common Warrant Exercise Limitation, respectively, and such warrants are therefore not currently exercisable. As a result, such warrants are not reflected in the “Number of Shares Owned” column of this table for any selling stockholder.</w:t>
      </w:r>
    </w:p>
    <w:p>
      <w:pPr>
        <w:spacing w:after="0" w:line="187" w:lineRule="exact"/>
        <w:rPr>
          <w:sz w:val="20"/>
          <w:szCs w:val="20"/>
          <w:color w:val="auto"/>
        </w:rPr>
      </w:pPr>
    </w:p>
    <w:p>
      <w:pPr>
        <w:ind w:left="380" w:hanging="378"/>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issuable upon the exercise of the PIPE Warrants are not included in this column.</w:t>
      </w:r>
    </w:p>
    <w:p>
      <w:pPr>
        <w:spacing w:after="0" w:line="225" w:lineRule="exact"/>
        <w:rPr>
          <w:rFonts w:ascii="Times New Roman" w:cs="Times New Roman" w:eastAsia="Times New Roman" w:hAnsi="Times New Roman"/>
          <w:sz w:val="18"/>
          <w:szCs w:val="18"/>
          <w:color w:val="auto"/>
        </w:rPr>
      </w:pPr>
    </w:p>
    <w:p>
      <w:pPr>
        <w:ind w:left="380" w:right="40" w:hanging="378"/>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applicable PIPE Maximum Percentage on the number of shares issuable upon exercise of the PIPE Pre-Funded Warrants is not reflected in this column.</w:t>
      </w:r>
    </w:p>
    <w:p>
      <w:pPr>
        <w:spacing w:after="0" w:line="161" w:lineRule="exact"/>
        <w:rPr>
          <w:rFonts w:ascii="Times New Roman" w:cs="Times New Roman" w:eastAsia="Times New Roman" w:hAnsi="Times New Roman"/>
          <w:sz w:val="18"/>
          <w:szCs w:val="18"/>
          <w:color w:val="auto"/>
        </w:rPr>
      </w:pPr>
    </w:p>
    <w:p>
      <w:pPr>
        <w:ind w:left="380" w:right="200" w:hanging="378"/>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applicable PIPE Maximum Percentage and Series A Common Warrant Exercise Limitation on the number of shares issuable upon exercise of the PIPE Series A Common Warrants is not reflected in this column.</w:t>
      </w:r>
    </w:p>
    <w:p>
      <w:pPr>
        <w:spacing w:after="0" w:line="161" w:lineRule="exact"/>
        <w:rPr>
          <w:rFonts w:ascii="Times New Roman" w:cs="Times New Roman" w:eastAsia="Times New Roman" w:hAnsi="Times New Roman"/>
          <w:sz w:val="18"/>
          <w:szCs w:val="18"/>
          <w:color w:val="auto"/>
        </w:rPr>
      </w:pPr>
    </w:p>
    <w:p>
      <w:pPr>
        <w:ind w:left="380" w:right="220" w:hanging="378"/>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applicable PIPE Maximum Percentage and Series B Common Warrant Exercise Limitation on the number of shares issuable upon exercise of the PIPE Series B Common Warrants is not reflected in this column.</w:t>
      </w:r>
    </w:p>
    <w:p>
      <w:pPr>
        <w:spacing w:after="0" w:line="161" w:lineRule="exact"/>
        <w:rPr>
          <w:rFonts w:ascii="Times New Roman" w:cs="Times New Roman" w:eastAsia="Times New Roman" w:hAnsi="Times New Roman"/>
          <w:sz w:val="18"/>
          <w:szCs w:val="18"/>
          <w:color w:val="auto"/>
        </w:rPr>
      </w:pPr>
    </w:p>
    <w:p>
      <w:pPr>
        <w:ind w:left="380" w:right="600" w:hanging="378"/>
        <w:spacing w:after="0" w:line="266"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157,480 shares of common stock held directly by 9vc SPV 1, Limited Partnership (“9vc”). A B Y Finance (eToro) 21 LP, Gershenberg Massa Family Trust, Doron Mahfood, Negad Ltd, 9vc LP Ltd and Chen Barshai are the Limited Partners of 9vc and may be deemed to beneficially own the securities held by 9vc. The address of 9vc is 10 Rosenblum Street, Tel Aviv, Israel 6937957.</w:t>
      </w:r>
    </w:p>
    <w:p>
      <w:pPr>
        <w:spacing w:after="0" w:line="175" w:lineRule="exact"/>
        <w:rPr>
          <w:rFonts w:ascii="Times New Roman" w:cs="Times New Roman" w:eastAsia="Times New Roman" w:hAnsi="Times New Roman"/>
          <w:sz w:val="18"/>
          <w:szCs w:val="18"/>
          <w:color w:val="auto"/>
        </w:rPr>
      </w:pPr>
    </w:p>
    <w:p>
      <w:pPr>
        <w:ind w:left="380" w:right="120" w:hanging="378"/>
        <w:spacing w:after="0" w:line="256"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340,552 shares of common stock held directly by ADAR1 Partners, LP (“ADAR1”) and (ii) 53,149 shares of common stock held directly by Spearhead Insurance Solutions IDF, LLC – Series ADAR1 (“Spearhead” and, together with ADAR1, the “ADAR1 Entities”). ADAR1 Capital Management, LLC (“ADAR1 LLC”), the investment advisor of ADAR1 and the sub-advisor of Spearhead, has voting and investment control of the securities held by ADAR1 and the securities held by Spearhead. ADAR1 Capital Management GP, LLC (“ADAR1 GP”) is the general partner of ADAR1. Daniel Schneeberger is the manager of ADAR1 LLC and ADAR1 GP. The address of ADAR1 is 3503 Wild Cherry Drive, Building 9, Austin, TX 78738. The address of Spearhead is 3828 Kennett Pike, Suite 202, Greenville, DE 19807.</w:t>
      </w:r>
    </w:p>
    <w:p>
      <w:pPr>
        <w:spacing w:after="0" w:line="187" w:lineRule="exact"/>
        <w:rPr>
          <w:rFonts w:ascii="Times New Roman" w:cs="Times New Roman" w:eastAsia="Times New Roman" w:hAnsi="Times New Roman"/>
          <w:sz w:val="18"/>
          <w:szCs w:val="18"/>
          <w:color w:val="auto"/>
        </w:rPr>
      </w:pPr>
    </w:p>
    <w:p>
      <w:pPr>
        <w:ind w:left="380" w:hanging="378"/>
        <w:spacing w:after="0" w:line="254"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429,197 shares of common stock and 12,594 shares of common stock issuable upon the partial exercise of a PIPE Pre-Funded Warrant which is exercisable within 60 days of March 16, 2026 held directly by CDK Associates, LLC (“CDK”) and excludes 258,934 shares issuable upon exercise of such PIPE Pre-Funded Warrant which is not exercisable within 60 days of March 16, 2026 due to the Beneficial Ownership Limitation, based on the number of shares outstanding as of December 31, 2025, and (ii) 26,825 shares of common stock and 788 shares of common stock issuable upon the partial exercise of a PIPE Pre-Funded Warrant which is exercisable within 60 days of March 16, 2026 held directly by Third Street Holdings, LLC (“Third Street” and, together with CDK, the “Blackstone Entities”) and excludes 16,182 shares issuable upon exercise of such PIPE Pre-Funded Warrant which is not exercisable within 60 days of March 16, 2026 due to the Beneficial Ownership Limitation, based on the number of shares outstanding as of March 16, 2026. Bruce Kovner has voting and dispositive power over the holdings of CDK and may be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17" w:right="339" w:bottom="1440" w:gutter="0" w:footer="0" w:header="0"/>
        </w:sectPr>
      </w:pPr>
    </w:p>
    <w:bookmarkStart w:id="18" w:name="page19"/>
    <w:bookmarkEnd w:id="18"/>
    <w:p>
      <w:pPr>
        <w:ind w:left="380" w:right="260"/>
        <w:spacing w:after="0" w:line="266" w:lineRule="auto"/>
        <w:rPr>
          <w:sz w:val="20"/>
          <w:szCs w:val="20"/>
          <w:color w:val="auto"/>
        </w:rPr>
      </w:pPr>
      <w:r>
        <w:rPr>
          <w:rFonts w:ascii="Times New Roman" w:cs="Times New Roman" w:eastAsia="Times New Roman" w:hAnsi="Times New Roman"/>
          <w:sz w:val="18"/>
          <w:szCs w:val="18"/>
          <w:color w:val="auto"/>
        </w:rPr>
        <w:t>deemed to beneficially own the securities held by CDK. Peter P. D’Angelo has voting and dispositive power over the holdings of Third Street and may be deemed to beneficially own the securities held by Third Street. The address of CDK and Third Street is 731 Alexander Road, Building 2, Suite 500, Princeton, NJ 08540.</w:t>
      </w:r>
    </w:p>
    <w:p>
      <w:pPr>
        <w:spacing w:after="0" w:line="176" w:lineRule="exact"/>
        <w:rPr>
          <w:sz w:val="20"/>
          <w:szCs w:val="20"/>
          <w:color w:val="auto"/>
        </w:rPr>
      </w:pPr>
    </w:p>
    <w:p>
      <w:pPr>
        <w:ind w:left="380" w:right="20" w:hanging="378"/>
        <w:spacing w:after="0" w:line="254"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464,398 shares of common stock and 4,566 shares of common stock issuable upon the partial exercise of a PIPE Pre-Funded Warrant which is exercisable within 60 days of March 16, 2026 held directly by Commodore Capital Master LP (“Commodore”) and excludes 2,680,643 shares issuable upon exercise of such PIPE Pre-Funded Warrant which is not exercisable within 60 days of March 16, 2026 due to the Beneficial Ownership Limitation, based on the number of shares outstanding as of March 16, 2026. Commodore Capital LP is the investment manager to Commodore and may be deemed to beneficially own the shares held by Commodore. Michael Kramarz and Robert Egen Atkinson are the managing partners of Commodore Capital LP and exercise investment discretion with respect to these shares. Commodore Capital LP and Commodore have shared voting and dispositive power with respect to these shares. See the section of this prospectus titled “Prospectus Summary—December 2025 Private Placement” for additional information. The address of Commodore Capital LP and Commodore is 444 Madison Avenue, 35th Floor, New York, NY 10022.</w:t>
      </w:r>
    </w:p>
    <w:p>
      <w:pPr>
        <w:spacing w:after="0" w:line="188" w:lineRule="exact"/>
        <w:rPr>
          <w:rFonts w:ascii="Times New Roman" w:cs="Times New Roman" w:eastAsia="Times New Roman" w:hAnsi="Times New Roman"/>
          <w:sz w:val="18"/>
          <w:szCs w:val="18"/>
          <w:color w:val="auto"/>
        </w:rPr>
      </w:pPr>
    </w:p>
    <w:p>
      <w:pPr>
        <w:ind w:left="380" w:hanging="378"/>
        <w:spacing w:after="0" w:line="25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464,398 shares of common stock and 4,566 shares of common stock issuable upon the partial exercise of a PIPE Pre-Funded Warrant which is exercisable within 60 days of March 16, 2026 held directly by Growth Equity Opportunities 18 VGE, LLC (“GEO 18 VGE”) and excludes 1,105,840 shares issuable upon exercise of such PIPE Pre-Funded Warrant which is not exercisable within 60 days of March 16, 2026 due to the Beneficial Ownership Limitation, based on the number of shares outstanding as of March 16, 2026. GEO 18 VGE is wholly owned by NEA 18 Venture Growth Equity, L.P. (“NEA 18 VGE”). The sole general partner of NEA 18 VGE is NEA Partners 18 VGE, L.P. (“NEA Partners 18 VGE”). The sole general partner of NEA Partners 18 VGE is NEA VGE 18 GP, LLC (“NEA VGE 18 LLC”). The managers of NEA VGE 18 LLC are Scott D. Sandell, Anthony A. Florence, Jr., Mohamad Makhzoumi, Ali Behbahani, Carmen Chang, Edward T. Mathers, Paul E. Walker and Rick C. Yang. NEA VGE 18 LLC and its managers may be deemed to beneficially own the securities held by Growth Equity Opportunities 18 VGE, LLC. Each of NEA VGE 18 and its managers disclaims beneficial ownership of any of the shares of our common stock they may be deemed to beneficially own except to the extent of their respective pecuniary interest therein. The address of GEO 18 VGE, NEA 18 VGE, NEA Partners 18 VGE, NEA VGE 18 LLC and Scott Sandell is New Enterprise Associates, 1954 Greenspring Drive, Suite 600, Timonium, MD 21093. The address of Ali Behbahani, Carmen Chang, Mohamad Makhzoumi, Paul Walker and Rick Yang is New Enterprise Associates, 2855 Sand Hill Road, Menlo Park, California 94025. The address of the principal business office of Edward Mathers and Anthony Florence is New Enterprise Associates, 104 5th Avenue, 19th Floor, New York, NY 10001.</w:t>
      </w:r>
    </w:p>
    <w:p>
      <w:pPr>
        <w:spacing w:after="0" w:line="197" w:lineRule="exact"/>
        <w:rPr>
          <w:rFonts w:ascii="Times New Roman" w:cs="Times New Roman" w:eastAsia="Times New Roman" w:hAnsi="Times New Roman"/>
          <w:sz w:val="18"/>
          <w:szCs w:val="18"/>
          <w:color w:val="auto"/>
        </w:rPr>
      </w:pPr>
    </w:p>
    <w:p>
      <w:pPr>
        <w:ind w:left="380" w:right="20" w:hanging="378"/>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393,701 shares of common stock held directly by Kalehua Capital Partners LP (“Kalehua”). Kalehua Capital Management LLC is the general partner of Kalehua. The address of Kalehua is 3819 Maple Avenue, Dallas, TX 75219.</w:t>
      </w:r>
    </w:p>
    <w:p>
      <w:pPr>
        <w:spacing w:after="0" w:line="161" w:lineRule="exact"/>
        <w:rPr>
          <w:rFonts w:ascii="Times New Roman" w:cs="Times New Roman" w:eastAsia="Times New Roman" w:hAnsi="Times New Roman"/>
          <w:sz w:val="18"/>
          <w:szCs w:val="18"/>
          <w:color w:val="auto"/>
        </w:rPr>
      </w:pPr>
    </w:p>
    <w:p>
      <w:pPr>
        <w:ind w:left="380" w:right="320" w:hanging="378"/>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157,480 shares of common stock held directly by Ligand Pharmaceuticals Incorporated (“Ligand”). The address of Ligand is 555 Heritage Drive, Suite 200, Jupiter, FL 33458.</w:t>
      </w:r>
    </w:p>
    <w:p>
      <w:pPr>
        <w:spacing w:after="0" w:line="161" w:lineRule="exact"/>
        <w:rPr>
          <w:rFonts w:ascii="Times New Roman" w:cs="Times New Roman" w:eastAsia="Times New Roman" w:hAnsi="Times New Roman"/>
          <w:sz w:val="18"/>
          <w:szCs w:val="18"/>
          <w:color w:val="auto"/>
        </w:rPr>
      </w:pPr>
    </w:p>
    <w:p>
      <w:pPr>
        <w:ind w:left="380" w:right="160" w:hanging="378"/>
        <w:spacing w:after="0" w:line="266"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365,026 shares of common stock held directly by Nemean Asset Management, LLC (“Nemean”). Steven Oliveira is the manager of Nemean and may be deemed to beneficially own the securities held directly by Nemean. The address of Nemean is 207 Commodore Drive, Jupiter, FL 33477.</w:t>
      </w:r>
    </w:p>
    <w:p>
      <w:pPr>
        <w:spacing w:after="0" w:line="175" w:lineRule="exact"/>
        <w:rPr>
          <w:rFonts w:ascii="Times New Roman" w:cs="Times New Roman" w:eastAsia="Times New Roman" w:hAnsi="Times New Roman"/>
          <w:sz w:val="18"/>
          <w:szCs w:val="18"/>
          <w:color w:val="auto"/>
        </w:rPr>
      </w:pPr>
    </w:p>
    <w:p>
      <w:pPr>
        <w:ind w:left="380" w:right="220" w:hanging="378"/>
        <w:spacing w:after="0" w:line="256"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1,529,566 shares of common stock and 18,960 shares of common stock issuable upon the partial exercise of a PIPE Pre-Funded Warrant which is exercisable within 60 days of March 16, 2026 held directly by Perceptive Life Sciences Master Fund, Ltd. (the “Perceptive Master Fund”) and excludes 1,353,975 shares of common stock issuable upon exercise of such PIPE Pre-Funded Warrant which is not exercisable within 60 days of March 16, 2026 due to the Beneficial Ownership Limitation, based on the number of shares outstanding as of March 16, 2026, and (ii) 329,756 shares of common stock and 4,088 shares of common stock issuable upon the partial exercise of a PIPE Pre-Funded Warrant that is exercisable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17" w:right="339" w:bottom="1440" w:gutter="0" w:footer="0" w:header="0"/>
        </w:sectPr>
      </w:pPr>
    </w:p>
    <w:bookmarkStart w:id="19" w:name="page20"/>
    <w:bookmarkEnd w:id="19"/>
    <w:p>
      <w:pPr>
        <w:ind w:left="380" w:right="60"/>
        <w:spacing w:after="0" w:line="253" w:lineRule="auto"/>
        <w:rPr>
          <w:sz w:val="20"/>
          <w:szCs w:val="20"/>
          <w:color w:val="auto"/>
        </w:rPr>
      </w:pPr>
      <w:r>
        <w:rPr>
          <w:rFonts w:ascii="Times New Roman" w:cs="Times New Roman" w:eastAsia="Times New Roman" w:hAnsi="Times New Roman"/>
          <w:sz w:val="18"/>
          <w:szCs w:val="18"/>
          <w:color w:val="auto"/>
        </w:rPr>
        <w:t>within 60 days of March 16, 2026 held directly by Perceptive Xontogeny Venture Fund II, LP (“PXV II” and, together with the Perceptive Master Fund, the “Perceptive Entities”) and excludes 453,557 shares of common stock issuable upon exercise of such PIPE Pre-Funded Warrant which is not exercisable within 60 days of March 16, 2026 due to the Beneficial Ownership Limitation, based on the number of shares outstanding as of March 16, 2026. Perceptive Advisors LLC (“Perceptive Advisors”) is the investment advisor of the Perceptive Master Fund and may be deemed to have beneficial ownership of the shares beneficially owned thereby. Perceptive Venture Advisors, LP (“Perceptive Venture”), is the investment manager to PXV II, and accordingly, may be deemed to beneficially own the securities directly held by PXV II. Joseph Edelman (a member of our board of directors) is the controlling person of Perceptive Advisors and Perceptive Venture and accordingly, may be deemed to have beneficial ownership of the shares beneficially owned by the Perceptive Master Fund, PXV II, Perceptive Advisors and Perceptive Venture. Perceptive Advisors, Perceptive Venture, the Perceptive Master Fund, PXV II and Mr. Edelman disclaim beneficial ownership of all such securities except to the extent of its or his pecuniary interest therein. The business address for each of Perceptive Advisors, Perceptive Venture, the Perceptive Master Fund, PXV II and Mr. Edelman is 51 Astor Place, 10th Floor, New York, NY 10003.</w:t>
      </w:r>
    </w:p>
    <w:p>
      <w:pPr>
        <w:spacing w:after="0" w:line="192" w:lineRule="exact"/>
        <w:rPr>
          <w:sz w:val="20"/>
          <w:szCs w:val="20"/>
          <w:color w:val="auto"/>
        </w:rPr>
      </w:pPr>
    </w:p>
    <w:p>
      <w:pPr>
        <w:ind w:left="380" w:right="60" w:hanging="378"/>
        <w:spacing w:after="0" w:line="253"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456,022 shares of common stock and 13,382 shares of common stock issuable upon the partial exercise of a PIPE Pre-Funded Warrant which is exercisable within 60 days of March 16, 2026 held directly by Spruce Street Aggregator L.P. (the “Aggregator Fund”) and excludes 203,400 shares issuable upon exercise of such PIPE Pre-Funded Warrant which is not exercisable within 60 days of March 16, 2026 due to the Beneficial Ownership Limitation, based on the number of shares outstanding as of March 16, 2026. Blackstone Alternative Asset Management Associates LLC is the general partner of the Aggregator Fund. Blackstone Holdings II L.P. is the sole member of Blackstone Alternative Asset Management Associates LLC. Blackstone Holdings I/II GP L.L.C. is the general partner of Blackstone Holdings II L.P. Blackstone Inc. is the sole member of Blackstone Holdings I/II GP L.L.C. Blackstone Group Management L.L.C. is the sole holder of the Series II preferred stock of Blackstone Inc. Blackstone Group Management L.L.C. is wholly owned by its senior managing directors and controlled by its founder, Stephen A. Schwarzman. Each of such Blackstone entities and Mr. Schwarzman may be deemed to beneficially own the securities beneficially owned by the Aggregator Fund directly or indirectly controlled by it or him, but each (other than the Aggregator Fund to the extent of its direct holdings) disclaims beneficial ownership of such securities. The address of each of the entities listed is c/o Blackstone Inc., 345 Park Avenue, New York, New York 10154.</w:t>
      </w:r>
    </w:p>
    <w:p>
      <w:pPr>
        <w:spacing w:after="0" w:line="189" w:lineRule="exact"/>
        <w:rPr>
          <w:rFonts w:ascii="Times New Roman" w:cs="Times New Roman" w:eastAsia="Times New Roman" w:hAnsi="Times New Roman"/>
          <w:sz w:val="18"/>
          <w:szCs w:val="18"/>
          <w:color w:val="auto"/>
        </w:rPr>
      </w:pPr>
    </w:p>
    <w:p>
      <w:pPr>
        <w:ind w:left="380" w:right="40" w:hanging="378"/>
        <w:spacing w:after="0" w:line="258"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69,900 shares of common stock held directly by MAP 852 SP, a segregated portfolio of MAP Institutional SPC (“MAP”) and (ii) 323,801 shares of common stock held directly by Spruce Street Capital Master Fund LP (the “Fund” and, together with MAP, the “Spruce Street Entities”). Spruce Street Capital LP (“Spruce Street Advisor”) is the discretionary manager of MAP and of the Fund and may be deemed to beneficially own the securities held by Spruce Street Entities. The address of each of MAP, Spruce Street Advisor and Spruce Street is 777 Third Avenue, Suite 1704, New York, NY 10017.</w:t>
      </w:r>
    </w:p>
    <w:p>
      <w:pPr>
        <w:spacing w:after="0" w:line="183" w:lineRule="exact"/>
        <w:rPr>
          <w:rFonts w:ascii="Times New Roman" w:cs="Times New Roman" w:eastAsia="Times New Roman" w:hAnsi="Times New Roman"/>
          <w:sz w:val="18"/>
          <w:szCs w:val="18"/>
          <w:color w:val="auto"/>
        </w:rPr>
      </w:pPr>
    </w:p>
    <w:p>
      <w:pPr>
        <w:ind w:left="380" w:hanging="378"/>
        <w:spacing w:after="0" w:line="253"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232,199 shares of common stock and 2,283 shares of common stock issuable upon the partial exercise of a PIPE Pre-Funded Warrant which is exercisable within 60 days of March 16, 2026 held directly by TCG Crossover Fund II, L.P. (“TCG Crossover II”) and excludes 1,340,322 shares issuable upon exercise of such PIPE Pre-Funded Warrant which is not exercisable within 60 days of March 16, 2026 due to the Beneficial Ownership Limitation, based on the number of shares outstanding as of March 16, 2026, and (ii) 232,199 shares of common stock and 2,283 shares of common stock issuable upon the partial exercise of a PIPE Pre-Funded Warrant which is exercisable within 60 days of March 16, 2026 held directly by TCG Crossover Fund III, L.P. (“TCG Crossover III” and, together with TCG Crossover II, the “TCGX Entities”) and excludes 1,340,321 shares issuable upon exercise of such PIPE Pre-Funded Warrant that is not exercisable within 60 days of March 16, 2026 due to the Beneficial Ownership Limitation, based on the number of shares outstanding as of March 16, 2026. TCG Crossover GP II, LLC (“TCG Crossover GP II”) is the general partner of TCG Crossover II and may be deemed to have voting, investment and dispositive power with respect to the securities held by TCG Crossover II. TCG Crossover GP III, LLC is the general partner of TCG Crossover III and may be deemed to have voting, investment and dispositive power with respect to the securities held by TCG Crossover III. Chen Yu is the sole managing member of each of TCG Crossover GP II and TCG Crossover III and may be deemed to have voting, investment and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17" w:right="339" w:bottom="1440" w:gutter="0" w:footer="0" w:header="0"/>
        </w:sectPr>
      </w:pPr>
    </w:p>
    <w:bookmarkStart w:id="20" w:name="page21"/>
    <w:bookmarkEnd w:id="20"/>
    <w:p>
      <w:pPr>
        <w:spacing w:after="0" w:line="266" w:lineRule="auto"/>
        <w:rPr>
          <w:sz w:val="20"/>
          <w:szCs w:val="20"/>
          <w:color w:val="auto"/>
        </w:rPr>
      </w:pPr>
      <w:r>
        <w:rPr>
          <w:rFonts w:ascii="Times New Roman" w:cs="Times New Roman" w:eastAsia="Times New Roman" w:hAnsi="Times New Roman"/>
          <w:sz w:val="18"/>
          <w:szCs w:val="18"/>
          <w:color w:val="auto"/>
        </w:rPr>
        <w:t>dispositive power with respect to the securities held by each of TCG Crossover II and TCG Crossover III. See the section of this prospectus titled “Prospectus Summary—December 2025 Private Placement” for additional information. The address of the TCGX Entities, TCG Crossover GP II, TCG Crossover GP III and Chen Yu is 245 Lytton Avenue, Suite 350, Palo Alto, CA 94301.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417" w:right="3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31"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0"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These sales may be effected in transactions, which may involve crosses or block transactions. The selling stockholders may use any one or more of the following methods when disposing of shares or interests therein:</w:t>
      </w:r>
    </w:p>
    <w:p>
      <w:pPr>
        <w:spacing w:after="0" w:line="162"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members, partners, stockholders or other equityholders of the selling stockholders;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9" w:lineRule="exact"/>
        <w:rPr>
          <w:rFonts w:ascii="Times New Roman" w:cs="Times New Roman" w:eastAsia="Times New Roman" w:hAnsi="Times New Roman"/>
          <w:sz w:val="18"/>
          <w:szCs w:val="18"/>
          <w:color w:val="auto"/>
        </w:rPr>
      </w:pPr>
    </w:p>
    <w:p>
      <w:pPr>
        <w:ind w:left="760" w:right="180" w:hanging="378"/>
        <w:spacing w:after="0" w:line="250"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and settlement of short sales entered into after the effective date of the registration statement of which this prospectus is a part;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such options are listed on an options exchange or otherwise;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7" w:lineRule="exact"/>
        <w:rPr>
          <w:sz w:val="20"/>
          <w:szCs w:val="20"/>
          <w:color w:val="auto"/>
        </w:rPr>
      </w:pPr>
    </w:p>
    <w:p>
      <w:pPr>
        <w:jc w:val="both"/>
        <w:ind w:right="120" w:firstLine="374"/>
        <w:spacing w:after="0" w:line="270" w:lineRule="auto"/>
        <w:rPr>
          <w:sz w:val="20"/>
          <w:szCs w:val="20"/>
          <w:color w:val="auto"/>
        </w:rPr>
      </w:pPr>
      <w:r>
        <w:rPr>
          <w:rFonts w:ascii="Times New Roman" w:cs="Times New Roman" w:eastAsia="Times New Roman" w:hAnsi="Times New Roman"/>
          <w:sz w:val="17"/>
          <w:szCs w:val="17"/>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if necessary, the list of selling stockholders to include the pledgee, transferee or other successors in interest as selling stockholders under this prospectus.</w:t>
      </w:r>
    </w:p>
    <w:p>
      <w:pPr>
        <w:spacing w:after="0" w:line="3"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The selling stockholders also may transfer or donate the shares of common stock in other circumstances, in which case the transferees, pledgees or other successors in interest will be the selling stockholders for purposes of this prospectus.</w:t>
      </w:r>
    </w:p>
    <w:p>
      <w:pPr>
        <w:spacing w:after="0" w:line="181"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 w:name="page23"/>
    <w:bookmarkEnd w:id="22"/>
    <w:p>
      <w:pPr>
        <w:ind w:right="180"/>
        <w:spacing w:after="0" w:line="282" w:lineRule="auto"/>
        <w:rPr>
          <w:sz w:val="20"/>
          <w:szCs w:val="20"/>
          <w:color w:val="auto"/>
        </w:rPr>
      </w:pPr>
      <w:r>
        <w:rPr>
          <w:rFonts w:ascii="Times New Roman" w:cs="Times New Roman" w:eastAsia="Times New Roman" w:hAnsi="Times New Roman"/>
          <w:sz w:val="18"/>
          <w:szCs w:val="18"/>
          <w:color w:val="auto"/>
        </w:rPr>
        <w:t>from this offering. Upon any exercise of the pre-funded warrants or common warrants by payment of cash, however, we will receive the exercise price of the pre-funded warrants or common warrants.</w:t>
      </w:r>
    </w:p>
    <w:p>
      <w:pPr>
        <w:spacing w:after="0" w:line="162" w:lineRule="exact"/>
        <w:rPr>
          <w:sz w:val="20"/>
          <w:szCs w:val="20"/>
          <w:color w:val="auto"/>
        </w:rPr>
      </w:pPr>
    </w:p>
    <w:p>
      <w:pPr>
        <w:ind w:right="20" w:firstLine="374"/>
        <w:spacing w:after="0" w:line="272" w:lineRule="auto"/>
        <w:rPr>
          <w:sz w:val="20"/>
          <w:szCs w:val="20"/>
          <w:color w:val="auto"/>
        </w:rPr>
      </w:pPr>
      <w:r>
        <w:rPr>
          <w:rFonts w:ascii="Times New Roman" w:cs="Times New Roman" w:eastAsia="Times New Roman" w:hAnsi="Times New Roman"/>
          <w:sz w:val="17"/>
          <w:szCs w:val="17"/>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Broker-dealers engaged by the selling stockholders may arrange for other broker-dealers to participate in sales.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2440; and in the case of a principal transaction a markup or markdown in compliance with FINRA IM-2440.</w:t>
      </w:r>
    </w:p>
    <w:p>
      <w:pPr>
        <w:spacing w:after="0" w:line="172" w:lineRule="exact"/>
        <w:rPr>
          <w:sz w:val="20"/>
          <w:szCs w:val="20"/>
          <w:color w:val="auto"/>
        </w:rPr>
      </w:pPr>
    </w:p>
    <w:p>
      <w:pPr>
        <w:ind w:right="300" w:firstLine="374"/>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83"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Each selling stockholder has informed the Company that it is not a registered broker-dealer and does not have any written or oral agreement or understanding, directly or indirectly, with any person to distribute the common stock.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(1) the name of each such selling stockholder and of the participating broker-dealer(s), (2) the number of shares involved, (3) the price at which such the shares of common stock were sold, (4) the commissions paid or discounts or concessions allowed to such broker-dealer(s), where applicable, (5) that such broker-dealer(s) did not conduct any investigation to verify the information set out or incorporated by reference in this prospectus, and (6) other facts material to the transaction. In no event shall any broker-dealer receive fees, commissions and markups, which, in the aggregate, would exceed 8.0%. 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92"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There can be no assurance that any selling stockholder will sell any or all of the shares of common stock registered pursuant to the registration statement, of which this prospectus forms a part.</w:t>
      </w:r>
    </w:p>
    <w:p>
      <w:pPr>
        <w:spacing w:after="0" w:line="187"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 w:name="page24"/>
    <w:bookmarkEnd w:id="23"/>
    <w:p>
      <w:pPr>
        <w:ind w:firstLine="374"/>
        <w:spacing w:after="0" w:line="255" w:lineRule="auto"/>
        <w:rPr>
          <w:sz w:val="20"/>
          <w:szCs w:val="20"/>
          <w:color w:val="auto"/>
        </w:rPr>
      </w:pPr>
      <w:r>
        <w:rPr>
          <w:rFonts w:ascii="Times New Roman" w:cs="Times New Roman" w:eastAsia="Times New Roman" w:hAnsi="Times New Roman"/>
          <w:sz w:val="18"/>
          <w:szCs w:val="18"/>
          <w:color w:val="auto"/>
        </w:rPr>
        <w:t>We have agreed with the selling stockholders to use commercially reasonable efforts to cause the registration statement of which this prospectus constitutes a part to become effective and to remain continuously effective until the earlier of: (1) the date on which the selling stockholders shall have resold or otherwise disposed of all the shares covered by this prospectus pursuant to any applicable securities exemption where the recipient thereof receives unrestricted securities including Rule 144 (or any successor provision) or pursuant to this prospectus, and (2)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w:t>
      </w:r>
    </w:p>
    <w:p>
      <w:pPr>
        <w:spacing w:after="0" w:line="189"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pursuant to the registration rights agreement,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stockholders specifically for use in this prospectus, in accordance with the related registration rights agreements, or we may be entitled to 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24" w:name="page25"/>
    <w:bookmarkEnd w:id="2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31"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Wilson Sonsini Goodrich &amp; Rosati, Professional Corporation, Seattle, Washington. Certain members of, and investment partnerships comprised of members of, and persons associated with, Wilson Sonsini Goodrich &amp; Rosati, P.C. own less than 1% of our common stock.</w:t>
      </w:r>
    </w:p>
    <w:p>
      <w:pPr>
        <w:spacing w:after="0" w:line="200" w:lineRule="exact"/>
        <w:rPr>
          <w:sz w:val="20"/>
          <w:szCs w:val="20"/>
          <w:color w:val="auto"/>
        </w:rPr>
      </w:pPr>
    </w:p>
    <w:p>
      <w:pPr>
        <w:spacing w:after="0" w:line="4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25" w:name="page26"/>
    <w:bookmarkEnd w:id="2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31" w:lineRule="exact"/>
        <w:rPr>
          <w:sz w:val="20"/>
          <w:szCs w:val="20"/>
          <w:color w:val="auto"/>
        </w:rPr>
      </w:pPr>
    </w:p>
    <w:p>
      <w:pPr>
        <w:ind w:firstLine="374"/>
        <w:spacing w:after="0" w:line="253" w:lineRule="auto"/>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auto"/>
          </w:rPr>
          <w:t xml:space="preserve">Ernst &amp; Young LLP, independent registered public accounting firm, has audited our consolidated financial statements included in our </w:t>
        </w:r>
        <w:r>
          <w:rPr>
            <w:rFonts w:ascii="Times New Roman" w:cs="Times New Roman" w:eastAsia="Times New Roman" w:hAnsi="Times New Roman"/>
            <w:sz w:val="18"/>
            <w:szCs w:val="18"/>
            <w:u w:val="single" w:color="auto"/>
            <w:color w:val="0000FF"/>
          </w:rPr>
          <w:t>Annual Report</w:t>
        </w:r>
      </w:hyperlink>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FF"/>
          </w:rPr>
          <w:t>on Form 10-K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the year ended December 31, 2025, as set forth in their report, which is incorporated by reference in this prospectus and elsewhere in the</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registration statement. Our financial statements are incorporated by reference in reliance on Ernst &amp; Young LLP’s report, given on their authority as experts in accounting and auditing.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-441960</wp:posOffset>
            </wp:positionV>
            <wp:extent cx="7042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6540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5405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26" w:name="page27"/>
    <w:bookmarkEnd w:id="2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https://www.leonabio.com/</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6"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and does not contain all of the information in the registration statement. You should review the information and exhibits in the registration statement for further information on us and our consolidated subsidiaries and the securities that we are offering. Forms of any documents establishing the terms of the offered securities are filed as exhibits to the registration statement of which this prospectus forms a part or under cover of a Current Report on Form 8-K and incorporated in this prospectus by reference. Statements in this prospectus about these documents are summaries and each statement is qualified in all respects by reference to the document to which it refers. You should read the actual documents for a more complete description of the relevant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31" w:lineRule="exact"/>
        <w:rPr>
          <w:sz w:val="20"/>
          <w:szCs w:val="20"/>
          <w:color w:val="auto"/>
        </w:rPr>
      </w:pPr>
    </w:p>
    <w:p>
      <w:pPr>
        <w:ind w:right="120" w:firstLine="374"/>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after the date of the initial registration statement of which this prospectus forms a part and prior to the effectiveness of the registration statement, as well as subsequent to the effectiveness of the registration statement, until the offering of the securities under the registration statement of which this prospectus forms a part is terminated or completed:</w:t>
      </w:r>
    </w:p>
    <w:p>
      <w:pPr>
        <w:spacing w:after="0" w:line="106"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2025, filed with the SEC on </w:t>
      </w:r>
      <w:hyperlink r:id="rId29">
        <w:r>
          <w:rPr>
            <w:rFonts w:ascii="Times New Roman" w:cs="Times New Roman" w:eastAsia="Times New Roman" w:hAnsi="Times New Roman"/>
            <w:sz w:val="18"/>
            <w:szCs w:val="18"/>
            <w:u w:val="single" w:color="auto"/>
            <w:color w:val="0000FF"/>
          </w:rPr>
          <w:t>March 31, 2026</w:t>
        </w:r>
      </w:hyperlink>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760" w:hanging="378"/>
        <w:spacing w:after="0" w:line="245"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56">
        <w:r>
          <w:rPr>
            <w:rFonts w:ascii="Times New Roman" w:cs="Times New Roman" w:eastAsia="Times New Roman" w:hAnsi="Times New Roman"/>
            <w:sz w:val="18"/>
            <w:szCs w:val="18"/>
            <w:u w:val="single" w:color="auto"/>
            <w:color w:val="0000FF"/>
          </w:rPr>
          <w:t>January 9, 2026</w:t>
        </w:r>
      </w:hyperlink>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FF"/>
          </w:rPr>
          <w:t>March 19, 2026</w:t>
        </w:r>
      </w:hyperlink>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and </w:t>
      </w:r>
      <w:hyperlink r:id="rId58">
        <w:r>
          <w:rPr>
            <w:rFonts w:ascii="Times New Roman" w:cs="Times New Roman" w:eastAsia="Times New Roman" w:hAnsi="Times New Roman"/>
            <w:sz w:val="18"/>
            <w:szCs w:val="18"/>
            <w:u w:val="single" w:color="auto"/>
            <w:color w:val="0000FF"/>
          </w:rPr>
          <w:t>March 31,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and not filed under such Current Reports on Form 8-K); and</w:t>
      </w:r>
    </w:p>
    <w:p>
      <w:pPr>
        <w:spacing w:after="0" w:line="1" w:lineRule="exact"/>
        <w:rPr>
          <w:rFonts w:ascii="Times New Roman" w:cs="Times New Roman" w:eastAsia="Times New Roman" w:hAnsi="Times New Roman"/>
          <w:sz w:val="18"/>
          <w:szCs w:val="18"/>
          <w:color w:val="auto"/>
        </w:rPr>
      </w:pPr>
    </w:p>
    <w:p>
      <w:pPr>
        <w:ind w:left="760" w:right="180" w:hanging="378"/>
        <w:spacing w:after="0" w:line="260" w:lineRule="auto"/>
        <w:tabs>
          <w:tab w:leader="none" w:pos="760" w:val="left"/>
        </w:tabs>
        <w:numPr>
          <w:ilvl w:val="0"/>
          <w:numId w:val="12"/>
        </w:numPr>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auto"/>
          </w:rPr>
          <w:t xml:space="preserve">the description of our common stock contained in the Registration Statement on Form 8-A relating thereto, filed with the SEC on </w:t>
        </w:r>
        <w:r>
          <w:rPr>
            <w:rFonts w:ascii="Times New Roman" w:cs="Times New Roman" w:eastAsia="Times New Roman" w:hAnsi="Times New Roman"/>
            <w:sz w:val="18"/>
            <w:szCs w:val="18"/>
            <w:u w:val="single" w:color="auto"/>
            <w:color w:val="0000FF"/>
          </w:rPr>
          <w:t>September 9,</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FF"/>
          </w:rPr>
          <w:t>2020</w:t>
        </w:r>
        <w:r>
          <w:rPr>
            <w:rFonts w:ascii="Times New Roman" w:cs="Times New Roman" w:eastAsia="Times New Roman" w:hAnsi="Times New Roman"/>
            <w:sz w:val="18"/>
            <w:szCs w:val="18"/>
            <w:color w:val="000000"/>
          </w:rPr>
          <w:t>, including any amendment or report filed for the purpose of updating such description.</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4878070</wp:posOffset>
            </wp:positionH>
            <wp:positionV relativeFrom="paragraph">
              <wp:posOffset>-601345</wp:posOffset>
            </wp:positionV>
            <wp:extent cx="7264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26440" cy="8255"/>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-447040</wp:posOffset>
            </wp:positionV>
            <wp:extent cx="25044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504440" cy="8255"/>
                    </a:xfrm>
                    <a:prstGeom prst="rect">
                      <a:avLst/>
                    </a:prstGeom>
                    <a:noFill/>
                  </pic:spPr>
                </pic:pic>
              </a:graphicData>
            </a:graphic>
          </wp:anchor>
        </w:drawing>
        <w:drawing>
          <wp:anchor simplePos="0" relativeHeight="251657728" behindDoc="1" locked="0" layoutInCell="0" allowOverlap="1">
            <wp:simplePos x="0" y="0"/>
            <wp:positionH relativeFrom="column">
              <wp:posOffset>6414135</wp:posOffset>
            </wp:positionH>
            <wp:positionV relativeFrom="paragraph">
              <wp:posOffset>-172720</wp:posOffset>
            </wp:positionV>
            <wp:extent cx="6311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3119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-35560</wp:posOffset>
            </wp:positionV>
            <wp:extent cx="2286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61" w:lineRule="exact"/>
        <w:rPr>
          <w:rFonts w:ascii="Times New Roman" w:cs="Times New Roman" w:eastAsia="Times New Roman" w:hAnsi="Times New Roman"/>
          <w:sz w:val="18"/>
          <w:szCs w:val="18"/>
          <w:color w:val="auto"/>
        </w:rPr>
      </w:pPr>
    </w:p>
    <w:p>
      <w:pPr>
        <w:ind w:left="38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and telephone number:</w:t>
      </w:r>
    </w:p>
    <w:p>
      <w:pPr>
        <w:spacing w:after="0" w:line="225"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LeonaBio, Inc.</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18706 North Creek Parkway, Suite 104</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Bothell, Washington 98011</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(425) 620-8501</w:t>
      </w:r>
    </w:p>
    <w:p>
      <w:pPr>
        <w:spacing w:after="0" w:line="9" w:lineRule="exact"/>
        <w:rPr>
          <w:rFonts w:ascii="Times New Roman" w:cs="Times New Roman" w:eastAsia="Times New Roman" w:hAnsi="Times New Roman"/>
          <w:sz w:val="18"/>
          <w:szCs w:val="18"/>
          <w:color w:val="auto"/>
        </w:rPr>
      </w:pPr>
    </w:p>
    <w:p>
      <w:pPr>
        <w:ind w:right="240" w:firstLine="374"/>
        <w:spacing w:after="0" w:line="255" w:lineRule="auto"/>
        <w:rPr>
          <w:sz w:val="20"/>
          <w:szCs w:val="20"/>
          <w:color w:val="auto"/>
        </w:rPr>
      </w:pPr>
      <w:r>
        <w:rPr>
          <w:rFonts w:ascii="Times New Roman" w:cs="Times New Roman" w:eastAsia="Times New Roman" w:hAnsi="Times New Roman"/>
          <w:sz w:val="18"/>
          <w:szCs w:val="18"/>
          <w:color w:val="auto"/>
        </w:rPr>
        <w:t>You may also access the documents incorporated by reference in this prospectus through our website at www.leonabio.com. Except for the specific incorporated documents listed above, no information available on or through our website shall be deemed to be incorporated in this prospectus or the registration statement of which it forms a part. Information contained on our website is not part of this prospectus.</w:t>
      </w:r>
    </w:p>
    <w:p>
      <w:pPr>
        <w:spacing w:after="0" w:line="38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3114040</wp:posOffset>
            </wp:positionH>
            <wp:positionV relativeFrom="page">
              <wp:posOffset>1049020</wp:posOffset>
            </wp:positionV>
            <wp:extent cx="1328420" cy="1405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32842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LeonaBio, Inc.</w:t>
      </w:r>
    </w:p>
    <w:p>
      <w:pPr>
        <w:spacing w:after="0" w:line="200" w:lineRule="exact"/>
        <w:rPr>
          <w:sz w:val="20"/>
          <w:szCs w:val="20"/>
          <w:color w:val="auto"/>
        </w:rPr>
      </w:pPr>
    </w:p>
    <w:p>
      <w:pPr>
        <w:spacing w:after="0" w:line="24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b w:val="1"/>
          <w:bCs w:val="1"/>
          <w:color w:val="auto"/>
        </w:rPr>
        <w:t>58,464,567 Shares of Common Stock</w:t>
      </w:r>
    </w:p>
    <w:p>
      <w:pPr>
        <w:spacing w:after="0" w:line="4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173990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ind w:right="300" w:firstLine="374"/>
        <w:spacing w:after="0" w:line="257" w:lineRule="auto"/>
        <w:rPr>
          <w:sz w:val="20"/>
          <w:szCs w:val="20"/>
          <w:color w:val="auto"/>
        </w:rPr>
      </w:pPr>
      <w:r>
        <w:rPr>
          <w:rFonts w:ascii="Times New Roman" w:cs="Times New Roman" w:eastAsia="Times New Roman" w:hAnsi="Times New Roman"/>
          <w:sz w:val="18"/>
          <w:szCs w:val="18"/>
          <w:color w:val="auto"/>
        </w:rPr>
        <w:t>The following table sets forth fees and expenses to be paid by us in connection with the issuance and distribution of the securities being registered, other than discounts and commissions to be paid to agents or underwriters. All amounts shown are estimates except for the registration fee.</w:t>
      </w:r>
    </w:p>
    <w:p>
      <w:pPr>
        <w:sectPr>
          <w:pgSz w:w="11900" w:h="16838" w:orient="portrait"/>
          <w:cols w:equalWidth="0" w:num="1">
            <w:col w:w="11240"/>
          </w:cols>
          <w:pgMar w:left="320" w:top="1413" w:right="339" w:bottom="1440" w:gutter="0" w:footer="0" w:header="0"/>
        </w:sectPr>
      </w:pPr>
    </w:p>
    <w:p>
      <w:pPr>
        <w:spacing w:after="0" w:line="299" w:lineRule="exact"/>
        <w:rPr>
          <w:sz w:val="20"/>
          <w:szCs w:val="20"/>
          <w:color w:val="auto"/>
        </w:rPr>
      </w:pPr>
    </w:p>
    <w:p>
      <w:pPr>
        <w:ind w:left="140" w:right="2551" w:hanging="134"/>
        <w:spacing w:after="0" w:line="261" w:lineRule="auto"/>
        <w:rPr>
          <w:sz w:val="20"/>
          <w:szCs w:val="20"/>
          <w:color w:val="auto"/>
        </w:rPr>
      </w:pPr>
      <w:r>
        <w:rPr>
          <w:rFonts w:ascii="Times New Roman" w:cs="Times New Roman" w:eastAsia="Times New Roman" w:hAnsi="Times New Roman"/>
          <w:sz w:val="18"/>
          <w:szCs w:val="18"/>
          <w:color w:val="auto"/>
        </w:rPr>
        <w:t>SEC registration fee for securities offered by the selling stockholders identified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completed by amendment.</w:t>
      </w:r>
    </w:p>
    <w:p>
      <w:pPr>
        <w:spacing w:after="0" w:line="20" w:lineRule="exact"/>
        <w:rPr>
          <w:sz w:val="20"/>
          <w:szCs w:val="20"/>
          <w:color w:val="auto"/>
        </w:rPr>
      </w:pPr>
      <w:r>
        <w:rPr>
          <w:sz w:val="20"/>
          <w:szCs w:val="20"/>
          <w:color w:val="auto"/>
        </w:rPr>
        <w:br w:type="column"/>
      </w:r>
    </w:p>
    <w:p>
      <w:pPr>
        <w:jc w:val="center"/>
        <w:ind w:right="-8"/>
        <w:spacing w:after="0" w:line="221" w:lineRule="auto"/>
        <w:rPr>
          <w:sz w:val="20"/>
          <w:szCs w:val="20"/>
          <w:color w:val="auto"/>
        </w:rPr>
      </w:pPr>
      <w:r>
        <w:rPr>
          <w:rFonts w:ascii="Times New Roman" w:cs="Times New Roman" w:eastAsia="Times New Roman" w:hAnsi="Times New Roman"/>
          <w:sz w:val="14"/>
          <w:szCs w:val="14"/>
          <w:b w:val="1"/>
          <w:bCs w:val="1"/>
          <w:color w:val="auto"/>
        </w:rPr>
        <w:t>Amount</w:t>
      </w:r>
    </w:p>
    <w:p>
      <w:pPr>
        <w:spacing w:after="0" w:line="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11487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85" w:lineRule="exact"/>
        <w:rPr>
          <w:sz w:val="20"/>
          <w:szCs w:val="20"/>
          <w:color w:val="auto"/>
        </w:rPr>
      </w:pPr>
    </w:p>
    <w:p>
      <w:pPr>
        <w:ind w:left="1309" w:hanging="1309"/>
        <w:spacing w:after="0"/>
        <w:tabs>
          <w:tab w:leader="none" w:pos="13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50,140</w:t>
      </w:r>
    </w:p>
    <w:p>
      <w:pPr>
        <w:spacing w:after="0" w:line="27" w:lineRule="exact"/>
        <w:rPr>
          <w:rFonts w:ascii="Times New Roman" w:cs="Times New Roman" w:eastAsia="Times New Roman" w:hAnsi="Times New Roman"/>
          <w:sz w:val="18"/>
          <w:szCs w:val="18"/>
          <w:color w:val="auto"/>
        </w:rPr>
      </w:pPr>
    </w:p>
    <w:p>
      <w:pPr>
        <w:ind w:left="172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t>
      </w:r>
    </w:p>
    <w:p>
      <w:pPr>
        <w:spacing w:after="0" w:line="32" w:lineRule="exact"/>
        <w:rPr>
          <w:rFonts w:ascii="Times New Roman" w:cs="Times New Roman" w:eastAsia="Times New Roman" w:hAnsi="Times New Roman"/>
          <w:sz w:val="18"/>
          <w:szCs w:val="18"/>
          <w:color w:val="auto"/>
        </w:rPr>
      </w:pPr>
    </w:p>
    <w:p>
      <w:pPr>
        <w:ind w:left="172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t>
      </w:r>
    </w:p>
    <w:p>
      <w:pPr>
        <w:spacing w:after="0" w:line="32" w:lineRule="exact"/>
        <w:rPr>
          <w:rFonts w:ascii="Times New Roman" w:cs="Times New Roman" w:eastAsia="Times New Roman" w:hAnsi="Times New Roman"/>
          <w:sz w:val="18"/>
          <w:szCs w:val="18"/>
          <w:color w:val="auto"/>
        </w:rPr>
      </w:pPr>
    </w:p>
    <w:p>
      <w:pPr>
        <w:ind w:left="172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1487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2" w:lineRule="exact"/>
        <w:rPr>
          <w:sz w:val="20"/>
          <w:szCs w:val="20"/>
          <w:color w:val="auto"/>
        </w:rPr>
      </w:pPr>
    </w:p>
    <w:p>
      <w:pPr>
        <w:ind w:left="9"/>
        <w:spacing w:after="0"/>
        <w:tabs>
          <w:tab w:leader="none" w:pos="1709"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690" w:lineRule="exact"/>
        <w:rPr>
          <w:sz w:val="20"/>
          <w:szCs w:val="20"/>
          <w:color w:val="auto"/>
        </w:rPr>
      </w:pPr>
    </w:p>
    <w:p>
      <w:pPr>
        <w:sectPr>
          <w:pgSz w:w="11900" w:h="16838" w:orient="portrait"/>
          <w:cols w:equalWidth="0" w:num="2">
            <w:col w:w="8711" w:space="720"/>
            <w:col w:w="1809"/>
          </w:cols>
          <w:pgMar w:left="32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14. Indemnification of Officers and Directors</w:t>
      </w:r>
    </w:p>
    <w:p>
      <w:pPr>
        <w:spacing w:after="0" w:line="229" w:lineRule="exact"/>
        <w:rPr>
          <w:sz w:val="20"/>
          <w:szCs w:val="20"/>
          <w:color w:val="auto"/>
        </w:rPr>
      </w:pPr>
    </w:p>
    <w:p>
      <w:pPr>
        <w:ind w:right="700" w:firstLine="374"/>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62" w:lineRule="exact"/>
        <w:rPr>
          <w:sz w:val="20"/>
          <w:szCs w:val="20"/>
          <w:color w:val="auto"/>
        </w:rPr>
      </w:pPr>
    </w:p>
    <w:p>
      <w:pPr>
        <w:ind w:right="320" w:firstLine="374"/>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as amended, contains provisions that limit the liability of our directors and certain of our officers for monetary damages to the fullest extent permitted by the Delaware General Corporation Law. Consequently, our directors will not be personally liable to us or our stockholders for monetary damages for any breach of fiduciary duties as directors, except liability for the following:</w:t>
      </w:r>
    </w:p>
    <w:p>
      <w:pPr>
        <w:spacing w:after="0" w:line="176" w:lineRule="exact"/>
        <w:rPr>
          <w:sz w:val="20"/>
          <w:szCs w:val="20"/>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us or our stockholders;</w:t>
      </w:r>
    </w:p>
    <w:p>
      <w:pPr>
        <w:spacing w:after="0" w:line="2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9" w:lineRule="exact"/>
        <w:rPr>
          <w:rFonts w:ascii="Times New Roman" w:cs="Times New Roman" w:eastAsia="Times New Roman" w:hAnsi="Times New Roman"/>
          <w:sz w:val="18"/>
          <w:szCs w:val="18"/>
          <w:color w:val="auto"/>
        </w:rPr>
      </w:pPr>
    </w:p>
    <w:p>
      <w:pPr>
        <w:ind w:left="1140" w:right="700" w:hanging="383"/>
        <w:spacing w:after="0" w:line="250"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or</w:t>
      </w: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07"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Similarly, our officers who at the time of an act or omission as to which liability is asserted consented to or are deemed to have consented to certain service of process rules under Delaware law will not be personally liable to us or our stockholders for monetary damages for any breach of fiduciary duties as officers, except for liability in connection with:</w:t>
      </w:r>
    </w:p>
    <w:p>
      <w:pPr>
        <w:spacing w:after="0" w:line="176" w:lineRule="exact"/>
        <w:rPr>
          <w:sz w:val="20"/>
          <w:szCs w:val="20"/>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us or our stockholders;</w:t>
      </w:r>
    </w:p>
    <w:p>
      <w:pPr>
        <w:spacing w:after="0" w:line="2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 or</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by or in the right of the corporation.</w:t>
      </w:r>
    </w:p>
    <w:p>
      <w:pPr>
        <w:spacing w:after="0" w:line="207"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Any amendment, repeal or elimination of these provisions will not eliminate or reduce the effect of these provisions in respect of any act, omission or claim that occurred or arose prior to that amendment, repeal or elimination. If the Delaware General Corporation Law is amended to provide for further limitations on the personal liability of directors or officers of corporations, then the personal liability of our directors and officers will be further limited to the greatest extent permitted by the Delaware General Corporation Law.</w:t>
      </w:r>
    </w:p>
    <w:p>
      <w:pPr>
        <w:spacing w:after="0" w:line="180"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In addition, our certificate of incorporation provides that we will indemnify our directors, and our bylaws provide that we will indemnify our directors and officers, and may indemnify our employees, agents and any other persons, to the fullest extent permitted by the Delaware General Corporation Law. Our bylaws also provide that we must advance expenses incurred by or on behalf of a director or officer in advance of the final disposition of any action or proceeding, subject to limited exceptions.</w:t>
      </w:r>
    </w:p>
    <w:p>
      <w:pPr>
        <w:spacing w:after="0" w:line="180"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Further, we have entered into indemnification agreements with each of our directors and executive officers that may be broader than the specific indemnification provisions contained in the Delaware General Corporation Law. These indemnification agreements require us to, among other things, indemnify our directors and executive officers against liabilities that may arise by reason of their status or service. These indemnification agreements also generally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spacing w:after="0" w:line="187"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certificate of incorporation, bylaws and indemnification agreements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our directors and officers as required by these indemnification provisions.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spacing w:after="0" w:line="194"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officers against loss arising from claims made by reason of breach of fiduciary duty or other wrongful acts as a director or officer, including claims relating to public securities matters, and to us with respect to payments that may be made by us to our directors and officers pursuant to our indemnification obligations or otherwise as a matter of law.</w:t>
      </w:r>
    </w:p>
    <w:p>
      <w:pPr>
        <w:spacing w:after="0" w:line="180" w:lineRule="exact"/>
        <w:rPr>
          <w:sz w:val="20"/>
          <w:szCs w:val="20"/>
          <w:color w:val="auto"/>
        </w:rPr>
      </w:pPr>
    </w:p>
    <w:p>
      <w:pPr>
        <w:ind w:right="480" w:firstLine="374"/>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or indemnified against certain liabilities incurred in their capacity as members of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31" w:lineRule="exact"/>
        <w:rPr>
          <w:sz w:val="20"/>
          <w:szCs w:val="20"/>
          <w:color w:val="auto"/>
        </w:rPr>
      </w:pPr>
    </w:p>
    <w:p>
      <w:pPr>
        <w:ind w:right="140" w:firstLine="374"/>
        <w:spacing w:after="0" w:line="253" w:lineRule="auto"/>
        <w:rPr>
          <w:sz w:val="20"/>
          <w:szCs w:val="20"/>
          <w:color w:val="auto"/>
        </w:rPr>
      </w:pPr>
      <w:r>
        <w:rPr>
          <w:rFonts w:ascii="Times New Roman" w:cs="Times New Roman" w:eastAsia="Times New Roman" w:hAnsi="Times New Roman"/>
          <w:sz w:val="18"/>
          <w:szCs w:val="18"/>
          <w:color w:val="auto"/>
        </w:rPr>
        <w:t>On December 18, 2025, we entered into the PIPE SPA for a private placement with the PIPE Purchasers, one of which is affiliated with a member of our board of directors. Pursuant to such agreement, the PIPE Purchasers received the PIPE Initial Shares and the PIPE Warrants. The purchase price for each PIPE Initial Share was $6.350 and the purchase price for each PIPE Pre-Funded Warrant was $6.349, for an aggregate purchase price of approximately $90 million. The closing of the purchase and sale of the PIPE Initial Shares and the PIPE Warrants occurred on December 23, 2025.</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PIPE Initial Shares, the PIPE Warrants and the shares of our common stock underlying the PIPE Warrants offered and sold in the December 2025 private placement were offered and sold pursuant to an exemption from the registration requirements of the Securities Act under Section 4(a)(2) thereof, for a transaction by an issuer not involving any public offering, and/or Regulation S thereunder for sales to non-U.S. investors outside of the United States. We relied on this exemption from registration based in part on representations made by the PIPE Purchasers.</w:t>
      </w:r>
    </w:p>
    <w:p>
      <w:pPr>
        <w:spacing w:after="0" w:line="180"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On December 18, 2025, we entered into a securities purchase agreement with Sermonix. Pursuant to such agreement, Sermonix Pharmaceuticals, Inc. (“Sermonix”) received a pre-funded warrant to purchase 5,502,402 shares of our common stock (the “Sermonix Pre-Funded Warrant”). The Sermonix Pre-Funded Warrant was issued in partial consideration for Sermonix’s entry into that certain License Agreement, dated as of December 18, 2025, by and between us and Sermonix, pursuant to which Sermonix granted us an exclusive license to develop, manufacture, commercialize and otherwise exploit products containing lasofoxifene in certain territories, in addition to further consideration as set forth in the License Agreement. The closing of the purchase and sale of the Sermonix Pre-Funded Warrant occurred on December 23, 2025.</w:t>
      </w:r>
    </w:p>
    <w:p>
      <w:pPr>
        <w:spacing w:after="0" w:line="187"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The shares of our common stock underlying the Sermonix Pre-Funded Warrant offered and sold in the December 2025 transaction with Sermonix were offered and sold pursuant to an exemption from the registration requirements of the Securities Act under Section 4(a)(2) thereof, for a transaction by an issuer not involving any public offering. We relied on this exemption from registration based in part on representations made by Sermonix.</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exhibits are filed as part of this registration statement.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20" w:type="dxa"/>
            <w:vAlign w:val="bottom"/>
            <w:gridSpan w:val="1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9"/>
                <w:szCs w:val="9"/>
                <w:color w:val="auto"/>
              </w:rPr>
            </w:pPr>
          </w:p>
        </w:tc>
        <w:tc>
          <w:tcPr>
            <w:tcW w:w="12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14"/>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49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Amended and Restated Certificate of Incorporation of the Company</w:t>
              </w:r>
            </w:hyperlink>
          </w:p>
        </w:tc>
        <w:tc>
          <w:tcPr>
            <w:tcW w:w="3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001-39503</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12, 2020</w:t>
            </w: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51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Certificate of Amendment to the Amended and Restated Certificate of</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001-39503</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2024</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00" w:type="dxa"/>
            <w:vAlign w:val="bottom"/>
            <w:gridSpan w:val="16"/>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Incorporation of the Company dated May 23, 2024</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51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Certificate of Amendment to the Amended and Restated Certificate of</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001-39503</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11, 2025</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00" w:type="dxa"/>
            <w:vAlign w:val="bottom"/>
            <w:gridSpan w:val="16"/>
          </w:tcPr>
          <w:p>
            <w:pPr>
              <w:spacing w:after="0" w:line="19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Incorporation of the Company dated September 10, 2025</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4"/>
                <w:szCs w:val="24"/>
                <w:color w:val="auto"/>
              </w:rPr>
            </w:pPr>
          </w:p>
        </w:tc>
        <w:tc>
          <w:tcPr>
            <w:tcW w:w="51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Certificate of Amendment to the Amended and Restated Certificate of</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001-39503</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9, 2026</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00" w:type="dxa"/>
            <w:vAlign w:val="bottom"/>
            <w:gridSpan w:val="16"/>
          </w:tcPr>
          <w:p>
            <w:pPr>
              <w:spacing w:after="0" w:line="19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Incorporation of the Company dated January 6, 2026</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20" w:type="dxa"/>
            <w:vAlign w:val="bottom"/>
          </w:tcPr>
          <w:p>
            <w:pPr>
              <w:spacing w:after="0"/>
              <w:rPr>
                <w:sz w:val="24"/>
                <w:szCs w:val="24"/>
                <w:color w:val="auto"/>
              </w:rPr>
            </w:pPr>
          </w:p>
        </w:tc>
        <w:tc>
          <w:tcPr>
            <w:tcW w:w="51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Certificate of Amendment to the Amended and Restated Certificate of</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001-39503</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March 19, 2026</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00" w:type="dxa"/>
            <w:vAlign w:val="bottom"/>
            <w:gridSpan w:val="16"/>
          </w:tcPr>
          <w:p>
            <w:pPr>
              <w:spacing w:after="0" w:line="19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Incorporation of the Company dated March 18, 2026</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20" w:type="dxa"/>
            <w:vAlign w:val="bottom"/>
          </w:tcPr>
          <w:p>
            <w:pPr>
              <w:spacing w:after="0"/>
              <w:rPr>
                <w:sz w:val="24"/>
                <w:szCs w:val="24"/>
                <w:color w:val="auto"/>
              </w:rPr>
            </w:pPr>
          </w:p>
        </w:tc>
        <w:tc>
          <w:tcPr>
            <w:tcW w:w="226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Amended and Restated Bylaws</w:t>
              </w:r>
            </w:hyperlink>
          </w:p>
        </w:tc>
        <w:tc>
          <w:tcPr>
            <w:tcW w:w="20" w:type="dxa"/>
            <w:vAlign w:val="bottom"/>
            <w:tcBorders>
              <w:top w:val="single" w:sz="8" w:color="0000FF"/>
              <w:bottom w:val="single" w:sz="8" w:color="0000EE"/>
            </w:tcBorders>
          </w:tcPr>
          <w:p>
            <w:pPr>
              <w:spacing w:after="0"/>
              <w:rPr>
                <w:sz w:val="24"/>
                <w:szCs w:val="24"/>
                <w:color w:val="auto"/>
              </w:rPr>
            </w:pPr>
          </w:p>
        </w:tc>
        <w:tc>
          <w:tcPr>
            <w:tcW w:w="1540" w:type="dxa"/>
            <w:vAlign w:val="bottom"/>
            <w:tcBorders>
              <w:top w:val="single" w:sz="8" w:color="0000FF"/>
            </w:tcBorders>
            <w:gridSpan w:val="9"/>
          </w:tcPr>
          <w:p>
            <w:pPr>
              <w:spacing w:after="0"/>
              <w:rPr>
                <w:sz w:val="24"/>
                <w:szCs w:val="24"/>
                <w:color w:val="auto"/>
              </w:rPr>
            </w:pPr>
          </w:p>
        </w:tc>
        <w:tc>
          <w:tcPr>
            <w:tcW w:w="148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001-39503</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9, 2026</w:t>
            </w: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5300" w:type="dxa"/>
            <w:vAlign w:val="bottom"/>
            <w:gridSpan w:val="16"/>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Specimen Common Stock Certificate of the Registrant</w:t>
              </w:r>
            </w:hyperlink>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333-292826</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 2026</w:t>
            </w: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3920" w:type="dxa"/>
            <w:vAlign w:val="bottom"/>
            <w:tcBorders>
              <w:top w:val="single" w:sz="8" w:color="0000FF"/>
            </w:tcBorders>
            <w:gridSpan w:val="12"/>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Form of PIPE Pre-Funded Warrant</w:t>
              </w:r>
            </w:hyperlink>
          </w:p>
        </w:tc>
        <w:tc>
          <w:tcPr>
            <w:tcW w:w="138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001-39503</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2025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Borders>
              <w:right w:val="single" w:sz="8" w:color="0000EE"/>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30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Form of PIPE Series A Common Warrant</w:t>
              </w:r>
            </w:hyperlink>
          </w:p>
        </w:tc>
        <w:tc>
          <w:tcPr>
            <w:tcW w:w="228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001-39503</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2025</w:t>
            </w:r>
          </w:p>
        </w:tc>
        <w:tc>
          <w:tcPr>
            <w:tcW w:w="0" w:type="dxa"/>
            <w:vAlign w:val="bottom"/>
          </w:tcPr>
          <w:p>
            <w:pPr>
              <w:spacing w:after="0"/>
              <w:rPr>
                <w:sz w:val="1"/>
                <w:szCs w:val="1"/>
                <w:color w:val="auto"/>
              </w:rPr>
            </w:pPr>
          </w:p>
        </w:tc>
      </w:tr>
      <w:tr>
        <w:trPr>
          <w:trHeight w:val="31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5300" w:type="dxa"/>
            <w:vAlign w:val="bottom"/>
            <w:gridSpan w:val="16"/>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Form of PIPE Series B Common Warrant</w:t>
              </w:r>
            </w:hyperlink>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001-39503</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2025</w:t>
            </w: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24"/>
                <w:szCs w:val="24"/>
                <w:color w:val="auto"/>
              </w:rPr>
            </w:pPr>
          </w:p>
        </w:tc>
        <w:tc>
          <w:tcPr>
            <w:tcW w:w="286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Form of Sermonix Pre-Funded Warrant</w:t>
              </w:r>
            </w:hyperlink>
          </w:p>
        </w:tc>
        <w:tc>
          <w:tcPr>
            <w:tcW w:w="20" w:type="dxa"/>
            <w:vAlign w:val="bottom"/>
            <w:tcBorders>
              <w:top w:val="single" w:sz="8" w:color="0000FF"/>
              <w:bottom w:val="single" w:sz="8" w:color="0000EE"/>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30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001-39503</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2025</w:t>
            </w: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24"/>
                <w:szCs w:val="24"/>
                <w:color w:val="auto"/>
              </w:rPr>
            </w:pPr>
          </w:p>
        </w:tc>
        <w:tc>
          <w:tcPr>
            <w:tcW w:w="5300" w:type="dxa"/>
            <w:vAlign w:val="bottom"/>
            <w:gridSpan w:val="16"/>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Form of PIPE Registration Rights Agreement</w:t>
              </w:r>
            </w:hyperlink>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001-39503</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2025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8"/>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20" w:type="dxa"/>
            <w:vAlign w:val="bottom"/>
          </w:tcPr>
          <w:p>
            <w:pPr>
              <w:spacing w:after="0"/>
              <w:rPr>
                <w:sz w:val="24"/>
                <w:szCs w:val="24"/>
                <w:color w:val="auto"/>
              </w:rPr>
            </w:pPr>
          </w:p>
        </w:tc>
        <w:tc>
          <w:tcPr>
            <w:tcW w:w="36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Form of Sermonix Registration Rights Agreement</w:t>
              </w:r>
            </w:hyperlink>
          </w:p>
        </w:tc>
        <w:tc>
          <w:tcPr>
            <w:tcW w:w="164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001-39503</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2025</w:t>
            </w: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4"/>
                <w:szCs w:val="24"/>
                <w:color w:val="auto"/>
              </w:rPr>
            </w:pPr>
          </w:p>
        </w:tc>
        <w:tc>
          <w:tcPr>
            <w:tcW w:w="37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Opinion of Wilson Sonsini Goodrich &amp; Rosati, P.C.</w:t>
              </w:r>
            </w:hyperlink>
          </w:p>
        </w:tc>
        <w:tc>
          <w:tcPr>
            <w:tcW w:w="60" w:type="dxa"/>
            <w:vAlign w:val="bottom"/>
            <w:tcBorders>
              <w:bottom w:val="single" w:sz="8" w:color="0000EE"/>
            </w:tcBorders>
          </w:tcPr>
          <w:p>
            <w:pPr>
              <w:spacing w:after="0"/>
              <w:rPr>
                <w:sz w:val="24"/>
                <w:szCs w:val="24"/>
                <w:color w:val="auto"/>
              </w:rPr>
            </w:pPr>
          </w:p>
        </w:tc>
        <w:tc>
          <w:tcPr>
            <w:tcW w:w="148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333-292826</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 2026</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10.1*</w:t>
            </w:r>
          </w:p>
        </w:tc>
        <w:tc>
          <w:tcPr>
            <w:tcW w:w="5260" w:type="dxa"/>
            <w:vAlign w:val="bottom"/>
            <w:gridSpan w:val="27"/>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Form of Director and Executive Officer Indemnification Agreement</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318"/>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10.2*</w:t>
            </w:r>
          </w:p>
        </w:tc>
        <w:tc>
          <w:tcPr>
            <w:tcW w:w="292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2014 Equity Incentive Plan, as amended</w:t>
              </w:r>
            </w:hyperlink>
          </w:p>
        </w:tc>
        <w:tc>
          <w:tcPr>
            <w:tcW w:w="20" w:type="dxa"/>
            <w:vAlign w:val="bottom"/>
            <w:tcBorders>
              <w:top w:val="single" w:sz="8" w:color="0000FF"/>
              <w:bottom w:val="single" w:sz="8" w:color="0000EE"/>
            </w:tcBorders>
          </w:tcPr>
          <w:p>
            <w:pPr>
              <w:spacing w:after="0"/>
              <w:rPr>
                <w:sz w:val="24"/>
                <w:szCs w:val="24"/>
                <w:color w:val="auto"/>
              </w:rPr>
            </w:pPr>
          </w:p>
        </w:tc>
        <w:tc>
          <w:tcPr>
            <w:tcW w:w="1960" w:type="dxa"/>
            <w:vAlign w:val="bottom"/>
            <w:tcBorders>
              <w:top w:val="single" w:sz="8" w:color="0000FF"/>
            </w:tcBorders>
            <w:gridSpan w:val="10"/>
          </w:tcPr>
          <w:p>
            <w:pPr>
              <w:spacing w:after="0"/>
              <w:rPr>
                <w:sz w:val="24"/>
                <w:szCs w:val="24"/>
                <w:color w:val="auto"/>
              </w:rPr>
            </w:pPr>
          </w:p>
        </w:tc>
        <w:tc>
          <w:tcPr>
            <w:tcW w:w="360" w:type="dxa"/>
            <w:vAlign w:val="bottom"/>
            <w:gridSpan w:val="6"/>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318"/>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10.3*</w:t>
            </w:r>
          </w:p>
        </w:tc>
        <w:tc>
          <w:tcPr>
            <w:tcW w:w="29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2020 Equity Incentive Plan, as amended</w:t>
              </w:r>
            </w:hyperlink>
          </w:p>
        </w:tc>
        <w:tc>
          <w:tcPr>
            <w:tcW w:w="2340" w:type="dxa"/>
            <w:vAlign w:val="bottom"/>
            <w:gridSpan w:val="17"/>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318"/>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10.4*</w:t>
            </w:r>
          </w:p>
        </w:tc>
        <w:tc>
          <w:tcPr>
            <w:tcW w:w="52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Form of Stock Option Agreement under the 2020 Equity Incentive Plan,</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196"/>
        </w:trPr>
        <w:tc>
          <w:tcPr>
            <w:tcW w:w="880" w:type="dxa"/>
            <w:vAlign w:val="bottom"/>
          </w:tcPr>
          <w:p>
            <w:pPr>
              <w:spacing w:after="0"/>
              <w:rPr>
                <w:sz w:val="17"/>
                <w:szCs w:val="17"/>
                <w:color w:val="auto"/>
              </w:rPr>
            </w:pPr>
          </w:p>
        </w:tc>
        <w:tc>
          <w:tcPr>
            <w:tcW w:w="5260" w:type="dxa"/>
            <w:vAlign w:val="bottom"/>
            <w:gridSpan w:val="27"/>
          </w:tcPr>
          <w:p>
            <w:pPr>
              <w:spacing w:after="0" w:line="19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as amended</w:t>
              </w:r>
            </w:hyperlink>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18"/>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10.5*</w:t>
            </w:r>
          </w:p>
        </w:tc>
        <w:tc>
          <w:tcPr>
            <w:tcW w:w="48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Form of Restricted Stock Award Agreement under the 2020 Equity</w:t>
              </w:r>
            </w:hyperlink>
          </w:p>
        </w:tc>
        <w:tc>
          <w:tcPr>
            <w:tcW w:w="380" w:type="dxa"/>
            <w:vAlign w:val="bottom"/>
            <w:gridSpan w:val="7"/>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196"/>
        </w:trPr>
        <w:tc>
          <w:tcPr>
            <w:tcW w:w="880" w:type="dxa"/>
            <w:vAlign w:val="bottom"/>
          </w:tcPr>
          <w:p>
            <w:pPr>
              <w:spacing w:after="0"/>
              <w:rPr>
                <w:sz w:val="17"/>
                <w:szCs w:val="17"/>
                <w:color w:val="auto"/>
              </w:rPr>
            </w:pPr>
          </w:p>
        </w:tc>
        <w:tc>
          <w:tcPr>
            <w:tcW w:w="5260" w:type="dxa"/>
            <w:vAlign w:val="bottom"/>
            <w:gridSpan w:val="27"/>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Incentive Plan, as amended</w:t>
              </w:r>
            </w:hyperlink>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18"/>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10.6*</w:t>
            </w:r>
          </w:p>
        </w:tc>
        <w:tc>
          <w:tcPr>
            <w:tcW w:w="48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Form of RSU Agreement under the 2020 Equity Incentive Plan, as</w:t>
              </w:r>
            </w:hyperlink>
          </w:p>
        </w:tc>
        <w:tc>
          <w:tcPr>
            <w:tcW w:w="420" w:type="dxa"/>
            <w:vAlign w:val="bottom"/>
            <w:gridSpan w:val="8"/>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196"/>
        </w:trPr>
        <w:tc>
          <w:tcPr>
            <w:tcW w:w="880" w:type="dxa"/>
            <w:vAlign w:val="bottom"/>
          </w:tcPr>
          <w:p>
            <w:pPr>
              <w:spacing w:after="0"/>
              <w:rPr>
                <w:sz w:val="17"/>
                <w:szCs w:val="17"/>
                <w:color w:val="auto"/>
              </w:rPr>
            </w:pPr>
          </w:p>
        </w:tc>
        <w:tc>
          <w:tcPr>
            <w:tcW w:w="6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97">
              <w:r>
                <w:rPr>
                  <w:rFonts w:ascii="Times New Roman" w:cs="Times New Roman" w:eastAsia="Times New Roman" w:hAnsi="Times New Roman"/>
                  <w:sz w:val="18"/>
                  <w:szCs w:val="18"/>
                  <w:color w:val="0000FF"/>
                  <w:w w:val="98"/>
                </w:rPr>
                <w:t>amended</w:t>
              </w:r>
            </w:hyperlink>
          </w:p>
        </w:tc>
        <w:tc>
          <w:tcPr>
            <w:tcW w:w="20" w:type="dxa"/>
            <w:vAlign w:val="bottom"/>
            <w:tcBorders>
              <w:bottom w:val="single" w:sz="8" w:color="0000EE"/>
            </w:tcBorders>
          </w:tcPr>
          <w:p>
            <w:pPr>
              <w:spacing w:after="0"/>
              <w:rPr>
                <w:sz w:val="17"/>
                <w:szCs w:val="17"/>
                <w:color w:val="auto"/>
              </w:rPr>
            </w:pPr>
          </w:p>
        </w:tc>
        <w:tc>
          <w:tcPr>
            <w:tcW w:w="4580" w:type="dxa"/>
            <w:vAlign w:val="bottom"/>
            <w:gridSpan w:val="25"/>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18"/>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10.7*</w:t>
            </w:r>
          </w:p>
        </w:tc>
        <w:tc>
          <w:tcPr>
            <w:tcW w:w="46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2020 Employee Stock Purchase Plan, as amended and Form of</w:t>
              </w:r>
            </w:hyperlink>
          </w:p>
        </w:tc>
        <w:tc>
          <w:tcPr>
            <w:tcW w:w="660" w:type="dxa"/>
            <w:vAlign w:val="bottom"/>
            <w:gridSpan w:val="9"/>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196"/>
        </w:trPr>
        <w:tc>
          <w:tcPr>
            <w:tcW w:w="880" w:type="dxa"/>
            <w:vAlign w:val="bottom"/>
          </w:tcPr>
          <w:p>
            <w:pPr>
              <w:spacing w:after="0"/>
              <w:rPr>
                <w:sz w:val="17"/>
                <w:szCs w:val="17"/>
                <w:color w:val="auto"/>
              </w:rPr>
            </w:pPr>
          </w:p>
        </w:tc>
        <w:tc>
          <w:tcPr>
            <w:tcW w:w="26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Subscription Agreement Thereunder</w:t>
              </w:r>
            </w:hyperlink>
          </w:p>
        </w:tc>
        <w:tc>
          <w:tcPr>
            <w:tcW w:w="2620" w:type="dxa"/>
            <w:vAlign w:val="bottom"/>
            <w:gridSpan w:val="19"/>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18"/>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10.8*</w:t>
            </w:r>
          </w:p>
        </w:tc>
        <w:tc>
          <w:tcPr>
            <w:tcW w:w="5260" w:type="dxa"/>
            <w:vAlign w:val="bottom"/>
            <w:gridSpan w:val="27"/>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2026 Equity Incentive Plan</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20"/>
        </w:trPr>
        <w:tc>
          <w:tcPr>
            <w:tcW w:w="880" w:type="dxa"/>
            <w:vAlign w:val="bottom"/>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18"/>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10.9*</w:t>
            </w:r>
          </w:p>
        </w:tc>
        <w:tc>
          <w:tcPr>
            <w:tcW w:w="51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Form of Stock Option Agreement under the 2026 Equity Incentive Plan</w:t>
              </w:r>
            </w:hyperlink>
          </w:p>
        </w:tc>
        <w:tc>
          <w:tcPr>
            <w:tcW w:w="100" w:type="dxa"/>
            <w:vAlign w:val="bottom"/>
            <w:gridSpan w:val="2"/>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318"/>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10.10*</w:t>
            </w:r>
          </w:p>
        </w:tc>
        <w:tc>
          <w:tcPr>
            <w:tcW w:w="48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Form of Restricted Stock Award Agreement under the 2026 Equity</w:t>
              </w:r>
            </w:hyperlink>
          </w:p>
        </w:tc>
        <w:tc>
          <w:tcPr>
            <w:tcW w:w="380" w:type="dxa"/>
            <w:vAlign w:val="bottom"/>
            <w:gridSpan w:val="7"/>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196"/>
        </w:trPr>
        <w:tc>
          <w:tcPr>
            <w:tcW w:w="880" w:type="dxa"/>
            <w:vAlign w:val="bottom"/>
          </w:tcPr>
          <w:p>
            <w:pPr>
              <w:spacing w:after="0"/>
              <w:rPr>
                <w:sz w:val="17"/>
                <w:szCs w:val="17"/>
                <w:color w:val="auto"/>
              </w:rPr>
            </w:pPr>
          </w:p>
        </w:tc>
        <w:tc>
          <w:tcPr>
            <w:tcW w:w="10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Incentive Plan</w:t>
              </w:r>
            </w:hyperlink>
          </w:p>
        </w:tc>
        <w:tc>
          <w:tcPr>
            <w:tcW w:w="4200" w:type="dxa"/>
            <w:vAlign w:val="bottom"/>
            <w:gridSpan w:val="21"/>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18"/>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10.11*</w:t>
            </w:r>
          </w:p>
        </w:tc>
        <w:tc>
          <w:tcPr>
            <w:tcW w:w="45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Form of RSU Agreement under the 2026 Equity Incentive Plan</w:t>
              </w:r>
            </w:hyperlink>
          </w:p>
        </w:tc>
        <w:tc>
          <w:tcPr>
            <w:tcW w:w="20" w:type="dxa"/>
            <w:vAlign w:val="bottom"/>
            <w:tcBorders>
              <w:bottom w:val="single" w:sz="8" w:color="0000EE"/>
            </w:tcBorders>
          </w:tcPr>
          <w:p>
            <w:pPr>
              <w:spacing w:after="0"/>
              <w:rPr>
                <w:sz w:val="24"/>
                <w:szCs w:val="24"/>
                <w:color w:val="auto"/>
              </w:rPr>
            </w:pPr>
          </w:p>
        </w:tc>
        <w:tc>
          <w:tcPr>
            <w:tcW w:w="680" w:type="dxa"/>
            <w:vAlign w:val="bottom"/>
            <w:gridSpan w:val="10"/>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March 19, 2026</w:t>
            </w:r>
          </w:p>
        </w:tc>
      </w:tr>
      <w:tr>
        <w:trPr>
          <w:trHeight w:val="318"/>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10.12</w:t>
            </w:r>
          </w:p>
        </w:tc>
        <w:tc>
          <w:tcPr>
            <w:tcW w:w="50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Lease agreement, dated July 20, 2020, by and between the Registrant</w:t>
              </w:r>
            </w:hyperlink>
          </w:p>
        </w:tc>
        <w:tc>
          <w:tcPr>
            <w:tcW w:w="220" w:type="dxa"/>
            <w:vAlign w:val="bottom"/>
            <w:gridSpan w:val="3"/>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333-248428</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196"/>
        </w:trPr>
        <w:tc>
          <w:tcPr>
            <w:tcW w:w="880" w:type="dxa"/>
            <w:vAlign w:val="bottom"/>
          </w:tcPr>
          <w:p>
            <w:pPr>
              <w:spacing w:after="0"/>
              <w:rPr>
                <w:sz w:val="17"/>
                <w:szCs w:val="17"/>
                <w:color w:val="auto"/>
              </w:rPr>
            </w:pPr>
          </w:p>
        </w:tc>
        <w:tc>
          <w:tcPr>
            <w:tcW w:w="34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and North Creek Parkway Center Investors, LP</w:t>
              </w:r>
            </w:hyperlink>
          </w:p>
        </w:tc>
        <w:tc>
          <w:tcPr>
            <w:tcW w:w="1840" w:type="dxa"/>
            <w:vAlign w:val="bottom"/>
            <w:gridSpan w:val="13"/>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18"/>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10.13*</w:t>
            </w:r>
          </w:p>
        </w:tc>
        <w:tc>
          <w:tcPr>
            <w:tcW w:w="5260" w:type="dxa"/>
            <w:vAlign w:val="bottom"/>
            <w:gridSpan w:val="27"/>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Outside Director Compensation Policy, as amended</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318"/>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10.14*</w:t>
            </w:r>
          </w:p>
        </w:tc>
        <w:tc>
          <w:tcPr>
            <w:tcW w:w="3720" w:type="dxa"/>
            <w:vAlign w:val="bottom"/>
            <w:tcBorders>
              <w:top w:val="single" w:sz="8" w:color="0000FF"/>
            </w:tcBorders>
            <w:gridSpan w:val="15"/>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Executive Incentive Compensation Plan</w:t>
              </w:r>
            </w:hyperlink>
          </w:p>
        </w:tc>
        <w:tc>
          <w:tcPr>
            <w:tcW w:w="1540" w:type="dxa"/>
            <w:vAlign w:val="bottom"/>
            <w:gridSpan w:val="12"/>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0"/>
        </w:trPr>
        <w:tc>
          <w:tcPr>
            <w:tcW w:w="880" w:type="dxa"/>
            <w:vAlign w:val="bottom"/>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60" w:type="dxa"/>
            <w:vAlign w:val="bottom"/>
            <w:tcBorders>
              <w:right w:val="single" w:sz="8" w:color="0000EE"/>
            </w:tcBorders>
            <w:gridSpan w:val="4"/>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18"/>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10.15*</w:t>
            </w:r>
          </w:p>
        </w:tc>
        <w:tc>
          <w:tcPr>
            <w:tcW w:w="49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Confirmatory Employment Letter between the Registrant and Mark</w:t>
              </w:r>
            </w:hyperlink>
          </w:p>
        </w:tc>
        <w:tc>
          <w:tcPr>
            <w:tcW w:w="360" w:type="dxa"/>
            <w:vAlign w:val="bottom"/>
            <w:gridSpan w:val="6"/>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333-248428</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196"/>
        </w:trPr>
        <w:tc>
          <w:tcPr>
            <w:tcW w:w="880" w:type="dxa"/>
            <w:vAlign w:val="bottom"/>
          </w:tcPr>
          <w:p>
            <w:pPr>
              <w:spacing w:after="0"/>
              <w:rPr>
                <w:sz w:val="17"/>
                <w:szCs w:val="17"/>
                <w:color w:val="auto"/>
              </w:rPr>
            </w:pPr>
          </w:p>
        </w:tc>
        <w:tc>
          <w:tcPr>
            <w:tcW w:w="5260" w:type="dxa"/>
            <w:vAlign w:val="bottom"/>
            <w:gridSpan w:val="27"/>
          </w:tcPr>
          <w:p>
            <w:pPr>
              <w:spacing w:after="0" w:line="19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Litton, Ph.D.</w:t>
              </w:r>
            </w:hyperlink>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960" w:type="dxa"/>
            <w:vAlign w:val="bottom"/>
            <w:tcBorders>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18"/>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10.16*</w:t>
            </w:r>
          </w:p>
        </w:tc>
        <w:tc>
          <w:tcPr>
            <w:tcW w:w="49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Confirmatory Employment Letter between the Registrant and Kevin</w:t>
              </w:r>
            </w:hyperlink>
          </w:p>
        </w:tc>
        <w:tc>
          <w:tcPr>
            <w:tcW w:w="300" w:type="dxa"/>
            <w:vAlign w:val="bottom"/>
            <w:gridSpan w:val="5"/>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333-248428</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196"/>
        </w:trPr>
        <w:tc>
          <w:tcPr>
            <w:tcW w:w="880" w:type="dxa"/>
            <w:vAlign w:val="bottom"/>
          </w:tcPr>
          <w:p>
            <w:pPr>
              <w:spacing w:after="0"/>
              <w:rPr>
                <w:sz w:val="17"/>
                <w:szCs w:val="17"/>
                <w:color w:val="auto"/>
              </w:rPr>
            </w:pPr>
          </w:p>
        </w:tc>
        <w:tc>
          <w:tcPr>
            <w:tcW w:w="10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107">
              <w:r>
                <w:rPr>
                  <w:rFonts w:ascii="Times New Roman" w:cs="Times New Roman" w:eastAsia="Times New Roman" w:hAnsi="Times New Roman"/>
                  <w:sz w:val="18"/>
                  <w:szCs w:val="18"/>
                  <w:color w:val="0000FF"/>
                  <w:w w:val="98"/>
                </w:rPr>
                <w:t>Church, Ph.D.</w:t>
              </w:r>
            </w:hyperlink>
          </w:p>
        </w:tc>
        <w:tc>
          <w:tcPr>
            <w:tcW w:w="4220" w:type="dxa"/>
            <w:vAlign w:val="bottom"/>
            <w:gridSpan w:val="22"/>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18"/>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10.17*</w:t>
            </w:r>
          </w:p>
        </w:tc>
        <w:tc>
          <w:tcPr>
            <w:tcW w:w="50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Amended and Restated Change in Control and Severance Agreement</w:t>
              </w:r>
            </w:hyperlink>
          </w:p>
        </w:tc>
        <w:tc>
          <w:tcPr>
            <w:tcW w:w="240" w:type="dxa"/>
            <w:vAlign w:val="bottom"/>
            <w:gridSpan w:val="4"/>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January 31, 2022</w:t>
            </w:r>
          </w:p>
        </w:tc>
      </w:tr>
      <w:tr>
        <w:trPr>
          <w:trHeight w:val="196"/>
        </w:trPr>
        <w:tc>
          <w:tcPr>
            <w:tcW w:w="880" w:type="dxa"/>
            <w:vAlign w:val="bottom"/>
          </w:tcPr>
          <w:p>
            <w:pPr>
              <w:spacing w:after="0"/>
              <w:rPr>
                <w:sz w:val="17"/>
                <w:szCs w:val="17"/>
                <w:color w:val="auto"/>
              </w:rPr>
            </w:pPr>
          </w:p>
        </w:tc>
        <w:tc>
          <w:tcPr>
            <w:tcW w:w="33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between the Registrant and Mark Litton, Ph.D.</w:t>
              </w:r>
            </w:hyperlink>
          </w:p>
        </w:tc>
        <w:tc>
          <w:tcPr>
            <w:tcW w:w="20" w:type="dxa"/>
            <w:vAlign w:val="bottom"/>
            <w:tcBorders>
              <w:bottom w:val="single" w:sz="8" w:color="0000EE"/>
            </w:tcBorders>
          </w:tcPr>
          <w:p>
            <w:pPr>
              <w:spacing w:after="0"/>
              <w:rPr>
                <w:sz w:val="17"/>
                <w:szCs w:val="17"/>
                <w:color w:val="auto"/>
              </w:rPr>
            </w:pPr>
          </w:p>
        </w:tc>
        <w:tc>
          <w:tcPr>
            <w:tcW w:w="1860" w:type="dxa"/>
            <w:vAlign w:val="bottom"/>
            <w:gridSpan w:val="14"/>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18"/>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10.18*</w:t>
            </w:r>
          </w:p>
        </w:tc>
        <w:tc>
          <w:tcPr>
            <w:tcW w:w="52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Employment Offer Letter between the Registrant and Mark Worthington</w:t>
              </w:r>
            </w:hyperlink>
          </w:p>
        </w:tc>
        <w:tc>
          <w:tcPr>
            <w:tcW w:w="20" w:type="dxa"/>
            <w:vAlign w:val="bottom"/>
            <w:tcBorders>
              <w:bottom w:val="single" w:sz="8" w:color="0000EE"/>
            </w:tcBorders>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August 16, 2021</w:t>
            </w:r>
          </w:p>
        </w:tc>
      </w:tr>
    </w:tbl>
    <w:p>
      <w:pPr>
        <w:spacing w:after="0" w:line="30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635635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80" w:top="1404" w:right="439" w:bottom="1440" w:gutter="0" w:footer="0" w:header="0"/>
        </w:sectPr>
      </w:pPr>
    </w:p>
    <w:bookmarkStart w:id="34" w:name="page35"/>
    <w:bookmarkEnd w:id="34"/>
    <w:p>
      <w:pPr>
        <w:ind w:left="920" w:hanging="881"/>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11">
        <w:r>
          <w:rPr>
            <w:rFonts w:ascii="Times New Roman" w:cs="Times New Roman" w:eastAsia="Times New Roman" w:hAnsi="Times New Roman"/>
            <w:sz w:val="18"/>
            <w:szCs w:val="18"/>
            <w:u w:val="single" w:color="auto"/>
            <w:color w:val="0000FF"/>
          </w:rPr>
          <w:t>Change in Control and Severance Agreement between the Registrant and</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Mark Worthington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-185420</wp:posOffset>
            </wp:positionV>
            <wp:extent cx="33521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2">
                      <a:extLst>
                        <a:ext uri="{28A0092B-C50C-407E-A947-70E740481C1C}"/>
                      </a:extLst>
                    </a:blip>
                    <a:srcRect/>
                    <a:stretch>
                      <a:fillRect/>
                    </a:stretch>
                  </pic:blipFill>
                  <pic:spPr bwMode="auto">
                    <a:xfrm>
                      <a:off x="0" y="0"/>
                      <a:ext cx="3352165"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-48260</wp:posOffset>
            </wp:positionV>
            <wp:extent cx="8597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3">
                      <a:extLst>
                        <a:ext uri="{28A0092B-C50C-407E-A947-70E740481C1C}"/>
                      </a:extLst>
                    </a:blip>
                    <a:srcRect/>
                    <a:stretch>
                      <a:fillRect/>
                    </a:stretch>
                  </pic:blipFill>
                  <pic:spPr bwMode="auto">
                    <a:xfrm>
                      <a:off x="0" y="0"/>
                      <a:ext cx="859790" cy="8255"/>
                    </a:xfrm>
                    <a:prstGeom prst="rect">
                      <a:avLst/>
                    </a:prstGeom>
                    <a:noFill/>
                  </pic:spPr>
                </pic:pic>
              </a:graphicData>
            </a:graphic>
          </wp:anchor>
        </w:drawing>
      </w:r>
    </w:p>
    <w:p>
      <w:pPr>
        <w:spacing w:after="0" w:line="263" w:lineRule="exact"/>
        <w:rPr>
          <w:sz w:val="20"/>
          <w:szCs w:val="20"/>
          <w:color w:val="auto"/>
        </w:rPr>
      </w:pPr>
    </w:p>
    <w:p>
      <w:pPr>
        <w:ind w:left="920" w:right="140" w:hanging="836"/>
        <w:spacing w:after="0" w:line="266"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14">
        <w:r>
          <w:rPr>
            <w:rFonts w:ascii="Times New Roman" w:cs="Times New Roman" w:eastAsia="Times New Roman" w:hAnsi="Times New Roman"/>
            <w:sz w:val="18"/>
            <w:szCs w:val="18"/>
            <w:u w:val="single" w:color="auto"/>
            <w:color w:val="0000FF"/>
          </w:rPr>
          <w:t>First Amendment to Lease by and between the Registrant and Nitrogen</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Propco 2020, L.P., as successor-in-interest to North Creek Parkway</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Center Investors, L.P., dated June 28,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585470</wp:posOffset>
            </wp:positionH>
            <wp:positionV relativeFrom="paragraph">
              <wp:posOffset>-313055</wp:posOffset>
            </wp:positionV>
            <wp:extent cx="32842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5">
                      <a:extLst>
                        <a:ext uri="{28A0092B-C50C-407E-A947-70E740481C1C}"/>
                      </a:extLst>
                    </a:blip>
                    <a:srcRect/>
                    <a:stretch>
                      <a:fillRect/>
                    </a:stretch>
                  </pic:blipFill>
                  <pic:spPr bwMode="auto">
                    <a:xfrm>
                      <a:off x="0" y="0"/>
                      <a:ext cx="3284220"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-175895</wp:posOffset>
            </wp:positionV>
            <wp:extent cx="31191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6">
                      <a:extLst>
                        <a:ext uri="{28A0092B-C50C-407E-A947-70E740481C1C}"/>
                      </a:extLst>
                    </a:blip>
                    <a:srcRect/>
                    <a:stretch>
                      <a:fillRect/>
                    </a:stretch>
                  </pic:blipFill>
                  <pic:spPr bwMode="auto">
                    <a:xfrm>
                      <a:off x="0" y="0"/>
                      <a:ext cx="3119120" cy="889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-38735</wp:posOffset>
            </wp:positionV>
            <wp:extent cx="19704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7">
                      <a:extLst>
                        <a:ext uri="{28A0092B-C50C-407E-A947-70E740481C1C}"/>
                      </a:extLst>
                    </a:blip>
                    <a:srcRect/>
                    <a:stretch>
                      <a:fillRect/>
                    </a:stretch>
                  </pic:blipFill>
                  <pic:spPr bwMode="auto">
                    <a:xfrm>
                      <a:off x="0" y="0"/>
                      <a:ext cx="197040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920" w:hanging="881"/>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18">
        <w:r>
          <w:rPr>
            <w:rFonts w:ascii="Times New Roman" w:cs="Times New Roman" w:eastAsia="Times New Roman" w:hAnsi="Times New Roman"/>
            <w:sz w:val="18"/>
            <w:szCs w:val="18"/>
            <w:u w:val="single" w:color="auto"/>
            <w:color w:val="0000FF"/>
          </w:rPr>
          <w:t>Change in Control and Severance Agreement between the Registrant and</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Kevin Church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-185420</wp:posOffset>
            </wp:positionV>
            <wp:extent cx="33521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9">
                      <a:extLst>
                        <a:ext uri="{28A0092B-C50C-407E-A947-70E740481C1C}"/>
                      </a:extLst>
                    </a:blip>
                    <a:srcRect/>
                    <a:stretch>
                      <a:fillRect/>
                    </a:stretch>
                  </pic:blipFill>
                  <pic:spPr bwMode="auto">
                    <a:xfrm>
                      <a:off x="0" y="0"/>
                      <a:ext cx="3352165"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-48260</wp:posOffset>
            </wp:positionV>
            <wp:extent cx="643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0">
                      <a:extLst>
                        <a:ext uri="{28A0092B-C50C-407E-A947-70E740481C1C}"/>
                      </a:extLst>
                    </a:blip>
                    <a:srcRect/>
                    <a:stretch>
                      <a:fillRect/>
                    </a:stretch>
                  </pic:blipFill>
                  <pic:spPr bwMode="auto">
                    <a:xfrm>
                      <a:off x="0" y="0"/>
                      <a:ext cx="643890" cy="8255"/>
                    </a:xfrm>
                    <a:prstGeom prst="rect">
                      <a:avLst/>
                    </a:prstGeom>
                    <a:noFill/>
                  </pic:spPr>
                </pic:pic>
              </a:graphicData>
            </a:graphic>
          </wp:anchor>
        </w:drawing>
      </w:r>
    </w:p>
    <w:p>
      <w:pPr>
        <w:spacing w:after="0" w:line="27" w:lineRule="exact"/>
        <w:rPr>
          <w:sz w:val="20"/>
          <w:szCs w:val="20"/>
          <w:color w:val="auto"/>
        </w:rPr>
      </w:pPr>
    </w:p>
    <w:p>
      <w:pPr>
        <w:ind w:left="920" w:right="140" w:hanging="836"/>
        <w:spacing w:after="0" w:line="233"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21">
        <w:r>
          <w:rPr>
            <w:rFonts w:ascii="Times New Roman" w:cs="Times New Roman" w:eastAsia="Times New Roman" w:hAnsi="Times New Roman"/>
            <w:sz w:val="18"/>
            <w:szCs w:val="18"/>
            <w:u w:val="single" w:color="auto"/>
            <w:color w:val="0000FF"/>
          </w:rPr>
          <w:t>Controlled Equity Offering Sales Agreement</w:t>
        </w:r>
        <w:r>
          <w:rPr>
            <w:rFonts w:ascii="Times New Roman" w:cs="Times New Roman" w:eastAsia="Times New Roman" w:hAnsi="Times New Roman"/>
            <w:sz w:val="24"/>
            <w:szCs w:val="24"/>
            <w:u w:val="single" w:color="auto"/>
            <w:color w:val="0000FF"/>
            <w:vertAlign w:val="superscript"/>
          </w:rPr>
          <w:t>SM</w:t>
        </w:r>
        <w:r>
          <w:rPr>
            <w:rFonts w:ascii="Times New Roman" w:cs="Times New Roman" w:eastAsia="Times New Roman" w:hAnsi="Times New Roman"/>
            <w:sz w:val="18"/>
            <w:szCs w:val="18"/>
            <w:u w:val="single" w:color="auto"/>
            <w:color w:val="0000FF"/>
          </w:rPr>
          <w:t>, dated January 6, 2023,</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among the Registrant, Cantor Fitzgerald &amp; Co. and BTIG,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-161290</wp:posOffset>
            </wp:positionV>
            <wp:extent cx="32772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2">
                      <a:extLst>
                        <a:ext uri="{28A0092B-C50C-407E-A947-70E740481C1C}"/>
                      </a:extLst>
                    </a:blip>
                    <a:srcRect/>
                    <a:stretch>
                      <a:fillRect/>
                    </a:stretch>
                  </pic:blipFill>
                  <pic:spPr bwMode="auto">
                    <a:xfrm>
                      <a:off x="0" y="0"/>
                      <a:ext cx="3277235"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-24130</wp:posOffset>
            </wp:positionV>
            <wp:extent cx="29063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3">
                      <a:extLst>
                        <a:ext uri="{28A0092B-C50C-407E-A947-70E740481C1C}"/>
                      </a:extLst>
                    </a:blip>
                    <a:srcRect/>
                    <a:stretch>
                      <a:fillRect/>
                    </a:stretch>
                  </pic:blipFill>
                  <pic:spPr bwMode="auto">
                    <a:xfrm>
                      <a:off x="0" y="0"/>
                      <a:ext cx="2906395" cy="825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-212725</wp:posOffset>
            </wp:positionV>
            <wp:extent cx="1104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4">
                      <a:extLst>
                        <a:ext uri="{28A0092B-C50C-407E-A947-70E740481C1C}"/>
                      </a:extLst>
                    </a:blip>
                    <a:srcRect/>
                    <a:stretch>
                      <a:fillRect/>
                    </a:stretch>
                  </pic:blipFill>
                  <pic:spPr bwMode="auto">
                    <a:xfrm>
                      <a:off x="0" y="0"/>
                      <a:ext cx="110490" cy="8890"/>
                    </a:xfrm>
                    <a:prstGeom prst="rect">
                      <a:avLst/>
                    </a:prstGeom>
                    <a:noFill/>
                  </pic:spPr>
                </pic:pic>
              </a:graphicData>
            </a:graphic>
          </wp:anchor>
        </w:drawing>
      </w:r>
    </w:p>
    <w:p>
      <w:pPr>
        <w:spacing w:after="0" w:line="85" w:lineRule="exact"/>
        <w:rPr>
          <w:sz w:val="20"/>
          <w:szCs w:val="20"/>
          <w:color w:val="auto"/>
        </w:rPr>
      </w:pPr>
    </w:p>
    <w:p>
      <w:pPr>
        <w:ind w:left="40"/>
        <w:spacing w:after="0"/>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25">
        <w:r>
          <w:rPr>
            <w:rFonts w:ascii="Times New Roman" w:cs="Times New Roman" w:eastAsia="Times New Roman" w:hAnsi="Times New Roman"/>
            <w:sz w:val="18"/>
            <w:szCs w:val="18"/>
            <w:u w:val="single" w:color="auto"/>
            <w:color w:val="0000FF"/>
          </w:rPr>
          <w:t>2024 Inducement Equity Incentive Plan and related form agreements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-7620</wp:posOffset>
            </wp:positionV>
            <wp:extent cx="31470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6">
                      <a:extLst>
                        <a:ext uri="{28A0092B-C50C-407E-A947-70E740481C1C}"/>
                      </a:extLst>
                    </a:blip>
                    <a:srcRect/>
                    <a:stretch>
                      <a:fillRect/>
                    </a:stretch>
                  </pic:blipFill>
                  <pic:spPr bwMode="auto">
                    <a:xfrm>
                      <a:off x="0" y="0"/>
                      <a:ext cx="3147060" cy="8255"/>
                    </a:xfrm>
                    <a:prstGeom prst="rect">
                      <a:avLst/>
                    </a:prstGeom>
                    <a:noFill/>
                  </pic:spPr>
                </pic:pic>
              </a:graphicData>
            </a:graphic>
          </wp:anchor>
        </w:drawing>
      </w:r>
    </w:p>
    <w:p>
      <w:pPr>
        <w:spacing w:after="0" w:line="111" w:lineRule="exact"/>
        <w:rPr>
          <w:sz w:val="20"/>
          <w:szCs w:val="20"/>
          <w:color w:val="auto"/>
        </w:rPr>
      </w:pPr>
    </w:p>
    <w:p>
      <w:pPr>
        <w:ind w:left="40"/>
        <w:spacing w:after="0"/>
        <w:tabs>
          <w:tab w:leader="none" w:pos="9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127">
        <w:r>
          <w:rPr>
            <w:rFonts w:ascii="Times New Roman" w:cs="Times New Roman" w:eastAsia="Times New Roman" w:hAnsi="Times New Roman"/>
            <w:sz w:val="17"/>
            <w:szCs w:val="17"/>
            <w:u w:val="single" w:color="auto"/>
            <w:color w:val="0000FF"/>
          </w:rPr>
          <w:t>Employment Offer Letter between the Registrant and Javier San Martin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-7620</wp:posOffset>
            </wp:positionV>
            <wp:extent cx="32772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8">
                      <a:extLst>
                        <a:ext uri="{28A0092B-C50C-407E-A947-70E740481C1C}"/>
                      </a:extLst>
                    </a:blip>
                    <a:srcRect/>
                    <a:stretch>
                      <a:fillRect/>
                    </a:stretch>
                  </pic:blipFill>
                  <pic:spPr bwMode="auto">
                    <a:xfrm>
                      <a:off x="0" y="0"/>
                      <a:ext cx="3277235" cy="8255"/>
                    </a:xfrm>
                    <a:prstGeom prst="rect">
                      <a:avLst/>
                    </a:prstGeom>
                    <a:noFill/>
                  </pic:spPr>
                </pic:pic>
              </a:graphicData>
            </a:graphic>
          </wp:anchor>
        </w:drawing>
      </w:r>
    </w:p>
    <w:p>
      <w:pPr>
        <w:spacing w:after="0" w:line="111" w:lineRule="exact"/>
        <w:rPr>
          <w:sz w:val="20"/>
          <w:szCs w:val="20"/>
          <w:color w:val="auto"/>
        </w:rPr>
      </w:pPr>
    </w:p>
    <w:p>
      <w:pPr>
        <w:ind w:left="920" w:hanging="881"/>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29">
        <w:r>
          <w:rPr>
            <w:rFonts w:ascii="Times New Roman" w:cs="Times New Roman" w:eastAsia="Times New Roman" w:hAnsi="Times New Roman"/>
            <w:sz w:val="18"/>
            <w:szCs w:val="18"/>
            <w:u w:val="single" w:color="auto"/>
            <w:color w:val="0000FF"/>
          </w:rPr>
          <w:t>Change in Control and Severance Agreement between the Registrant and</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Javier San Martin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-185420</wp:posOffset>
            </wp:positionV>
            <wp:extent cx="33521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0">
                      <a:extLst>
                        <a:ext uri="{28A0092B-C50C-407E-A947-70E740481C1C}"/>
                      </a:extLst>
                    </a:blip>
                    <a:srcRect/>
                    <a:stretch>
                      <a:fillRect/>
                    </a:stretch>
                  </pic:blipFill>
                  <pic:spPr bwMode="auto">
                    <a:xfrm>
                      <a:off x="0" y="0"/>
                      <a:ext cx="3352165"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-48260</wp:posOffset>
            </wp:positionV>
            <wp:extent cx="8121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1">
                      <a:extLst>
                        <a:ext uri="{28A0092B-C50C-407E-A947-70E740481C1C}"/>
                      </a:extLst>
                    </a:blip>
                    <a:srcRect/>
                    <a:stretch>
                      <a:fillRect/>
                    </a:stretch>
                  </pic:blipFill>
                  <pic:spPr bwMode="auto">
                    <a:xfrm>
                      <a:off x="0" y="0"/>
                      <a:ext cx="812165" cy="8255"/>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9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132">
        <w:r>
          <w:rPr>
            <w:rFonts w:ascii="Times New Roman" w:cs="Times New Roman" w:eastAsia="Times New Roman" w:hAnsi="Times New Roman"/>
            <w:sz w:val="17"/>
            <w:szCs w:val="17"/>
            <w:u w:val="single" w:color="auto"/>
            <w:color w:val="0000FF"/>
          </w:rPr>
          <w:t>Employment Offer Letter between the Company and Robert Renninger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-7620</wp:posOffset>
            </wp:positionV>
            <wp:extent cx="32550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3">
                      <a:extLst>
                        <a:ext uri="{28A0092B-C50C-407E-A947-70E740481C1C}"/>
                      </a:extLst>
                    </a:blip>
                    <a:srcRect/>
                    <a:stretch>
                      <a:fillRect/>
                    </a:stretch>
                  </pic:blipFill>
                  <pic:spPr bwMode="auto">
                    <a:xfrm>
                      <a:off x="0" y="0"/>
                      <a:ext cx="3255010" cy="8255"/>
                    </a:xfrm>
                    <a:prstGeom prst="rect">
                      <a:avLst/>
                    </a:prstGeom>
                    <a:noFill/>
                  </pic:spPr>
                </pic:pic>
              </a:graphicData>
            </a:graphic>
          </wp:anchor>
        </w:drawing>
      </w:r>
    </w:p>
    <w:p>
      <w:pPr>
        <w:spacing w:after="0" w:line="111" w:lineRule="exact"/>
        <w:rPr>
          <w:sz w:val="20"/>
          <w:szCs w:val="20"/>
          <w:color w:val="auto"/>
        </w:rPr>
      </w:pPr>
    </w:p>
    <w:p>
      <w:pPr>
        <w:jc w:val="both"/>
        <w:ind w:left="920" w:right="280" w:hanging="881"/>
        <w:spacing w:after="0" w:line="266"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134">
        <w:r>
          <w:rPr>
            <w:rFonts w:ascii="Times New Roman" w:cs="Times New Roman" w:eastAsia="Times New Roman" w:hAnsi="Times New Roman"/>
            <w:sz w:val="18"/>
            <w:szCs w:val="18"/>
            <w:u w:val="single" w:color="auto"/>
            <w:color w:val="0000FF"/>
          </w:rPr>
          <w:t>Amended and Restated Change in Control and Severance Agreement</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between the Company and Robert Renninger, dated as of January 8,</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2026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585470</wp:posOffset>
            </wp:positionH>
            <wp:positionV relativeFrom="paragraph">
              <wp:posOffset>-313055</wp:posOffset>
            </wp:positionV>
            <wp:extent cx="31883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5">
                      <a:extLst>
                        <a:ext uri="{28A0092B-C50C-407E-A947-70E740481C1C}"/>
                      </a:extLst>
                    </a:blip>
                    <a:srcRect/>
                    <a:stretch>
                      <a:fillRect/>
                    </a:stretch>
                  </pic:blipFill>
                  <pic:spPr bwMode="auto">
                    <a:xfrm>
                      <a:off x="0" y="0"/>
                      <a:ext cx="3188335"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-175895</wp:posOffset>
            </wp:positionV>
            <wp:extent cx="31375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6">
                      <a:extLst>
                        <a:ext uri="{28A0092B-C50C-407E-A947-70E740481C1C}"/>
                      </a:extLst>
                    </a:blip>
                    <a:srcRect/>
                    <a:stretch>
                      <a:fillRect/>
                    </a:stretch>
                  </pic:blipFill>
                  <pic:spPr bwMode="auto">
                    <a:xfrm>
                      <a:off x="0" y="0"/>
                      <a:ext cx="3137535"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-38735</wp:posOffset>
            </wp:positionV>
            <wp:extent cx="2286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7">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920" w:right="60" w:hanging="926"/>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138">
        <w:r>
          <w:rPr>
            <w:rFonts w:ascii="Times New Roman" w:cs="Times New Roman" w:eastAsia="Times New Roman" w:hAnsi="Times New Roman"/>
            <w:sz w:val="18"/>
            <w:szCs w:val="18"/>
            <w:u w:val="single" w:color="auto"/>
            <w:color w:val="0000FF"/>
          </w:rPr>
          <w:t>License Agreement between Sermonix Pharmaceuticals, Inc. and Athira</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Pharma, Inc. dated December 18,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-185420</wp:posOffset>
            </wp:positionV>
            <wp:extent cx="33248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9">
                      <a:extLst>
                        <a:ext uri="{28A0092B-C50C-407E-A947-70E740481C1C}"/>
                      </a:extLst>
                    </a:blip>
                    <a:srcRect/>
                    <a:stretch>
                      <a:fillRect/>
                    </a:stretch>
                  </pic:blipFill>
                  <pic:spPr bwMode="auto">
                    <a:xfrm>
                      <a:off x="0" y="0"/>
                      <a:ext cx="3324860" cy="889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-48260</wp:posOffset>
            </wp:positionV>
            <wp:extent cx="17830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47" w:lineRule="exact"/>
        <w:rPr>
          <w:sz w:val="20"/>
          <w:szCs w:val="20"/>
          <w:color w:val="auto"/>
        </w:rPr>
      </w:pPr>
    </w:p>
    <w:p>
      <w:pPr>
        <w:ind w:left="920" w:right="160" w:hanging="926"/>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141">
        <w:r>
          <w:rPr>
            <w:rFonts w:ascii="Times New Roman" w:cs="Times New Roman" w:eastAsia="Times New Roman" w:hAnsi="Times New Roman"/>
            <w:sz w:val="18"/>
            <w:szCs w:val="18"/>
            <w:u w:val="single" w:color="auto"/>
            <w:color w:val="0000FF"/>
          </w:rPr>
          <w:t>License Agreement between Ligand Pharmaceuticals Incorporated and</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Athira Pharma, Inc. dated December 18,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-185420</wp:posOffset>
            </wp:positionV>
            <wp:extent cx="32645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2">
                      <a:extLst>
                        <a:ext uri="{28A0092B-C50C-407E-A947-70E740481C1C}"/>
                      </a:extLst>
                    </a:blip>
                    <a:srcRect/>
                    <a:stretch>
                      <a:fillRect/>
                    </a:stretch>
                  </pic:blipFill>
                  <pic:spPr bwMode="auto">
                    <a:xfrm>
                      <a:off x="0" y="0"/>
                      <a:ext cx="3264535"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-48260</wp:posOffset>
            </wp:positionV>
            <wp:extent cx="21031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3">
                      <a:extLst>
                        <a:ext uri="{28A0092B-C50C-407E-A947-70E740481C1C}"/>
                      </a:extLst>
                    </a:blip>
                    <a:srcRect/>
                    <a:stretch>
                      <a:fillRect/>
                    </a:stretch>
                  </pic:blipFill>
                  <pic:spPr bwMode="auto">
                    <a:xfrm>
                      <a:off x="0" y="0"/>
                      <a:ext cx="2103120" cy="8255"/>
                    </a:xfrm>
                    <a:prstGeom prst="rect">
                      <a:avLst/>
                    </a:prstGeom>
                    <a:noFill/>
                  </pic:spPr>
                </pic:pic>
              </a:graphicData>
            </a:graphic>
          </wp:anchor>
        </w:drawing>
      </w:r>
    </w:p>
    <w:p>
      <w:pPr>
        <w:spacing w:after="0" w:line="142" w:lineRule="exact"/>
        <w:rPr>
          <w:sz w:val="20"/>
          <w:szCs w:val="20"/>
          <w:color w:val="auto"/>
        </w:rPr>
      </w:pPr>
    </w:p>
    <w:p>
      <w:pPr>
        <w:ind w:left="920" w:hanging="836"/>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144">
        <w:r>
          <w:rPr>
            <w:rFonts w:ascii="Times New Roman" w:cs="Times New Roman" w:eastAsia="Times New Roman" w:hAnsi="Times New Roman"/>
            <w:sz w:val="18"/>
            <w:szCs w:val="18"/>
            <w:u w:val="single" w:color="auto"/>
            <w:color w:val="0000FF"/>
          </w:rPr>
          <w:t>Securities Purchase Agreement dated December 18, 2025, by and among</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the Company and the PIPE Purchasers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-185420</wp:posOffset>
            </wp:positionV>
            <wp:extent cx="33521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5">
                      <a:extLst>
                        <a:ext uri="{28A0092B-C50C-407E-A947-70E740481C1C}"/>
                      </a:extLst>
                    </a:blip>
                    <a:srcRect/>
                    <a:stretch>
                      <a:fillRect/>
                    </a:stretch>
                  </pic:blipFill>
                  <pic:spPr bwMode="auto">
                    <a:xfrm>
                      <a:off x="0" y="0"/>
                      <a:ext cx="3352165"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-48260</wp:posOffset>
            </wp:positionV>
            <wp:extent cx="17608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6">
                      <a:extLst>
                        <a:ext uri="{28A0092B-C50C-407E-A947-70E740481C1C}"/>
                      </a:extLst>
                    </a:blip>
                    <a:srcRect/>
                    <a:stretch>
                      <a:fillRect/>
                    </a:stretch>
                  </pic:blipFill>
                  <pic:spPr bwMode="auto">
                    <a:xfrm>
                      <a:off x="0" y="0"/>
                      <a:ext cx="1760855" cy="8890"/>
                    </a:xfrm>
                    <a:prstGeom prst="rect">
                      <a:avLst/>
                    </a:prstGeom>
                    <a:noFill/>
                  </pic:spPr>
                </pic:pic>
              </a:graphicData>
            </a:graphic>
          </wp:anchor>
        </w:drawing>
      </w:r>
    </w:p>
    <w:p>
      <w:pPr>
        <w:spacing w:after="0" w:line="47" w:lineRule="exact"/>
        <w:rPr>
          <w:sz w:val="20"/>
          <w:szCs w:val="20"/>
          <w:color w:val="auto"/>
        </w:rPr>
      </w:pPr>
    </w:p>
    <w:p>
      <w:pPr>
        <w:ind w:left="920" w:right="540" w:hanging="836"/>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47">
        <w:r>
          <w:rPr>
            <w:rFonts w:ascii="Times New Roman" w:cs="Times New Roman" w:eastAsia="Times New Roman" w:hAnsi="Times New Roman"/>
            <w:sz w:val="18"/>
            <w:szCs w:val="18"/>
            <w:u w:val="single" w:color="auto"/>
            <w:color w:val="0000FF"/>
          </w:rPr>
          <w:t>Securities Purchase Agreement dated December 18, 2025, by and</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between the Company and Sermonix Pharmaceuticals,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-185420</wp:posOffset>
            </wp:positionV>
            <wp:extent cx="30232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8">
                      <a:extLst>
                        <a:ext uri="{28A0092B-C50C-407E-A947-70E740481C1C}"/>
                      </a:extLst>
                    </a:blip>
                    <a:srcRect/>
                    <a:stretch>
                      <a:fillRect/>
                    </a:stretch>
                  </pic:blipFill>
                  <pic:spPr bwMode="auto">
                    <a:xfrm>
                      <a:off x="0" y="0"/>
                      <a:ext cx="3023235"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-48260</wp:posOffset>
            </wp:positionV>
            <wp:extent cx="26968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9">
                      <a:extLst>
                        <a:ext uri="{28A0092B-C50C-407E-A947-70E740481C1C}"/>
                      </a:extLst>
                    </a:blip>
                    <a:srcRect/>
                    <a:stretch>
                      <a:fillRect/>
                    </a:stretch>
                  </pic:blipFill>
                  <pic:spPr bwMode="auto">
                    <a:xfrm>
                      <a:off x="0" y="0"/>
                      <a:ext cx="2696845" cy="8890"/>
                    </a:xfrm>
                    <a:prstGeom prst="rect">
                      <a:avLst/>
                    </a:prstGeom>
                    <a:noFill/>
                  </pic:spPr>
                </pic:pic>
              </a:graphicData>
            </a:graphic>
          </wp:anchor>
        </w:drawing>
      </w:r>
    </w:p>
    <w:p>
      <w:pPr>
        <w:spacing w:after="0" w:line="47" w:lineRule="exact"/>
        <w:rPr>
          <w:sz w:val="20"/>
          <w:szCs w:val="20"/>
          <w:color w:val="auto"/>
        </w:rPr>
      </w:pPr>
    </w:p>
    <w:p>
      <w:pPr>
        <w:ind w:left="140"/>
        <w:spacing w:after="0"/>
        <w:tabs>
          <w:tab w:leader="none" w:pos="9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21.1</w:t>
      </w:r>
      <w:r>
        <w:rPr>
          <w:sz w:val="20"/>
          <w:szCs w:val="20"/>
          <w:color w:val="auto"/>
        </w:rPr>
        <w:tab/>
      </w:r>
      <w:hyperlink r:id="rId150">
        <w:r>
          <w:rPr>
            <w:rFonts w:ascii="Times New Roman" w:cs="Times New Roman" w:eastAsia="Times New Roman" w:hAnsi="Times New Roman"/>
            <w:sz w:val="17"/>
            <w:szCs w:val="17"/>
            <w:u w:val="single" w:color="auto"/>
            <w:color w:val="0000FF"/>
          </w:rPr>
          <w:t>List of Subsidiaries of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-7620</wp:posOffset>
            </wp:positionV>
            <wp:extent cx="16783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1">
                      <a:extLst>
                        <a:ext uri="{28A0092B-C50C-407E-A947-70E740481C1C}"/>
                      </a:extLst>
                    </a:blip>
                    <a:srcRect/>
                    <a:stretch>
                      <a:fillRect/>
                    </a:stretch>
                  </pic:blipFill>
                  <pic:spPr bwMode="auto">
                    <a:xfrm>
                      <a:off x="0" y="0"/>
                      <a:ext cx="1678305" cy="8890"/>
                    </a:xfrm>
                    <a:prstGeom prst="rect">
                      <a:avLst/>
                    </a:prstGeom>
                    <a:noFill/>
                  </pic:spPr>
                </pic:pic>
              </a:graphicData>
            </a:graphic>
          </wp:anchor>
        </w:drawing>
      </w:r>
    </w:p>
    <w:p>
      <w:pPr>
        <w:spacing w:after="0" w:line="111" w:lineRule="exact"/>
        <w:rPr>
          <w:sz w:val="20"/>
          <w:szCs w:val="20"/>
          <w:color w:val="auto"/>
        </w:rPr>
      </w:pPr>
    </w:p>
    <w:p>
      <w:pPr>
        <w:ind w:left="140"/>
        <w:spacing w:after="0"/>
        <w:tabs>
          <w:tab w:leader="none" w:pos="9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-7620</wp:posOffset>
            </wp:positionV>
            <wp:extent cx="27412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2">
                      <a:extLst>
                        <a:ext uri="{28A0092B-C50C-407E-A947-70E740481C1C}"/>
                      </a:extLst>
                    </a:blip>
                    <a:srcRect/>
                    <a:stretch>
                      <a:fillRect/>
                    </a:stretch>
                  </pic:blipFill>
                  <pic:spPr bwMode="auto">
                    <a:xfrm>
                      <a:off x="0" y="0"/>
                      <a:ext cx="2741295" cy="8890"/>
                    </a:xfrm>
                    <a:prstGeom prst="rect">
                      <a:avLst/>
                    </a:prstGeom>
                    <a:noFill/>
                  </pic:spPr>
                </pic:pic>
              </a:graphicData>
            </a:graphic>
          </wp:anchor>
        </w:drawing>
      </w:r>
    </w:p>
    <w:p>
      <w:pPr>
        <w:spacing w:after="0" w:line="1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Consent of Wilson Sonsini Goodrich &amp; Rosati, P.C. (included in Exhibit</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5.1)</w:t>
      </w:r>
    </w:p>
    <w:p>
      <w:pPr>
        <w:spacing w:after="0" w:line="16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635635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10.4</w:t>
            </w:r>
          </w:p>
        </w:tc>
        <w:tc>
          <w:tcPr>
            <w:tcW w:w="16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August 16, 2021</w:t>
            </w:r>
          </w:p>
        </w:tc>
      </w:tr>
      <w:tr>
        <w:trPr>
          <w:trHeight w:val="769"/>
        </w:trPr>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10.5</w:t>
            </w:r>
          </w:p>
        </w:tc>
        <w:tc>
          <w:tcPr>
            <w:tcW w:w="16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August 16, 2021</w:t>
            </w:r>
          </w:p>
        </w:tc>
      </w:tr>
      <w:tr>
        <w:trPr>
          <w:trHeight w:val="769"/>
        </w:trPr>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10.28</w:t>
            </w:r>
          </w:p>
        </w:tc>
        <w:tc>
          <w:tcPr>
            <w:tcW w:w="16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March 28, 2022</w:t>
            </w:r>
          </w:p>
        </w:tc>
      </w:tr>
      <w:tr>
        <w:trPr>
          <w:trHeight w:val="553"/>
        </w:trPr>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6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January 6, 2023</w:t>
            </w:r>
          </w:p>
        </w:tc>
      </w:tr>
      <w:tr>
        <w:trPr>
          <w:trHeight w:val="554"/>
        </w:trPr>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10.23</w:t>
            </w:r>
          </w:p>
        </w:tc>
        <w:tc>
          <w:tcPr>
            <w:tcW w:w="16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338"/>
        </w:trPr>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10-Q/A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6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August 9, 2024</w:t>
            </w:r>
          </w:p>
        </w:tc>
      </w:tr>
      <w:tr>
        <w:trPr>
          <w:trHeight w:val="338"/>
        </w:trPr>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10-Q/A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6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August 9, 2024</w:t>
            </w:r>
          </w:p>
        </w:tc>
      </w:tr>
      <w:tr>
        <w:trPr>
          <w:trHeight w:val="553"/>
        </w:trPr>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6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September 17, 2024</w:t>
            </w:r>
          </w:p>
        </w:tc>
      </w:tr>
      <w:tr>
        <w:trPr>
          <w:trHeight w:val="338"/>
        </w:trPr>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6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January 9, 2026</w:t>
            </w:r>
          </w:p>
        </w:tc>
      </w:tr>
      <w:tr>
        <w:trPr>
          <w:trHeight w:val="769"/>
        </w:trPr>
        <w:tc>
          <w:tcPr>
            <w:tcW w:w="7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6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553"/>
        </w:trPr>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10.29</w:t>
            </w:r>
          </w:p>
        </w:tc>
        <w:tc>
          <w:tcPr>
            <w:tcW w:w="16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648"/>
        </w:trPr>
        <w:tc>
          <w:tcPr>
            <w:tcW w:w="7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6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December 18, 2025</w:t>
            </w:r>
          </w:p>
        </w:tc>
      </w:tr>
      <w:tr>
        <w:trPr>
          <w:trHeight w:val="554"/>
        </w:trPr>
        <w:tc>
          <w:tcPr>
            <w:tcW w:w="7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001-39503</w:t>
            </w:r>
          </w:p>
        </w:tc>
        <w:tc>
          <w:tcPr>
            <w:tcW w:w="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6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December 18, 2025</w:t>
            </w:r>
          </w:p>
        </w:tc>
      </w:tr>
      <w:tr>
        <w:trPr>
          <w:trHeight w:val="553"/>
        </w:trPr>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333-24828</w:t>
            </w:r>
          </w:p>
        </w:tc>
        <w:tc>
          <w:tcPr>
            <w:tcW w:w="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21.1</w:t>
            </w:r>
          </w:p>
        </w:tc>
        <w:tc>
          <w:tcPr>
            <w:tcW w:w="16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675"/>
        </w:trPr>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S-3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333-292826</w:t>
            </w:r>
          </w:p>
        </w:tc>
        <w:tc>
          <w:tcPr>
            <w:tcW w:w="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23.2</w:t>
            </w:r>
          </w:p>
        </w:tc>
        <w:tc>
          <w:tcPr>
            <w:tcW w:w="16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January 20, 2026</w:t>
            </w:r>
          </w:p>
        </w:tc>
      </w:tr>
    </w:tbl>
    <w:p>
      <w:pPr>
        <w:sectPr>
          <w:pgSz w:w="11900" w:h="16838" w:orient="portrait"/>
          <w:cols w:equalWidth="0" w:num="2">
            <w:col w:w="6180" w:space="260"/>
            <w:col w:w="4520"/>
          </w:cols>
          <w:pgMar w:left="540" w:top="1417" w:right="399" w:bottom="1440" w:gutter="0" w:footer="0" w:header="0"/>
        </w:sectPr>
      </w:pPr>
    </w:p>
    <w:bookmarkStart w:id="35" w:name="page36"/>
    <w:bookmarkEnd w:id="35"/>
    <w:p>
      <w:pPr>
        <w:spacing w:after="0" w:line="86" w:lineRule="exact"/>
        <w:rPr>
          <w:sz w:val="20"/>
          <w:szCs w:val="20"/>
          <w:color w:val="auto"/>
        </w:rPr>
      </w:pPr>
    </w:p>
    <w:tbl>
      <w:tblPr>
        <w:tblLayout w:type="fixed"/>
        <w:tblInd w:w="172" w:type="dxa"/>
        <w:tblCellMar>
          <w:top w:w="0" w:type="dxa"/>
          <w:left w:w="0" w:type="dxa"/>
          <w:bottom w:w="0" w:type="dxa"/>
          <w:right w:w="0" w:type="dxa"/>
        </w:tblCellMar>
      </w:tblPr>
      <w:tr>
        <w:trPr>
          <w:trHeight w:val="207"/>
        </w:trPr>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24.1</w:t>
            </w:r>
          </w:p>
        </w:tc>
        <w:tc>
          <w:tcPr>
            <w:tcW w:w="47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Power of Attorney (included on signature page to initial filing of</w:t>
              </w:r>
            </w:hyperlink>
          </w:p>
        </w:tc>
        <w:tc>
          <w:tcPr>
            <w:tcW w:w="15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6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registration statement)</w:t>
              </w:r>
            </w:hyperlink>
          </w:p>
        </w:tc>
        <w:tc>
          <w:tcPr>
            <w:tcW w:w="3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358"/>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101.INS</w:t>
            </w:r>
          </w:p>
        </w:tc>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8"/>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101.SCH</w:t>
            </w:r>
          </w:p>
        </w:tc>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97"/>
        </w:trPr>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107***</w:t>
            </w:r>
          </w:p>
        </w:tc>
        <w:tc>
          <w:tcPr>
            <w:tcW w:w="110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Filing fee table</w:t>
              </w:r>
            </w:hyperlink>
          </w:p>
        </w:tc>
        <w:tc>
          <w:tcPr>
            <w:tcW w:w="20" w:type="dxa"/>
            <w:vAlign w:val="bottom"/>
            <w:tcBorders>
              <w:bottom w:val="single" w:sz="8" w:color="0000EE"/>
            </w:tcBorders>
          </w:tcPr>
          <w:p>
            <w:pPr>
              <w:spacing w:after="0"/>
              <w:rPr>
                <w:sz w:val="24"/>
                <w:szCs w:val="24"/>
                <w:color w:val="auto"/>
              </w:rPr>
            </w:pPr>
          </w:p>
        </w:tc>
        <w:tc>
          <w:tcPr>
            <w:tcW w:w="3580" w:type="dxa"/>
            <w:vAlign w:val="bottom"/>
            <w:gridSpan w:val="2"/>
          </w:tcPr>
          <w:p>
            <w:pPr>
              <w:spacing w:after="0"/>
              <w:rPr>
                <w:sz w:val="24"/>
                <w:szCs w:val="24"/>
                <w:color w:val="auto"/>
              </w:rPr>
            </w:pPr>
          </w:p>
        </w:tc>
        <w:tc>
          <w:tcPr>
            <w:tcW w:w="1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S-3</w:t>
            </w: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333-292826</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107</w:t>
            </w:r>
          </w:p>
        </w:tc>
        <w:tc>
          <w:tcPr>
            <w:tcW w:w="15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January 20, 2026</w:t>
            </w:r>
          </w:p>
        </w:tc>
      </w:tr>
    </w:tbl>
    <w:p>
      <w:pPr>
        <w:spacing w:after="0" w:line="369" w:lineRule="exact"/>
        <w:rPr>
          <w:sz w:val="20"/>
          <w:szCs w:val="20"/>
          <w:color w:val="auto"/>
        </w:rPr>
      </w:pPr>
    </w:p>
    <w:p>
      <w:pPr>
        <w:ind w:left="292" w:hanging="292"/>
        <w:spacing w:after="0"/>
        <w:tabs>
          <w:tab w:leader="none" w:pos="29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15855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6">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16" w:lineRule="exact"/>
        <w:rPr>
          <w:sz w:val="20"/>
          <w:szCs w:val="20"/>
          <w:color w:val="auto"/>
        </w:rPr>
      </w:pPr>
    </w:p>
    <w:p>
      <w:pPr>
        <w:ind w:left="-8" w:firstLine="8"/>
        <w:spacing w:after="0" w:line="261" w:lineRule="auto"/>
        <w:tabs>
          <w:tab w:leader="none" w:pos="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confidential information contained in this exhibit, marked by [***], has been omitted because it is both (1) not material and (2) is the type that the Company treats as private and confidential.</w:t>
      </w:r>
    </w:p>
    <w:p>
      <w:pPr>
        <w:spacing w:after="0" w:line="95" w:lineRule="exact"/>
        <w:rPr>
          <w:rFonts w:ascii="Times New Roman" w:cs="Times New Roman" w:eastAsia="Times New Roman" w:hAnsi="Times New Roman"/>
          <w:sz w:val="14"/>
          <w:szCs w:val="14"/>
          <w:color w:val="auto"/>
        </w:rPr>
      </w:pPr>
    </w:p>
    <w:p>
      <w:pPr>
        <w:ind w:left="292" w:hanging="292"/>
        <w:spacing w:after="0"/>
        <w:tabs>
          <w:tab w:leader="none" w:pos="29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with this registration statement on January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635635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registrant hereby undertakes:</w:t>
      </w:r>
    </w:p>
    <w:p>
      <w:pPr>
        <w:spacing w:after="0" w:line="225" w:lineRule="exact"/>
        <w:rPr>
          <w:sz w:val="20"/>
          <w:szCs w:val="20"/>
          <w:color w:val="auto"/>
        </w:rPr>
      </w:pPr>
    </w:p>
    <w:p>
      <w:pPr>
        <w:ind w:left="640" w:hanging="25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380" w:hanging="249"/>
        <w:spacing w:after="0"/>
        <w:tabs>
          <w:tab w:leader="none" w:pos="13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760" w:right="20" w:firstLine="371"/>
        <w:spacing w:after="0" w:line="255" w:lineRule="auto"/>
        <w:tabs>
          <w:tab w:leader="none" w:pos="138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760" w:right="240" w:firstLine="371"/>
        <w:spacing w:after="0" w:line="282" w:lineRule="auto"/>
        <w:tabs>
          <w:tab w:leader="none" w:pos="137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provided, however, that paragraphs (1)(a), (1)(b) and (1)(c) do not apply if the information required to be included in a post-effective amendment by those paragraphs is contained in reports filed with or furnished to the Commission by the registrant pursuant to Section 13 or 15(d) of the Exchange Act that are incorporated by reference in the registration statement.</w:t>
      </w:r>
    </w:p>
    <w:p>
      <w:pPr>
        <w:spacing w:after="0" w:line="176" w:lineRule="exact"/>
        <w:rPr>
          <w:sz w:val="20"/>
          <w:szCs w:val="20"/>
          <w:color w:val="auto"/>
        </w:rPr>
      </w:pPr>
    </w:p>
    <w:p>
      <w:pPr>
        <w:ind w:right="320" w:firstLine="382"/>
        <w:spacing w:after="0" w:line="266" w:lineRule="auto"/>
        <w:tabs>
          <w:tab w:leader="none" w:pos="62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382"/>
        <w:spacing w:after="0" w:line="282" w:lineRule="auto"/>
        <w:tabs>
          <w:tab w:leader="none" w:pos="62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right="20" w:firstLine="382"/>
        <w:spacing w:after="0" w:line="266" w:lineRule="auto"/>
        <w:tabs>
          <w:tab w:leader="none" w:pos="62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5" w:lineRule="exact"/>
        <w:rPr>
          <w:rFonts w:ascii="Times New Roman" w:cs="Times New Roman" w:eastAsia="Times New Roman" w:hAnsi="Times New Roman"/>
          <w:sz w:val="18"/>
          <w:szCs w:val="18"/>
          <w:color w:val="auto"/>
        </w:rPr>
      </w:pPr>
    </w:p>
    <w:p>
      <w:pPr>
        <w:ind w:right="40" w:firstLine="382"/>
        <w:spacing w:after="0" w:line="282" w:lineRule="auto"/>
        <w:tabs>
          <w:tab w:leader="none" w:pos="62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post-effective amendment that contains a form of prospectus shall be deemed to be a new registration statement relating to the securities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offered therein, and the offering of such securities at that time shall be deemed to be the initial bona fide offering thereof; and</w:t>
      </w:r>
    </w:p>
    <w:p>
      <w:pPr>
        <w:spacing w:after="0" w:line="225" w:lineRule="exact"/>
        <w:rPr>
          <w:sz w:val="20"/>
          <w:szCs w:val="20"/>
          <w:color w:val="auto"/>
        </w:rPr>
      </w:pPr>
    </w:p>
    <w:p>
      <w:pPr>
        <w:ind w:firstLine="382"/>
        <w:spacing w:after="0" w:line="261" w:lineRule="auto"/>
        <w:tabs>
          <w:tab w:leader="none" w:pos="62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right="220" w:firstLine="374"/>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Bothell, State of Washington, on March 31, 2026.</w:t>
      </w:r>
    </w:p>
    <w:p>
      <w:pPr>
        <w:spacing w:after="0" w:line="1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LEONABIO, INC.</w:t>
      </w:r>
    </w:p>
    <w:p>
      <w:pPr>
        <w:spacing w:after="0" w:line="227" w:lineRule="exact"/>
        <w:rPr>
          <w:sz w:val="20"/>
          <w:szCs w:val="20"/>
          <w:color w:val="auto"/>
        </w:rPr>
      </w:pPr>
    </w:p>
    <w:p>
      <w:pPr>
        <w:ind w:left="5840"/>
        <w:spacing w:after="0"/>
        <w:tabs>
          <w:tab w:leader="none" w:pos="6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Mark Litton</w:t>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-127635</wp:posOffset>
            </wp:positionV>
            <wp:extent cx="29057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0">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ind w:right="32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jc w:val="center"/>
              <w:ind w:right="711"/>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5"/>
                <w:szCs w:val="15"/>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520"/>
        </w:trPr>
        <w:tc>
          <w:tcPr>
            <w:tcW w:w="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731"/>
              <w:spacing w:after="0"/>
              <w:rPr>
                <w:sz w:val="20"/>
                <w:szCs w:val="20"/>
                <w:color w:val="auto"/>
              </w:rPr>
            </w:pPr>
            <w:r>
              <w:rPr>
                <w:rFonts w:ascii="Times New Roman" w:cs="Times New Roman" w:eastAsia="Times New Roman" w:hAnsi="Times New Roman"/>
                <w:sz w:val="18"/>
                <w:szCs w:val="18"/>
                <w:color w:val="auto"/>
              </w:rPr>
              <w:t>/s/ Mark Litton</w:t>
            </w:r>
          </w:p>
        </w:tc>
        <w:tc>
          <w:tcPr>
            <w:tcW w:w="2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28"/>
        </w:trPr>
        <w:tc>
          <w:tcPr>
            <w:tcW w:w="820" w:type="dxa"/>
            <w:vAlign w:val="bottom"/>
          </w:tcPr>
          <w:p>
            <w:pPr>
              <w:spacing w:after="0"/>
              <w:rPr>
                <w:sz w:val="19"/>
                <w:szCs w:val="19"/>
                <w:color w:val="auto"/>
              </w:rPr>
            </w:pPr>
          </w:p>
        </w:tc>
        <w:tc>
          <w:tcPr>
            <w:tcW w:w="2800" w:type="dxa"/>
            <w:vAlign w:val="bottom"/>
          </w:tcPr>
          <w:p>
            <w:pPr>
              <w:jc w:val="center"/>
              <w:ind w:right="731"/>
              <w:spacing w:after="0"/>
              <w:rPr>
                <w:sz w:val="20"/>
                <w:szCs w:val="20"/>
                <w:color w:val="auto"/>
              </w:rPr>
            </w:pPr>
            <w:r>
              <w:rPr>
                <w:rFonts w:ascii="Times New Roman" w:cs="Times New Roman" w:eastAsia="Times New Roman" w:hAnsi="Times New Roman"/>
                <w:sz w:val="18"/>
                <w:szCs w:val="18"/>
                <w:color w:val="auto"/>
                <w:w w:val="98"/>
              </w:rPr>
              <w:t>Mark Litton</w:t>
            </w:r>
          </w:p>
        </w:tc>
        <w:tc>
          <w:tcPr>
            <w:tcW w:w="2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4"/>
        </w:trPr>
        <w:tc>
          <w:tcPr>
            <w:tcW w:w="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731"/>
              <w:spacing w:after="0"/>
              <w:rPr>
                <w:sz w:val="20"/>
                <w:szCs w:val="20"/>
                <w:color w:val="auto"/>
              </w:rPr>
            </w:pPr>
            <w:r>
              <w:rPr>
                <w:rFonts w:ascii="Times New Roman" w:cs="Times New Roman" w:eastAsia="Times New Roman" w:hAnsi="Times New Roman"/>
                <w:sz w:val="18"/>
                <w:szCs w:val="18"/>
                <w:color w:val="auto"/>
                <w:w w:val="99"/>
              </w:rPr>
              <w:t>/s/ Robert Renninger</w:t>
            </w:r>
          </w:p>
        </w:tc>
        <w:tc>
          <w:tcPr>
            <w:tcW w:w="2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28"/>
        </w:trPr>
        <w:tc>
          <w:tcPr>
            <w:tcW w:w="820" w:type="dxa"/>
            <w:vAlign w:val="bottom"/>
          </w:tcPr>
          <w:p>
            <w:pPr>
              <w:spacing w:after="0"/>
              <w:rPr>
                <w:sz w:val="19"/>
                <w:szCs w:val="19"/>
                <w:color w:val="auto"/>
              </w:rPr>
            </w:pPr>
          </w:p>
        </w:tc>
        <w:tc>
          <w:tcPr>
            <w:tcW w:w="2800" w:type="dxa"/>
            <w:vAlign w:val="bottom"/>
          </w:tcPr>
          <w:p>
            <w:pPr>
              <w:jc w:val="center"/>
              <w:ind w:right="731"/>
              <w:spacing w:after="0"/>
              <w:rPr>
                <w:sz w:val="20"/>
                <w:szCs w:val="20"/>
                <w:color w:val="auto"/>
              </w:rPr>
            </w:pPr>
            <w:r>
              <w:rPr>
                <w:rFonts w:ascii="Times New Roman" w:cs="Times New Roman" w:eastAsia="Times New Roman" w:hAnsi="Times New Roman"/>
                <w:sz w:val="18"/>
                <w:szCs w:val="18"/>
                <w:color w:val="auto"/>
              </w:rPr>
              <w:t>Robert Renninger</w:t>
            </w:r>
          </w:p>
        </w:tc>
        <w:tc>
          <w:tcPr>
            <w:tcW w:w="2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4"/>
        </w:trPr>
        <w:tc>
          <w:tcPr>
            <w:tcW w:w="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7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Chairperson</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28"/>
        </w:trPr>
        <w:tc>
          <w:tcPr>
            <w:tcW w:w="820" w:type="dxa"/>
            <w:vAlign w:val="bottom"/>
          </w:tcPr>
          <w:p>
            <w:pPr>
              <w:spacing w:after="0"/>
              <w:rPr>
                <w:sz w:val="19"/>
                <w:szCs w:val="19"/>
                <w:color w:val="auto"/>
              </w:rPr>
            </w:pPr>
          </w:p>
        </w:tc>
        <w:tc>
          <w:tcPr>
            <w:tcW w:w="2800" w:type="dxa"/>
            <w:vAlign w:val="bottom"/>
          </w:tcPr>
          <w:p>
            <w:pPr>
              <w:jc w:val="center"/>
              <w:ind w:right="731"/>
              <w:spacing w:after="0"/>
              <w:rPr>
                <w:sz w:val="20"/>
                <w:szCs w:val="20"/>
                <w:color w:val="auto"/>
              </w:rPr>
            </w:pPr>
            <w:r>
              <w:rPr>
                <w:rFonts w:ascii="Times New Roman" w:cs="Times New Roman" w:eastAsia="Times New Roman" w:hAnsi="Times New Roman"/>
                <w:sz w:val="18"/>
                <w:szCs w:val="18"/>
                <w:color w:val="auto"/>
              </w:rPr>
              <w:t>Kelly Romano</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4"/>
        </w:trPr>
        <w:tc>
          <w:tcPr>
            <w:tcW w:w="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7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28"/>
        </w:trPr>
        <w:tc>
          <w:tcPr>
            <w:tcW w:w="820" w:type="dxa"/>
            <w:vAlign w:val="bottom"/>
          </w:tcPr>
          <w:p>
            <w:pPr>
              <w:spacing w:after="0"/>
              <w:rPr>
                <w:sz w:val="19"/>
                <w:szCs w:val="19"/>
                <w:color w:val="auto"/>
              </w:rPr>
            </w:pPr>
          </w:p>
        </w:tc>
        <w:tc>
          <w:tcPr>
            <w:tcW w:w="2800" w:type="dxa"/>
            <w:vAlign w:val="bottom"/>
          </w:tcPr>
          <w:p>
            <w:pPr>
              <w:jc w:val="center"/>
              <w:ind w:right="731"/>
              <w:spacing w:after="0"/>
              <w:rPr>
                <w:sz w:val="20"/>
                <w:szCs w:val="20"/>
                <w:color w:val="auto"/>
              </w:rPr>
            </w:pPr>
            <w:r>
              <w:rPr>
                <w:rFonts w:ascii="Times New Roman" w:cs="Times New Roman" w:eastAsia="Times New Roman" w:hAnsi="Times New Roman"/>
                <w:sz w:val="18"/>
                <w:szCs w:val="18"/>
                <w:color w:val="auto"/>
              </w:rPr>
              <w:t>Joseph Edelman</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4"/>
        </w:trPr>
        <w:tc>
          <w:tcPr>
            <w:tcW w:w="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7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28"/>
        </w:trPr>
        <w:tc>
          <w:tcPr>
            <w:tcW w:w="820" w:type="dxa"/>
            <w:vAlign w:val="bottom"/>
          </w:tcPr>
          <w:p>
            <w:pPr>
              <w:spacing w:after="0"/>
              <w:rPr>
                <w:sz w:val="19"/>
                <w:szCs w:val="19"/>
                <w:color w:val="auto"/>
              </w:rPr>
            </w:pPr>
          </w:p>
        </w:tc>
        <w:tc>
          <w:tcPr>
            <w:tcW w:w="2800" w:type="dxa"/>
            <w:vAlign w:val="bottom"/>
          </w:tcPr>
          <w:p>
            <w:pPr>
              <w:jc w:val="center"/>
              <w:ind w:right="731"/>
              <w:spacing w:after="0"/>
              <w:rPr>
                <w:sz w:val="20"/>
                <w:szCs w:val="20"/>
                <w:color w:val="auto"/>
              </w:rPr>
            </w:pPr>
            <w:r>
              <w:rPr>
                <w:rFonts w:ascii="Times New Roman" w:cs="Times New Roman" w:eastAsia="Times New Roman" w:hAnsi="Times New Roman"/>
                <w:sz w:val="18"/>
                <w:szCs w:val="18"/>
                <w:color w:val="auto"/>
                <w:w w:val="99"/>
              </w:rPr>
              <w:t>John Fluke, Jr.</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4"/>
        </w:trPr>
        <w:tc>
          <w:tcPr>
            <w:tcW w:w="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7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28"/>
        </w:trPr>
        <w:tc>
          <w:tcPr>
            <w:tcW w:w="820" w:type="dxa"/>
            <w:vAlign w:val="bottom"/>
          </w:tcPr>
          <w:p>
            <w:pPr>
              <w:spacing w:after="0"/>
              <w:rPr>
                <w:sz w:val="19"/>
                <w:szCs w:val="19"/>
                <w:color w:val="auto"/>
              </w:rPr>
            </w:pPr>
          </w:p>
        </w:tc>
        <w:tc>
          <w:tcPr>
            <w:tcW w:w="2800" w:type="dxa"/>
            <w:vAlign w:val="bottom"/>
          </w:tcPr>
          <w:p>
            <w:pPr>
              <w:jc w:val="center"/>
              <w:ind w:right="731"/>
              <w:spacing w:after="0"/>
              <w:rPr>
                <w:sz w:val="20"/>
                <w:szCs w:val="20"/>
                <w:color w:val="auto"/>
              </w:rPr>
            </w:pPr>
            <w:r>
              <w:rPr>
                <w:rFonts w:ascii="Times New Roman" w:cs="Times New Roman" w:eastAsia="Times New Roman" w:hAnsi="Times New Roman"/>
                <w:sz w:val="18"/>
                <w:szCs w:val="18"/>
                <w:color w:val="auto"/>
                <w:w w:val="98"/>
              </w:rPr>
              <w:t>James Johnson</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4"/>
        </w:trPr>
        <w:tc>
          <w:tcPr>
            <w:tcW w:w="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7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28"/>
        </w:trPr>
        <w:tc>
          <w:tcPr>
            <w:tcW w:w="820" w:type="dxa"/>
            <w:vAlign w:val="bottom"/>
          </w:tcPr>
          <w:p>
            <w:pPr>
              <w:spacing w:after="0"/>
              <w:rPr>
                <w:sz w:val="19"/>
                <w:szCs w:val="19"/>
                <w:color w:val="auto"/>
              </w:rPr>
            </w:pPr>
          </w:p>
        </w:tc>
        <w:tc>
          <w:tcPr>
            <w:tcW w:w="2800" w:type="dxa"/>
            <w:vAlign w:val="bottom"/>
          </w:tcPr>
          <w:p>
            <w:pPr>
              <w:jc w:val="center"/>
              <w:ind w:right="731"/>
              <w:spacing w:after="0"/>
              <w:rPr>
                <w:sz w:val="20"/>
                <w:szCs w:val="20"/>
                <w:color w:val="auto"/>
              </w:rPr>
            </w:pPr>
            <w:r>
              <w:rPr>
                <w:rFonts w:ascii="Times New Roman" w:cs="Times New Roman" w:eastAsia="Times New Roman" w:hAnsi="Times New Roman"/>
                <w:sz w:val="18"/>
                <w:szCs w:val="18"/>
                <w:color w:val="auto"/>
                <w:w w:val="99"/>
              </w:rPr>
              <w:t>Barbara Kosacz</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4"/>
        </w:trPr>
        <w:tc>
          <w:tcPr>
            <w:tcW w:w="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7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28"/>
        </w:trPr>
        <w:tc>
          <w:tcPr>
            <w:tcW w:w="820" w:type="dxa"/>
            <w:vAlign w:val="bottom"/>
          </w:tcPr>
          <w:p>
            <w:pPr>
              <w:spacing w:after="0"/>
              <w:rPr>
                <w:sz w:val="19"/>
                <w:szCs w:val="19"/>
                <w:color w:val="auto"/>
              </w:rPr>
            </w:pPr>
          </w:p>
        </w:tc>
        <w:tc>
          <w:tcPr>
            <w:tcW w:w="2800" w:type="dxa"/>
            <w:vAlign w:val="bottom"/>
          </w:tcPr>
          <w:p>
            <w:pPr>
              <w:jc w:val="center"/>
              <w:ind w:right="731"/>
              <w:spacing w:after="0"/>
              <w:rPr>
                <w:sz w:val="20"/>
                <w:szCs w:val="20"/>
                <w:color w:val="auto"/>
              </w:rPr>
            </w:pPr>
            <w:r>
              <w:rPr>
                <w:rFonts w:ascii="Times New Roman" w:cs="Times New Roman" w:eastAsia="Times New Roman" w:hAnsi="Times New Roman"/>
                <w:sz w:val="18"/>
                <w:szCs w:val="18"/>
                <w:color w:val="auto"/>
                <w:w w:val="99"/>
              </w:rPr>
              <w:t>Michael A. Panzara</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4"/>
        </w:trPr>
        <w:tc>
          <w:tcPr>
            <w:tcW w:w="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7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28"/>
        </w:trPr>
        <w:tc>
          <w:tcPr>
            <w:tcW w:w="820" w:type="dxa"/>
            <w:vAlign w:val="bottom"/>
          </w:tcPr>
          <w:p>
            <w:pPr>
              <w:spacing w:after="0"/>
              <w:rPr>
                <w:sz w:val="19"/>
                <w:szCs w:val="19"/>
                <w:color w:val="auto"/>
              </w:rPr>
            </w:pPr>
          </w:p>
        </w:tc>
        <w:tc>
          <w:tcPr>
            <w:tcW w:w="2800" w:type="dxa"/>
            <w:vAlign w:val="bottom"/>
          </w:tcPr>
          <w:p>
            <w:pPr>
              <w:jc w:val="center"/>
              <w:ind w:right="731"/>
              <w:spacing w:after="0"/>
              <w:rPr>
                <w:sz w:val="20"/>
                <w:szCs w:val="20"/>
                <w:color w:val="auto"/>
              </w:rPr>
            </w:pPr>
            <w:r>
              <w:rPr>
                <w:rFonts w:ascii="Times New Roman" w:cs="Times New Roman" w:eastAsia="Times New Roman" w:hAnsi="Times New Roman"/>
                <w:sz w:val="18"/>
                <w:szCs w:val="18"/>
                <w:color w:val="auto"/>
                <w:w w:val="99"/>
              </w:rPr>
              <w:t>Grant Pickering</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853"/>
        </w:trPr>
        <w:tc>
          <w:tcPr>
            <w:tcW w:w="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Mark Litton</w:t>
            </w: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98"/>
        </w:trPr>
        <w:tc>
          <w:tcPr>
            <w:tcW w:w="820" w:type="dxa"/>
            <w:vAlign w:val="bottom"/>
          </w:tcPr>
          <w:p>
            <w:pPr>
              <w:spacing w:after="0"/>
              <w:rPr>
                <w:sz w:val="17"/>
                <w:szCs w:val="17"/>
                <w:color w:val="auto"/>
              </w:rPr>
            </w:pPr>
          </w:p>
        </w:tc>
        <w:tc>
          <w:tcPr>
            <w:tcW w:w="2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Mark Litton</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34"/>
        </w:trPr>
        <w:tc>
          <w:tcPr>
            <w:tcW w:w="8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1627"/>
        </w:trPr>
        <w:tc>
          <w:tcPr>
            <w:tcW w:w="8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We consent to the reference to our firm under the caption "Experts" and to the use of our report dated March 31, 2026, in the Registration Statement (Form S-1) and related Prospectus of LeonaBio, Inc. dated March 31, 2026.</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Seattle, WA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lvl w:ilvl="1">
      <w:lvlJc w:val="left"/>
      <w:lvlText w:val="(%2)"/>
      <w:numFmt w:val="decimal"/>
      <w:start w:val="1"/>
    </w:lvl>
  </w:abstractNum>
  <w:abstractNum w:abstractNumId="4">
    <w:nsid w:val="3352255A"/>
    <w:multiLevelType w:val="hybridMultilevel"/>
    <w:lvl w:ilvl="0">
      <w:lvlJc w:val="left"/>
      <w:lvlText w:val="(%1)"/>
      <w:numFmt w:val="decimal"/>
      <w:start w:val="10"/>
    </w:lvl>
  </w:abstractNum>
  <w:abstractNum w:abstractNumId="5">
    <w:nsid w:val="109CF92E"/>
    <w:multiLevelType w:val="hybridMultilevel"/>
    <w:lvl w:ilvl="0">
      <w:lvlJc w:val="left"/>
      <w:lvlText w:val="(%1)"/>
      <w:numFmt w:val="decimal"/>
      <w:start w:val="2"/>
    </w:lvl>
  </w:abstractNum>
  <w:abstractNum w:abstractNumId="6">
    <w:nsid w:val="DED7263"/>
    <w:multiLevelType w:val="hybridMultilevel"/>
    <w:lvl w:ilvl="0">
      <w:lvlJc w:val="left"/>
      <w:lvlText w:val="(*)"/>
      <w:numFmt w:val="bullet"/>
      <w:start w:val="1"/>
    </w:lvl>
    <w:lvl w:ilvl="1">
      <w:lvlJc w:val="left"/>
      <w:lvlText w:val="(%2)"/>
      <w:numFmt w:val="decimal"/>
      <w:start w:val="1"/>
    </w:lvl>
  </w:abstractNum>
  <w:abstractNum w:abstractNumId="7">
    <w:nsid w:val="7FDCC233"/>
    <w:multiLevelType w:val="hybridMultilevel"/>
    <w:lvl w:ilvl="0">
      <w:lvlJc w:val="left"/>
      <w:lvlText w:val="(%1)"/>
      <w:numFmt w:val="decimal"/>
      <w:start w:val="3"/>
    </w:lvl>
  </w:abstractNum>
  <w:abstractNum w:abstractNumId="8">
    <w:nsid w:val="1BEFD79F"/>
    <w:multiLevelType w:val="hybridMultilevel"/>
    <w:lvl w:ilvl="0">
      <w:lvlJc w:val="left"/>
      <w:lvlText w:val="(%1)"/>
      <w:numFmt w:val="decimal"/>
      <w:start w:val="10"/>
    </w:lvl>
  </w:abstractNum>
  <w:abstractNum w:abstractNumId="9">
    <w:nsid w:val="41A7C4C9"/>
    <w:multiLevelType w:val="hybridMultilevel"/>
    <w:lvl w:ilvl="0">
      <w:lvlJc w:val="left"/>
      <w:lvlText w:val="(%1)"/>
      <w:numFmt w:val="decimal"/>
      <w:start w:val="16"/>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2"/>
    </w:lvl>
  </w:abstractNum>
  <w:abstractNum w:abstractNumId="20">
    <w:nsid w:val="628C895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jpe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91" Type="http://schemas.openxmlformats.org/officeDocument/2006/relationships/image" Target="media/image64.png"/><Relationship Id="rId110" Type="http://schemas.openxmlformats.org/officeDocument/2006/relationships/image" Target="media/image65.png"/><Relationship Id="rId112" Type="http://schemas.openxmlformats.org/officeDocument/2006/relationships/image" Target="media/image66.png"/><Relationship Id="rId113" Type="http://schemas.openxmlformats.org/officeDocument/2006/relationships/image" Target="media/image67.png"/><Relationship Id="rId115" Type="http://schemas.openxmlformats.org/officeDocument/2006/relationships/image" Target="media/image68.png"/><Relationship Id="rId116" Type="http://schemas.openxmlformats.org/officeDocument/2006/relationships/image" Target="media/image69.png"/><Relationship Id="rId117" Type="http://schemas.openxmlformats.org/officeDocument/2006/relationships/image" Target="media/image70.png"/><Relationship Id="rId119" Type="http://schemas.openxmlformats.org/officeDocument/2006/relationships/image" Target="media/image71.png"/><Relationship Id="rId120" Type="http://schemas.openxmlformats.org/officeDocument/2006/relationships/image" Target="media/image72.png"/><Relationship Id="rId122" Type="http://schemas.openxmlformats.org/officeDocument/2006/relationships/image" Target="media/image73.png"/><Relationship Id="rId123" Type="http://schemas.openxmlformats.org/officeDocument/2006/relationships/image" Target="media/image74.png"/><Relationship Id="rId124" Type="http://schemas.openxmlformats.org/officeDocument/2006/relationships/image" Target="media/image75.png"/><Relationship Id="rId126" Type="http://schemas.openxmlformats.org/officeDocument/2006/relationships/image" Target="media/image76.png"/><Relationship Id="rId128" Type="http://schemas.openxmlformats.org/officeDocument/2006/relationships/image" Target="media/image77.png"/><Relationship Id="rId130" Type="http://schemas.openxmlformats.org/officeDocument/2006/relationships/image" Target="media/image78.png"/><Relationship Id="rId131" Type="http://schemas.openxmlformats.org/officeDocument/2006/relationships/image" Target="media/image79.png"/><Relationship Id="rId133" Type="http://schemas.openxmlformats.org/officeDocument/2006/relationships/image" Target="media/image80.png"/><Relationship Id="rId135" Type="http://schemas.openxmlformats.org/officeDocument/2006/relationships/image" Target="media/image81.png"/><Relationship Id="rId136" Type="http://schemas.openxmlformats.org/officeDocument/2006/relationships/image" Target="media/image82.png"/><Relationship Id="rId137" Type="http://schemas.openxmlformats.org/officeDocument/2006/relationships/image" Target="media/image83.png"/><Relationship Id="rId139" Type="http://schemas.openxmlformats.org/officeDocument/2006/relationships/image" Target="media/image84.png"/><Relationship Id="rId140" Type="http://schemas.openxmlformats.org/officeDocument/2006/relationships/image" Target="media/image85.png"/><Relationship Id="rId142" Type="http://schemas.openxmlformats.org/officeDocument/2006/relationships/image" Target="media/image86.png"/><Relationship Id="rId143" Type="http://schemas.openxmlformats.org/officeDocument/2006/relationships/image" Target="media/image87.png"/><Relationship Id="rId145" Type="http://schemas.openxmlformats.org/officeDocument/2006/relationships/image" Target="media/image88.png"/><Relationship Id="rId146" Type="http://schemas.openxmlformats.org/officeDocument/2006/relationships/image" Target="media/image89.png"/><Relationship Id="rId148" Type="http://schemas.openxmlformats.org/officeDocument/2006/relationships/image" Target="media/image90.png"/><Relationship Id="rId149" Type="http://schemas.openxmlformats.org/officeDocument/2006/relationships/image" Target="media/image91.png"/><Relationship Id="rId151" Type="http://schemas.openxmlformats.org/officeDocument/2006/relationships/image" Target="media/image92.png"/><Relationship Id="rId152" Type="http://schemas.openxmlformats.org/officeDocument/2006/relationships/image" Target="media/image93.png"/><Relationship Id="rId153" Type="http://schemas.openxmlformats.org/officeDocument/2006/relationships/image" Target="media/image94.png"/><Relationship Id="rId156" Type="http://schemas.openxmlformats.org/officeDocument/2006/relationships/image" Target="media/image95.png"/><Relationship Id="rId157" Type="http://schemas.openxmlformats.org/officeDocument/2006/relationships/image" Target="media/image96.png"/><Relationship Id="rId158" Type="http://schemas.openxmlformats.org/officeDocument/2006/relationships/image" Target="media/image97.png"/><Relationship Id="rId159" Type="http://schemas.openxmlformats.org/officeDocument/2006/relationships/image" Target="media/image98.png"/><Relationship Id="rId160" Type="http://schemas.openxmlformats.org/officeDocument/2006/relationships/image" Target="media/image99.png"/><Relationship Id="rId161" Type="http://schemas.openxmlformats.org/officeDocument/2006/relationships/image" Target="media/image100.png"/><Relationship Id="rId162" Type="http://schemas.openxmlformats.org/officeDocument/2006/relationships/image" Target="media/image101.png"/><Relationship Id="rId163" Type="http://schemas.openxmlformats.org/officeDocument/2006/relationships/image" Target="media/image102.png"/><Relationship Id="rId29" Type="http://schemas.openxmlformats.org/officeDocument/2006/relationships/hyperlink" Target="https://www.sec.gov/ix?doc=/Archives/edgar/data/0001620463/000119312526134565/lona-20251231.htm#fact-identifier-14" TargetMode="External"/><Relationship Id="rId37" Type="http://schemas.openxmlformats.org/officeDocument/2006/relationships/hyperlink" Target="https://www.sec.gov/Archives/edgar/data/1620463/000119312526134565/lona-ex4_2.htm" TargetMode="External"/><Relationship Id="rId56" Type="http://schemas.openxmlformats.org/officeDocument/2006/relationships/hyperlink" Target="https://www.sec.gov/ix?doc=/Archives/edgar/data/0001620463/000119312526008904/atha-20260107.htm" TargetMode="External"/><Relationship Id="rId57" Type="http://schemas.openxmlformats.org/officeDocument/2006/relationships/hyperlink" Target="https://www.sec.gov/ix?doc=/Archives/edgar/data/0001620463/000119312526116123/lona-20260318.htm" TargetMode="External"/><Relationship Id="rId58" Type="http://schemas.openxmlformats.org/officeDocument/2006/relationships/hyperlink" Target="https://www.sec.gov/ix?doc=/Archives/edgar/data/0001620463/000119312526134097/lona-20251218.htm" TargetMode="External"/><Relationship Id="rId59" Type="http://schemas.openxmlformats.org/officeDocument/2006/relationships/hyperlink" Target="https://www.sec.gov/Archives/edgar/data/1620463/000095012320009608/atha-8a12b.htm" TargetMode="External"/><Relationship Id="rId77" Type="http://schemas.openxmlformats.org/officeDocument/2006/relationships/hyperlink" Target="https://www.sec.gov/Archives/edgar/data/1620463/000156459020053574/atha-ex31_153.htm" TargetMode="External"/><Relationship Id="rId78" Type="http://schemas.openxmlformats.org/officeDocument/2006/relationships/hyperlink" Target="https://www.sec.gov/Archives/edgar/data/1620463/000095017024065914/atha-ex3_1.htm" TargetMode="External"/><Relationship Id="rId79" Type="http://schemas.openxmlformats.org/officeDocument/2006/relationships/hyperlink" Target="https://www.sec.gov/Archives/edgar/data/1620463/000095017025114093/atha-ex3_1.htm" TargetMode="External"/><Relationship Id="rId80" Type="http://schemas.openxmlformats.org/officeDocument/2006/relationships/hyperlink" Target="https://www.sec.gov/Archives/edgar/data/1620463/000119312526008904/atha-ex3_1.htm" TargetMode="External"/><Relationship Id="rId81" Type="http://schemas.openxmlformats.org/officeDocument/2006/relationships/hyperlink" Target="https://www.sec.gov/Archives/edgar/data/1620463/000119312526116123/lona-ex3_1.htm" TargetMode="External"/><Relationship Id="rId82" Type="http://schemas.openxmlformats.org/officeDocument/2006/relationships/hyperlink" Target="https://www.sec.gov/Archives/edgar/data/1620463/000119312526008904/atha-ex3_2.htm" TargetMode="External"/><Relationship Id="rId83" Type="http://schemas.openxmlformats.org/officeDocument/2006/relationships/hyperlink" Target="https://www.sec.gov/Archives/edgar/data/1620463/000119312526016629/lona-ex4_1.htm" TargetMode="External"/><Relationship Id="rId84" Type="http://schemas.openxmlformats.org/officeDocument/2006/relationships/hyperlink" Target="https://www.sec.gov/Archives/edgar/data/1620463/000119312525323786/atha-ex4_1.htm" TargetMode="External"/><Relationship Id="rId85" Type="http://schemas.openxmlformats.org/officeDocument/2006/relationships/hyperlink" Target="https://www.sec.gov/Archives/edgar/data/1620463/000119312525323786/atha-ex4_2.htm" TargetMode="External"/><Relationship Id="rId86" Type="http://schemas.openxmlformats.org/officeDocument/2006/relationships/hyperlink" Target="https://www.sec.gov/Archives/edgar/data/1620463/000119312525323786/atha-ex4_3.htm" TargetMode="External"/><Relationship Id="rId87" Type="http://schemas.openxmlformats.org/officeDocument/2006/relationships/hyperlink" Target="https://www.sec.gov/Archives/edgar/data/1620463/000119312525323786/atha-ex4_4.htm" TargetMode="External"/><Relationship Id="rId88" Type="http://schemas.openxmlformats.org/officeDocument/2006/relationships/hyperlink" Target="https://www.sec.gov/Archives/edgar/data/1620463/000119312525323786/atha-ex4_5.htm" TargetMode="External"/><Relationship Id="rId89" Type="http://schemas.openxmlformats.org/officeDocument/2006/relationships/hyperlink" Target="https://www.sec.gov/Archives/edgar/data/1620463/000119312525323786/atha-ex4_6.htm" TargetMode="External"/><Relationship Id="rId90" Type="http://schemas.openxmlformats.org/officeDocument/2006/relationships/hyperlink" Target="https://www.sec.gov/Archives/edgar/data/1620463/000119312526016629/lona-ex5_1.htm" TargetMode="External"/><Relationship Id="rId92" Type="http://schemas.openxmlformats.org/officeDocument/2006/relationships/hyperlink" Target="https://www.sec.gov/Archives/edgar/data/1620463/000119312526134565/lona-ex10_1.htm" TargetMode="External"/><Relationship Id="rId93" Type="http://schemas.openxmlformats.org/officeDocument/2006/relationships/hyperlink" Target="https://www.sec.gov/Archives/edgar/data/1620463/000119312526134565/lona-ex10_2.htm" TargetMode="External"/><Relationship Id="rId94" Type="http://schemas.openxmlformats.org/officeDocument/2006/relationships/hyperlink" Target="https://www.sec.gov/Archives/edgar/data/1620463/000119312526134565/lona-ex10_3.htm" TargetMode="External"/><Relationship Id="rId95" Type="http://schemas.openxmlformats.org/officeDocument/2006/relationships/hyperlink" Target="https://www.sec.gov/Archives/edgar/data/1620463/000119312526134565/lona-ex10_4.htm" TargetMode="External"/><Relationship Id="rId96" Type="http://schemas.openxmlformats.org/officeDocument/2006/relationships/hyperlink" Target="https://www.sec.gov/Archives/edgar/data/1620463/000119312526134565/lona-ex10_5.htm" TargetMode="External"/><Relationship Id="rId97" Type="http://schemas.openxmlformats.org/officeDocument/2006/relationships/hyperlink" Target="https://www.sec.gov/Archives/edgar/data/1620463/000119312526134565/lona-ex10_6.htm" TargetMode="External"/><Relationship Id="rId98" Type="http://schemas.openxmlformats.org/officeDocument/2006/relationships/hyperlink" Target="https://www.sec.gov/Archives/edgar/data/1620463/000119312526134565/lona-ex10_7.htm" TargetMode="External"/><Relationship Id="rId99" Type="http://schemas.openxmlformats.org/officeDocument/2006/relationships/hyperlink" Target="https://www.sec.gov/Archives/edgar/data/1620463/000119312526116123/lona-ex10_1.htm" TargetMode="External"/><Relationship Id="rId100" Type="http://schemas.openxmlformats.org/officeDocument/2006/relationships/hyperlink" Target="https://www.sec.gov/Archives/edgar/data/1620463/000119312526116123/lona-ex10_2.htm" TargetMode="External"/><Relationship Id="rId101" Type="http://schemas.openxmlformats.org/officeDocument/2006/relationships/hyperlink" Target="https://www.sec.gov/Archives/edgar/data/1620463/000119312526116123/lona-ex10_3.htm" TargetMode="External"/><Relationship Id="rId102" Type="http://schemas.openxmlformats.org/officeDocument/2006/relationships/hyperlink" Target="https://www.sec.gov/Archives/edgar/data/1620463/000119312526116123/lona-ex10_4.htm" TargetMode="External"/><Relationship Id="rId103" Type="http://schemas.openxmlformats.org/officeDocument/2006/relationships/hyperlink" Target="https://www.sec.gov/Archives/edgar/data/1620463/000156459020042848/atha-ex1011_9.htm" TargetMode="External"/><Relationship Id="rId104" Type="http://schemas.openxmlformats.org/officeDocument/2006/relationships/hyperlink" Target="https://www.sec.gov/Archives/edgar/data/1620463/000119312526134565/lona-ex10_13.htm" TargetMode="External"/><Relationship Id="rId105" Type="http://schemas.openxmlformats.org/officeDocument/2006/relationships/hyperlink" Target="https://www.sec.gov/Archives/edgar/data/1620463/000119312526134565/lona-ex10_14.htm" TargetMode="External"/><Relationship Id="rId106" Type="http://schemas.openxmlformats.org/officeDocument/2006/relationships/hyperlink" Target="https://www.sec.gov/Archives/edgar/data/1620463/000156459020042848/atha-ex1015_534.htm" TargetMode="External"/><Relationship Id="rId107" Type="http://schemas.openxmlformats.org/officeDocument/2006/relationships/hyperlink" Target="https://www.sec.gov/Archives/edgar/data/1620463/000156459020042848/atha-ex1016_533.htm" TargetMode="External"/><Relationship Id="rId108" Type="http://schemas.openxmlformats.org/officeDocument/2006/relationships/hyperlink" Target="https://www.sec.gov/Archives/edgar/data/1620463/000119312522023358/d290928dex101.htm" TargetMode="External"/><Relationship Id="rId109" Type="http://schemas.openxmlformats.org/officeDocument/2006/relationships/hyperlink" Target="https://www.sec.gov/Archives/edgar/data/1620463/000156459021044641/atha-ex103_70.htm" TargetMode="External"/><Relationship Id="rId111" Type="http://schemas.openxmlformats.org/officeDocument/2006/relationships/hyperlink" Target="https://www.sec.gov/Archives/edgar/data/1620463/000156459021044641/atha-ex104_69.htm" TargetMode="External"/><Relationship Id="rId114" Type="http://schemas.openxmlformats.org/officeDocument/2006/relationships/hyperlink" Target="https://www.sec.gov/Archives/edgar/data/1620463/000156459021044641/atha-ex105_68.htm" TargetMode="External"/><Relationship Id="rId118" Type="http://schemas.openxmlformats.org/officeDocument/2006/relationships/hyperlink" Target="https://www.sec.gov/Archives/edgar/data/1620463/000095017022004782/atha-ex10_28.htm" TargetMode="External"/><Relationship Id="rId121" Type="http://schemas.openxmlformats.org/officeDocument/2006/relationships/hyperlink" Target="https://www.sec.gov/Archives/edgar/data/1620463/000095017023000364/atha-ex1_1.htm" TargetMode="External"/><Relationship Id="rId125" Type="http://schemas.openxmlformats.org/officeDocument/2006/relationships/hyperlink" Target="https://www.sec.gov/Archives/edgar/data/1620463/000119312526134565/lona-ex10_23.htm" TargetMode="External"/><Relationship Id="rId127" Type="http://schemas.openxmlformats.org/officeDocument/2006/relationships/hyperlink" Target="https://www.sec.gov/Archives/edgar/data/1620463/000095017024094738/atha-ex10_1.htm" TargetMode="External"/><Relationship Id="rId129" Type="http://schemas.openxmlformats.org/officeDocument/2006/relationships/hyperlink" Target="https://www.sec.gov/Archives/edgar/data/1620463/000095017024094738/atha-ex10_2.htm" TargetMode="External"/><Relationship Id="rId132" Type="http://schemas.openxmlformats.org/officeDocument/2006/relationships/hyperlink" Target="https://www.sec.gov/Archives/edgar/data/1620463/000095017024107031/atha-ex10_1.htm" TargetMode="External"/><Relationship Id="rId134" Type="http://schemas.openxmlformats.org/officeDocument/2006/relationships/hyperlink" Target="https://www.sec.gov/Archives/edgar/data/1620463/000119312526008904/atha-ex10_1.htm" TargetMode="External"/><Relationship Id="rId138" Type="http://schemas.openxmlformats.org/officeDocument/2006/relationships/hyperlink" Target="https://www.sec.gov/Archives/edgar/data/1620463/000119312526134097/lona-ex2_1.htm" TargetMode="External"/><Relationship Id="rId141" Type="http://schemas.openxmlformats.org/officeDocument/2006/relationships/hyperlink" Target="https://www.sec.gov/Archives/edgar/data/1620463/000119312526134565/lona-ex10_29.htm" TargetMode="External"/><Relationship Id="rId144" Type="http://schemas.openxmlformats.org/officeDocument/2006/relationships/hyperlink" Target="https://www.sec.gov/Archives/edgar/data/1620463/000119312525323786/atha-ex10_1.htm" TargetMode="External"/><Relationship Id="rId147" Type="http://schemas.openxmlformats.org/officeDocument/2006/relationships/hyperlink" Target="https://www.sec.gov/Archives/edgar/data/1620463/000119312525323786/atha-ex10_2.htm" TargetMode="External"/><Relationship Id="rId150" Type="http://schemas.openxmlformats.org/officeDocument/2006/relationships/hyperlink" Target="https://www.sec.gov/Archives/edgar/data/1620463/000156459020042848/atha-ex211_15.htm" TargetMode="External"/><Relationship Id="rId154" Type="http://schemas.openxmlformats.org/officeDocument/2006/relationships/hyperlink" Target="https://www.sec.gov/Archives/edgar/data/1620463/000119312526016629/lona-20260120.htm" TargetMode="External"/><Relationship Id="rId155" Type="http://schemas.openxmlformats.org/officeDocument/2006/relationships/hyperlink" Target="https://www.sec.gov/Archives/edgar/data/1620463/000119312526016629/lona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2026-03-31T16:23:55Z</dcterms:created>
  <dcterms:modified xsi:type="dcterms:W3CDTF">2026-03-31T16:23:55Z</dcterms:modified>
</cp:coreProperties>
</file>