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408940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UNITED STATES</w:t>
      </w:r>
    </w:p>
    <w:p>
      <w:pPr>
        <w:spacing w:after="0" w:line="43"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SECURITIES AND EXCHANGE COMMISSION</w:t>
      </w:r>
    </w:p>
    <w:p>
      <w:pPr>
        <w:spacing w:after="0" w:line="77"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Washington, D.C. 20549</w:t>
      </w:r>
    </w:p>
    <w:p>
      <w:pPr>
        <w:spacing w:after="0" w:line="14" w:lineRule="exact"/>
        <w:rPr>
          <w:sz w:val="24"/>
          <w:szCs w:val="24"/>
          <w:color w:val="auto"/>
        </w:rPr>
      </w:pPr>
    </w:p>
    <w:p>
      <w:pPr>
        <w:ind w:left="5420"/>
        <w:spacing w:after="0"/>
        <w:rPr>
          <w:sz w:val="20"/>
          <w:szCs w:val="20"/>
          <w:color w:val="auto"/>
        </w:rPr>
      </w:pPr>
      <w:r>
        <w:rPr>
          <w:rFonts w:ascii="Arial" w:cs="Arial" w:eastAsia="Arial" w:hAnsi="Arial"/>
          <w:sz w:val="18"/>
          <w:szCs w:val="18"/>
          <w:b w:val="1"/>
          <w:bCs w:val="1"/>
          <w:color w:val="auto"/>
        </w:rPr>
        <w:t> </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SCHEDULE 14A</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(Rule 14A-101)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408940</wp:posOffset>
            </wp:positionH>
            <wp:positionV relativeFrom="paragraph">
              <wp:posOffset>27940</wp:posOffset>
            </wp:positionV>
            <wp:extent cx="6172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26"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EXCHANGE ACT OF 1934</w:t>
      </w:r>
    </w:p>
    <w:p>
      <w:pPr>
        <w:spacing w:after="0" w:line="82" w:lineRule="exact"/>
        <w:rPr>
          <w:sz w:val="24"/>
          <w:szCs w:val="24"/>
          <w:color w:val="auto"/>
        </w:rPr>
      </w:pPr>
    </w:p>
    <w:p>
      <w:pPr>
        <w:ind w:left="640"/>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53" w:lineRule="exact"/>
        <w:rPr>
          <w:sz w:val="24"/>
          <w:szCs w:val="24"/>
          <w:color w:val="auto"/>
        </w:rPr>
      </w:pPr>
    </w:p>
    <w:p>
      <w:pPr>
        <w:ind w:left="640"/>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2" w:lineRule="exact"/>
        <w:rPr>
          <w:sz w:val="24"/>
          <w:szCs w:val="24"/>
          <w:color w:val="auto"/>
        </w:rPr>
      </w:pPr>
    </w:p>
    <w:p>
      <w:pPr>
        <w:ind w:left="640"/>
        <w:spacing w:after="0"/>
        <w:rPr>
          <w:sz w:val="20"/>
          <w:szCs w:val="20"/>
          <w:color w:val="auto"/>
        </w:rPr>
      </w:pPr>
      <w:r>
        <w:rPr>
          <w:rFonts w:ascii="Arial" w:cs="Arial" w:eastAsia="Arial" w:hAnsi="Arial"/>
          <w:sz w:val="16"/>
          <w:szCs w:val="16"/>
          <w:color w:val="auto"/>
        </w:rPr>
        <w:t>Check the appropriate box:</w:t>
      </w:r>
    </w:p>
    <w:p>
      <w:pPr>
        <w:spacing w:after="0" w:line="102" w:lineRule="exact"/>
        <w:rPr>
          <w:sz w:val="24"/>
          <w:szCs w:val="24"/>
          <w:color w:val="auto"/>
        </w:rPr>
      </w:pPr>
    </w:p>
    <w:tbl>
      <w:tblPr>
        <w:tblLayout w:type="fixed"/>
        <w:tblInd w:w="640" w:type="dxa"/>
        <w:tblCellMar>
          <w:top w:w="0" w:type="dxa"/>
          <w:left w:w="0" w:type="dxa"/>
          <w:bottom w:w="0" w:type="dxa"/>
          <w:right w:w="0" w:type="dxa"/>
        </w:tblCellMar>
      </w:tblPr>
      <w:tr>
        <w:trPr>
          <w:trHeight w:val="272"/>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320" w:type="dxa"/>
            <w:vAlign w:val="bottom"/>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6160" w:type="dxa"/>
            <w:vAlign w:val="bottom"/>
          </w:tcPr>
          <w:p>
            <w:pPr>
              <w:ind w:left="60"/>
              <w:spacing w:after="0"/>
              <w:rPr>
                <w:sz w:val="20"/>
                <w:szCs w:val="20"/>
                <w:color w:val="auto"/>
              </w:rPr>
            </w:pPr>
            <w:r>
              <w:rPr>
                <w:rFonts w:ascii="Arial" w:cs="Arial" w:eastAsia="Arial" w:hAnsi="Arial"/>
                <w:sz w:val="16"/>
                <w:szCs w:val="16"/>
                <w:color w:val="auto"/>
              </w:rPr>
              <w:t>Preliminary Proxy Statement</w:t>
            </w:r>
          </w:p>
        </w:tc>
      </w:tr>
      <w:tr>
        <w:trPr>
          <w:trHeight w:val="283"/>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320" w:type="dxa"/>
            <w:vAlign w:val="bottom"/>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p>
        </w:tc>
        <w:tc>
          <w:tcPr>
            <w:tcW w:w="6320" w:type="dxa"/>
            <w:vAlign w:val="bottom"/>
            <w:gridSpan w:val="2"/>
          </w:tcPr>
          <w:p>
            <w:pPr>
              <w:ind w:left="60"/>
              <w:spacing w:after="0"/>
              <w:rPr>
                <w:sz w:val="20"/>
                <w:szCs w:val="20"/>
                <w:color w:val="auto"/>
              </w:rPr>
            </w:pPr>
            <w:r>
              <w:rPr>
                <w:rFonts w:ascii="Arial" w:cs="Arial" w:eastAsia="Arial" w:hAnsi="Arial"/>
                <w:sz w:val="16"/>
                <w:szCs w:val="16"/>
                <w:color w:val="auto"/>
                <w:w w:val="99"/>
              </w:rPr>
              <w:t xml:space="preserve">   </w:t>
            </w:r>
            <w:r>
              <w:rPr>
                <w:rFonts w:ascii="Arial" w:cs="Arial" w:eastAsia="Arial" w:hAnsi="Arial"/>
                <w:sz w:val="16"/>
                <w:szCs w:val="16"/>
                <w:b w:val="1"/>
                <w:bCs w:val="1"/>
                <w:color w:val="auto"/>
                <w:w w:val="99"/>
              </w:rPr>
              <w:t>Confidential, for Use of the Commission Only (as permitted by Rule 14a-6(e)(2))</w:t>
            </w:r>
          </w:p>
        </w:tc>
      </w:tr>
      <w:tr>
        <w:trPr>
          <w:trHeight w:val="311"/>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320" w:type="dxa"/>
            <w:vAlign w:val="bottom"/>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6160" w:type="dxa"/>
            <w:vAlign w:val="bottom"/>
          </w:tcPr>
          <w:p>
            <w:pPr>
              <w:ind w:left="60"/>
              <w:spacing w:after="0"/>
              <w:rPr>
                <w:sz w:val="20"/>
                <w:szCs w:val="20"/>
                <w:color w:val="auto"/>
              </w:rPr>
            </w:pPr>
            <w:r>
              <w:rPr>
                <w:rFonts w:ascii="Arial" w:cs="Arial" w:eastAsia="Arial" w:hAnsi="Arial"/>
                <w:sz w:val="16"/>
                <w:szCs w:val="16"/>
                <w:color w:val="auto"/>
              </w:rPr>
              <w:t>Definitive Proxy Statement</w:t>
            </w:r>
          </w:p>
        </w:tc>
      </w:tr>
      <w:tr>
        <w:trPr>
          <w:trHeight w:val="297"/>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320" w:type="dxa"/>
            <w:vAlign w:val="bottom"/>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6160" w:type="dxa"/>
            <w:vAlign w:val="bottom"/>
          </w:tcPr>
          <w:p>
            <w:pPr>
              <w:ind w:left="60"/>
              <w:spacing w:after="0"/>
              <w:rPr>
                <w:sz w:val="20"/>
                <w:szCs w:val="20"/>
                <w:color w:val="auto"/>
              </w:rPr>
            </w:pPr>
            <w:r>
              <w:rPr>
                <w:rFonts w:ascii="Arial" w:cs="Arial" w:eastAsia="Arial" w:hAnsi="Arial"/>
                <w:sz w:val="16"/>
                <w:szCs w:val="16"/>
                <w:color w:val="auto"/>
              </w:rPr>
              <w:t>Definitive Additional Materials</w:t>
            </w:r>
          </w:p>
        </w:tc>
      </w:tr>
      <w:tr>
        <w:trPr>
          <w:trHeight w:val="297"/>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320" w:type="dxa"/>
            <w:vAlign w:val="bottom"/>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p>
        </w:tc>
        <w:tc>
          <w:tcPr>
            <w:tcW w:w="6320" w:type="dxa"/>
            <w:vAlign w:val="bottom"/>
            <w:gridSpan w:val="2"/>
          </w:tcPr>
          <w:p>
            <w:pPr>
              <w:ind w:left="60"/>
              <w:spacing w:after="0"/>
              <w:rPr>
                <w:sz w:val="20"/>
                <w:szCs w:val="20"/>
                <w:color w:val="auto"/>
              </w:rPr>
            </w:pPr>
            <w:r>
              <w:rPr>
                <w:rFonts w:ascii="Arial" w:cs="Arial" w:eastAsia="Arial" w:hAnsi="Arial"/>
                <w:sz w:val="16"/>
                <w:szCs w:val="16"/>
                <w:color w:val="auto"/>
              </w:rPr>
              <w:t>   Soliciting Material under §240.14a-12</w:t>
            </w:r>
          </w:p>
        </w:tc>
      </w:tr>
    </w:tbl>
    <w:p>
      <w:pPr>
        <w:spacing w:after="0" w:line="190" w:lineRule="exact"/>
        <w:rPr>
          <w:sz w:val="24"/>
          <w:szCs w:val="24"/>
          <w:color w:val="auto"/>
        </w:rPr>
      </w:pPr>
    </w:p>
    <w:p>
      <w:pPr>
        <w:jc w:val="center"/>
        <w:ind w:right="80"/>
        <w:spacing w:after="0"/>
        <w:rPr>
          <w:sz w:val="20"/>
          <w:szCs w:val="20"/>
          <w:color w:val="auto"/>
        </w:rPr>
      </w:pPr>
      <w:r>
        <w:rPr>
          <w:rFonts w:ascii="Arial" w:cs="Arial" w:eastAsia="Arial" w:hAnsi="Arial"/>
          <w:sz w:val="23"/>
          <w:szCs w:val="23"/>
          <w:b w:val="1"/>
          <w:bCs w:val="1"/>
          <w:color w:val="auto"/>
        </w:rPr>
        <w:t>ATHIRA PHARMA,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408940</wp:posOffset>
            </wp:positionH>
            <wp:positionV relativeFrom="paragraph">
              <wp:posOffset>41910</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300" w:type="dxa"/>
            <w:vAlign w:val="bottom"/>
          </w:tcPr>
          <w:p>
            <w:pPr>
              <w:ind w:left="1060"/>
              <w:spacing w:after="0"/>
              <w:rPr>
                <w:sz w:val="20"/>
                <w:szCs w:val="20"/>
                <w:color w:val="auto"/>
              </w:rPr>
            </w:pPr>
            <w:r>
              <w:rPr>
                <w:rFonts w:ascii="Arial" w:cs="Arial" w:eastAsia="Arial" w:hAnsi="Arial"/>
                <w:sz w:val="16"/>
                <w:szCs w:val="16"/>
                <w:b w:val="1"/>
                <w:bCs w:val="1"/>
                <w:color w:val="auto"/>
              </w:rPr>
              <w:t>(Name of Registrant as Specified in its Charter)</w:t>
            </w:r>
          </w:p>
        </w:tc>
        <w:tc>
          <w:tcPr>
            <w:tcW w:w="660" w:type="dxa"/>
            <w:vAlign w:val="bottom"/>
          </w:tcPr>
          <w:p>
            <w:pPr>
              <w:spacing w:after="0"/>
              <w:rPr>
                <w:sz w:val="19"/>
                <w:szCs w:val="19"/>
                <w:color w:val="auto"/>
              </w:rPr>
            </w:pPr>
          </w:p>
        </w:tc>
      </w:tr>
      <w:tr>
        <w:trPr>
          <w:trHeight w:val="21"/>
        </w:trPr>
        <w:tc>
          <w:tcPr>
            <w:tcW w:w="640" w:type="dxa"/>
            <w:vAlign w:val="bottom"/>
          </w:tcPr>
          <w:p>
            <w:pPr>
              <w:spacing w:after="0" w:line="20" w:lineRule="exact"/>
              <w:rPr>
                <w:sz w:val="1"/>
                <w:szCs w:val="1"/>
                <w:color w:val="auto"/>
              </w:rPr>
            </w:pPr>
          </w:p>
        </w:tc>
        <w:tc>
          <w:tcPr>
            <w:tcW w:w="9720" w:type="dxa"/>
            <w:vAlign w:val="bottom"/>
            <w:tcBorders>
              <w:bottom w:val="single" w:sz="8" w:color="auto"/>
            </w:tcBorders>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9"/>
        </w:trPr>
        <w:tc>
          <w:tcPr>
            <w:tcW w:w="640" w:type="dxa"/>
            <w:vAlign w:val="bottom"/>
          </w:tcPr>
          <w:p>
            <w:pPr>
              <w:spacing w:after="0"/>
              <w:rPr>
                <w:sz w:val="19"/>
                <w:szCs w:val="19"/>
                <w:color w:val="auto"/>
              </w:rPr>
            </w:pPr>
          </w:p>
        </w:tc>
        <w:tc>
          <w:tcPr>
            <w:tcW w:w="9720" w:type="dxa"/>
            <w:vAlign w:val="bottom"/>
            <w:gridSpan w:val="3"/>
          </w:tcPr>
          <w:p>
            <w:pPr>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tc>
        <w:tc>
          <w:tcPr>
            <w:tcW w:w="660" w:type="dxa"/>
            <w:vAlign w:val="bottom"/>
          </w:tcPr>
          <w:p>
            <w:pPr>
              <w:spacing w:after="0"/>
              <w:rPr>
                <w:sz w:val="19"/>
                <w:szCs w:val="19"/>
                <w:color w:val="auto"/>
              </w:rPr>
            </w:pPr>
          </w:p>
        </w:tc>
      </w:tr>
      <w:tr>
        <w:trPr>
          <w:trHeight w:val="343"/>
        </w:trPr>
        <w:tc>
          <w:tcPr>
            <w:tcW w:w="640" w:type="dxa"/>
            <w:vAlign w:val="bottom"/>
          </w:tcPr>
          <w:p>
            <w:pPr>
              <w:spacing w:after="0"/>
              <w:rPr>
                <w:sz w:val="24"/>
                <w:szCs w:val="24"/>
                <w:color w:val="auto"/>
              </w:rPr>
            </w:pPr>
          </w:p>
        </w:tc>
        <w:tc>
          <w:tcPr>
            <w:tcW w:w="9720" w:type="dxa"/>
            <w:vAlign w:val="bottom"/>
            <w:gridSpan w:val="3"/>
          </w:tcPr>
          <w:p>
            <w:pPr>
              <w:spacing w:after="0"/>
              <w:rPr>
                <w:sz w:val="20"/>
                <w:szCs w:val="20"/>
                <w:color w:val="auto"/>
              </w:rPr>
            </w:pPr>
            <w:r>
              <w:rPr>
                <w:rFonts w:ascii="Arial" w:cs="Arial" w:eastAsia="Arial" w:hAnsi="Arial"/>
                <w:sz w:val="16"/>
                <w:szCs w:val="16"/>
                <w:color w:val="auto"/>
              </w:rPr>
              <w:t>Payment of Filing Fee (Check all boxes that apply):</w:t>
            </w:r>
          </w:p>
        </w:tc>
        <w:tc>
          <w:tcPr>
            <w:tcW w:w="660" w:type="dxa"/>
            <w:vAlign w:val="bottom"/>
          </w:tcPr>
          <w:p>
            <w:pPr>
              <w:spacing w:after="0"/>
              <w:rPr>
                <w:sz w:val="24"/>
                <w:szCs w:val="24"/>
                <w:color w:val="auto"/>
              </w:rPr>
            </w:pPr>
          </w:p>
        </w:tc>
      </w:tr>
      <w:tr>
        <w:trPr>
          <w:trHeight w:val="360"/>
        </w:trPr>
        <w:tc>
          <w:tcPr>
            <w:tcW w:w="6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320" w:type="dxa"/>
            <w:vAlign w:val="bottom"/>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p>
        </w:tc>
        <w:tc>
          <w:tcPr>
            <w:tcW w:w="9300" w:type="dxa"/>
            <w:vAlign w:val="bottom"/>
          </w:tcPr>
          <w:p>
            <w:pPr>
              <w:ind w:left="60"/>
              <w:spacing w:after="0"/>
              <w:rPr>
                <w:sz w:val="20"/>
                <w:szCs w:val="20"/>
                <w:color w:val="auto"/>
              </w:rPr>
            </w:pPr>
            <w:r>
              <w:rPr>
                <w:rFonts w:ascii="Arial" w:cs="Arial" w:eastAsia="Arial" w:hAnsi="Arial"/>
                <w:sz w:val="16"/>
                <w:szCs w:val="16"/>
                <w:color w:val="auto"/>
              </w:rPr>
              <w:t>   No fee required</w:t>
            </w:r>
          </w:p>
        </w:tc>
        <w:tc>
          <w:tcPr>
            <w:tcW w:w="660" w:type="dxa"/>
            <w:vAlign w:val="bottom"/>
          </w:tcPr>
          <w:p>
            <w:pPr>
              <w:spacing w:after="0"/>
              <w:rPr>
                <w:sz w:val="24"/>
                <w:szCs w:val="24"/>
                <w:color w:val="auto"/>
              </w:rPr>
            </w:pPr>
          </w:p>
        </w:tc>
      </w:tr>
      <w:tr>
        <w:trPr>
          <w:trHeight w:val="283"/>
        </w:trPr>
        <w:tc>
          <w:tcPr>
            <w:tcW w:w="6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320" w:type="dxa"/>
            <w:vAlign w:val="bottom"/>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p>
        </w:tc>
        <w:tc>
          <w:tcPr>
            <w:tcW w:w="9300" w:type="dxa"/>
            <w:vAlign w:val="bottom"/>
          </w:tcPr>
          <w:p>
            <w:pPr>
              <w:ind w:left="60"/>
              <w:spacing w:after="0"/>
              <w:rPr>
                <w:sz w:val="20"/>
                <w:szCs w:val="20"/>
                <w:color w:val="auto"/>
              </w:rPr>
            </w:pPr>
            <w:r>
              <w:rPr>
                <w:rFonts w:ascii="Arial" w:cs="Arial" w:eastAsia="Arial" w:hAnsi="Arial"/>
                <w:sz w:val="16"/>
                <w:szCs w:val="16"/>
                <w:color w:val="auto"/>
              </w:rPr>
              <w:t>   Fee paid previously with preliminary materials</w:t>
            </w:r>
          </w:p>
        </w:tc>
        <w:tc>
          <w:tcPr>
            <w:tcW w:w="660" w:type="dxa"/>
            <w:vAlign w:val="bottom"/>
          </w:tcPr>
          <w:p>
            <w:pPr>
              <w:spacing w:after="0"/>
              <w:rPr>
                <w:sz w:val="24"/>
                <w:szCs w:val="24"/>
                <w:color w:val="auto"/>
              </w:rPr>
            </w:pPr>
          </w:p>
        </w:tc>
      </w:tr>
      <w:tr>
        <w:trPr>
          <w:trHeight w:val="310"/>
        </w:trPr>
        <w:tc>
          <w:tcPr>
            <w:tcW w:w="6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320" w:type="dxa"/>
            <w:vAlign w:val="bottom"/>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t>
            </w:r>
          </w:p>
        </w:tc>
        <w:tc>
          <w:tcPr>
            <w:tcW w:w="9300" w:type="dxa"/>
            <w:vAlign w:val="bottom"/>
          </w:tcPr>
          <w:p>
            <w:pPr>
              <w:ind w:left="60"/>
              <w:spacing w:after="0"/>
              <w:rPr>
                <w:sz w:val="20"/>
                <w:szCs w:val="20"/>
                <w:color w:val="auto"/>
              </w:rPr>
            </w:pPr>
            <w:r>
              <w:rPr>
                <w:rFonts w:ascii="Arial" w:cs="Arial" w:eastAsia="Arial" w:hAnsi="Arial"/>
                <w:sz w:val="16"/>
                <w:szCs w:val="16"/>
                <w:color w:val="auto"/>
              </w:rPr>
              <w:t>   Fee computed on table in exhibit required by Item 25(b) per Exchange Act Rules 14a-6(i)(1) and 0-11</w:t>
            </w:r>
          </w:p>
        </w:tc>
        <w:tc>
          <w:tcPr>
            <w:tcW w:w="66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300" w:type="dxa"/>
            <w:vAlign w:val="bottom"/>
            <w:tcBorders>
              <w:bottom w:val="single" w:sz="8" w:color="auto"/>
            </w:tcBorders>
          </w:tcPr>
          <w:p>
            <w:pPr>
              <w:spacing w:after="0"/>
              <w:rPr>
                <w:sz w:val="17"/>
                <w:szCs w:val="17"/>
                <w:color w:val="auto"/>
              </w:rPr>
            </w:pPr>
          </w:p>
        </w:tc>
        <w:tc>
          <w:tcPr>
            <w:tcW w:w="660" w:type="dxa"/>
            <w:vAlign w:val="bottom"/>
          </w:tcPr>
          <w:p>
            <w:pPr>
              <w:spacing w:after="0"/>
              <w:rPr>
                <w:sz w:val="17"/>
                <w:szCs w:val="17"/>
                <w:color w:val="auto"/>
              </w:rPr>
            </w:pPr>
          </w:p>
        </w:tc>
      </w:tr>
      <w:tr>
        <w:trPr>
          <w:trHeight w:val="82"/>
        </w:trPr>
        <w:tc>
          <w:tcPr>
            <w:tcW w:w="6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930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r>
      <w:tr>
        <w:trPr>
          <w:trHeight w:val="183"/>
        </w:trPr>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23"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119380</wp:posOffset>
            </wp:positionV>
            <wp:extent cx="6720840" cy="9043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20840" cy="9043670"/>
                    </a:xfrm>
                    <a:prstGeom prst="rect">
                      <a:avLst/>
                    </a:prstGeom>
                    <a:noFill/>
                  </pic:spPr>
                </pic:pic>
              </a:graphicData>
            </a:graphic>
          </wp:anchor>
        </w:drawing>
      </w:r>
    </w:p>
    <w:p>
      <w:pPr>
        <w:sectPr>
          <w:pgSz w:w="11900" w:h="16838" w:orient="portrait"/>
          <w:cols w:equalWidth="0" w:num="1">
            <w:col w:w="10019"/>
          </w:cols>
          <w:pgMar w:left="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19"/>
          </w:cols>
          <w:pgMar w:left="440" w:top="263"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FF0000"/>
        </w:rPr>
        <w:t>PRELIMINARY PROXY MATERIALS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368935</wp:posOffset>
            </wp:positionV>
            <wp:extent cx="1337310" cy="651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3731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April [•], 2024</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Dear Fellow Stockholders:</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are pleased to invite you to attend the 2024 annual meeting of stockholders (together with any postponement, adjournments or other delays thereof, the “Annual Meeting”) of Athira Pharma, Inc. (the “Company”). The Annual Meeting will be held on May 23, 2024, at 8:00 a.m., Pacific Time. The annual meeting will be conducted virtually via live audio webcast. You will be able to attend the annual meeting virtually by visiting www.virtualshareholdermeeting.com/ATHA2024, where you will be able to listen to the meeting live, submit questions and vote online.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attached formal meeting notice and proxy statement contain details of the business to be conducted at the annual meeting.</w:t>
      </w:r>
    </w:p>
    <w:p>
      <w:pPr>
        <w:spacing w:after="0" w:line="154"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Your vote is important. Whether or not you attend the annual meeting virtually, it is important that your shares be represented and voted at the annual meeting. Therefore, we urge you to vote and submit your proxy promptly via the internet, telephone or mail.</w:t>
      </w:r>
    </w:p>
    <w:p>
      <w:pPr>
        <w:spacing w:after="0" w:line="156"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On behalf of our board of directors, we would like to express our appreciation for your continued support of and interest in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Mark J. Litton, Ph.D.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Athira Pharma,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263" w:right="1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FF0000"/>
        </w:rPr>
        <w:t>PRELIMINARY PROXY MATERIALS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4632960</wp:posOffset>
            </wp:positionH>
            <wp:positionV relativeFrom="paragraph">
              <wp:posOffset>187960</wp:posOffset>
            </wp:positionV>
            <wp:extent cx="1337310" cy="651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3731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F8991D"/>
        </w:rPr>
        <w:t>NOTICE OF 2024</w:t>
      </w:r>
    </w:p>
    <w:p>
      <w:pPr>
        <w:spacing w:after="0" w:line="47" w:lineRule="exact"/>
        <w:rPr>
          <w:sz w:val="20"/>
          <w:szCs w:val="20"/>
          <w:color w:val="auto"/>
        </w:rPr>
      </w:pPr>
    </w:p>
    <w:p>
      <w:pPr>
        <w:spacing w:after="0"/>
        <w:rPr>
          <w:sz w:val="20"/>
          <w:szCs w:val="20"/>
          <w:color w:val="auto"/>
        </w:rPr>
      </w:pPr>
      <w:r>
        <w:rPr>
          <w:rFonts w:ascii="Arial" w:cs="Arial" w:eastAsia="Arial" w:hAnsi="Arial"/>
          <w:sz w:val="58"/>
          <w:szCs w:val="58"/>
          <w:color w:val="255993"/>
        </w:rPr>
        <w:t>Annual Meeting</w:t>
      </w:r>
    </w:p>
    <w:p>
      <w:pPr>
        <w:spacing w:after="0" w:line="53" w:lineRule="exact"/>
        <w:rPr>
          <w:sz w:val="20"/>
          <w:szCs w:val="20"/>
          <w:color w:val="auto"/>
        </w:rPr>
      </w:pPr>
    </w:p>
    <w:p>
      <w:pPr>
        <w:spacing w:after="0"/>
        <w:rPr>
          <w:sz w:val="20"/>
          <w:szCs w:val="20"/>
          <w:color w:val="auto"/>
        </w:rPr>
      </w:pPr>
      <w:r>
        <w:rPr>
          <w:rFonts w:ascii="Arial" w:cs="Arial" w:eastAsia="Arial" w:hAnsi="Arial"/>
          <w:sz w:val="58"/>
          <w:szCs w:val="58"/>
          <w:color w:val="255993"/>
        </w:rPr>
        <w:t>of Stockholders</w:t>
      </w:r>
    </w:p>
    <w:p>
      <w:pPr>
        <w:sectPr>
          <w:pgSz w:w="11900" w:h="16838" w:orient="portrait"/>
          <w:cols w:equalWidth="0" w:num="1">
            <w:col w:w="9380"/>
          </w:cols>
          <w:pgMar w:left="1240" w:top="263" w:right="127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2"/>
          <w:szCs w:val="12"/>
          <w:color w:val="auto"/>
        </w:rPr>
        <w:t>Meeting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4972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F8991D"/>
        </w:rPr>
        <w:t>TO OUR STOCKHOLDERS,</w:t>
      </w:r>
    </w:p>
    <w:p>
      <w:pPr>
        <w:spacing w:after="0" w:line="160" w:lineRule="exact"/>
        <w:rPr>
          <w:sz w:val="20"/>
          <w:szCs w:val="20"/>
          <w:color w:val="auto"/>
        </w:rPr>
      </w:pPr>
    </w:p>
    <w:p>
      <w:pPr>
        <w:sectPr>
          <w:pgSz w:w="11900" w:h="16838" w:orient="portrait"/>
          <w:cols w:equalWidth="0" w:num="2">
            <w:col w:w="1020" w:space="720"/>
            <w:col w:w="7640"/>
          </w:cols>
          <w:pgMar w:left="1240" w:top="263"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May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-515620</wp:posOffset>
            </wp:positionV>
            <wp:extent cx="299720" cy="282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3"/>
          <w:szCs w:val="13"/>
          <w:color w:val="auto"/>
        </w:rPr>
        <w:t>Meeting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5060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60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224790</wp:posOffset>
            </wp:positionV>
            <wp:extent cx="265430" cy="3003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43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8:00 a.m.,</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Pacific Time</w:t>
      </w:r>
    </w:p>
    <w:p>
      <w:pPr>
        <w:spacing w:after="0" w:line="316" w:lineRule="exact"/>
        <w:rPr>
          <w:sz w:val="20"/>
          <w:szCs w:val="20"/>
          <w:color w:val="auto"/>
        </w:rPr>
      </w:pPr>
    </w:p>
    <w:p>
      <w:pPr>
        <w:spacing w:after="0"/>
        <w:rPr>
          <w:sz w:val="20"/>
          <w:szCs w:val="20"/>
          <w:color w:val="auto"/>
        </w:rPr>
      </w:pPr>
      <w:r>
        <w:rPr>
          <w:rFonts w:ascii="Arial" w:cs="Arial" w:eastAsia="Arial" w:hAnsi="Arial"/>
          <w:sz w:val="12"/>
          <w:szCs w:val="12"/>
          <w:color w:val="auto"/>
        </w:rPr>
        <w:t>Meeting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6343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436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232410</wp:posOffset>
            </wp:positionV>
            <wp:extent cx="205740" cy="3003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5740"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00"/>
        <w:spacing w:after="0" w:line="257" w:lineRule="auto"/>
        <w:rPr>
          <w:sz w:val="20"/>
          <w:szCs w:val="20"/>
          <w:color w:val="auto"/>
        </w:rPr>
      </w:pPr>
      <w:r>
        <w:rPr>
          <w:rFonts w:ascii="Arial" w:cs="Arial" w:eastAsia="Arial" w:hAnsi="Arial"/>
          <w:sz w:val="16"/>
          <w:szCs w:val="16"/>
          <w:color w:val="auto"/>
        </w:rPr>
        <w:t>You are cordially invited to attend the annual meeting of stockholders virtually (together with any postponement, adjournments or other delays thereof, the “Annual Meeting”) of Athira Pharma, Inc. (the “Company”).</w:t>
      </w:r>
    </w:p>
    <w:p>
      <w:pPr>
        <w:spacing w:after="0" w:line="264" w:lineRule="exact"/>
        <w:rPr>
          <w:sz w:val="20"/>
          <w:szCs w:val="20"/>
          <w:color w:val="auto"/>
        </w:rPr>
      </w:pPr>
    </w:p>
    <w:p>
      <w:pPr>
        <w:ind w:left="1080" w:right="200" w:hanging="689"/>
        <w:spacing w:after="0" w:line="180" w:lineRule="auto"/>
        <w:tabs>
          <w:tab w:leader="none" w:pos="1080" w:val="left"/>
        </w:tabs>
        <w:numPr>
          <w:ilvl w:val="0"/>
          <w:numId w:val="1"/>
        </w:numPr>
        <w:rPr>
          <w:rFonts w:ascii="Arial" w:cs="Arial" w:eastAsia="Arial" w:hAnsi="Arial"/>
          <w:sz w:val="27"/>
          <w:szCs w:val="27"/>
          <w:color w:val="255993"/>
          <w:vertAlign w:val="subscript"/>
        </w:rPr>
      </w:pPr>
      <w:r>
        <w:rPr>
          <w:rFonts w:ascii="Arial" w:cs="Arial" w:eastAsia="Arial" w:hAnsi="Arial"/>
          <w:sz w:val="12"/>
          <w:szCs w:val="12"/>
          <w:color w:val="auto"/>
        </w:rPr>
        <w:t>To elect three Class I directors of the Company, each to serve for terms of three years and until their respective successors are elected and qualified, or until their earlier death, resignation or removal.</w:t>
      </w:r>
    </w:p>
    <w:p>
      <w:pPr>
        <w:spacing w:after="0" w:line="1" w:lineRule="exact"/>
        <w:rPr>
          <w:rFonts w:ascii="Arial" w:cs="Arial" w:eastAsia="Arial" w:hAnsi="Arial"/>
          <w:sz w:val="27"/>
          <w:szCs w:val="27"/>
          <w:color w:val="255993"/>
          <w:vertAlign w:val="subscript"/>
        </w:rPr>
      </w:pPr>
    </w:p>
    <w:p>
      <w:pPr>
        <w:ind w:left="1080"/>
        <w:spacing w:after="0"/>
        <w:rPr>
          <w:rFonts w:ascii="Arial" w:cs="Arial" w:eastAsia="Arial" w:hAnsi="Arial"/>
          <w:sz w:val="27"/>
          <w:szCs w:val="27"/>
          <w:color w:val="255993"/>
          <w:vertAlign w:val="subscript"/>
        </w:rPr>
      </w:pPr>
      <w:r>
        <w:rPr>
          <w:rFonts w:ascii="Arial" w:cs="Arial" w:eastAsia="Arial" w:hAnsi="Arial"/>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-447675</wp:posOffset>
            </wp:positionV>
            <wp:extent cx="4869180" cy="2211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869180" cy="221170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080" w:right="460" w:hanging="689"/>
        <w:spacing w:after="0" w:line="183" w:lineRule="auto"/>
        <w:tabs>
          <w:tab w:leader="none" w:pos="1080" w:val="left"/>
        </w:tabs>
        <w:numPr>
          <w:ilvl w:val="0"/>
          <w:numId w:val="2"/>
        </w:numPr>
        <w:rPr>
          <w:rFonts w:ascii="Arial" w:cs="Arial" w:eastAsia="Arial" w:hAnsi="Arial"/>
          <w:sz w:val="28"/>
          <w:szCs w:val="28"/>
          <w:color w:val="F8991D"/>
        </w:rPr>
      </w:pPr>
      <w:r>
        <w:rPr>
          <w:rFonts w:ascii="Arial" w:cs="Arial" w:eastAsia="Arial" w:hAnsi="Arial"/>
          <w:sz w:val="12"/>
          <w:szCs w:val="12"/>
          <w:color w:val="auto"/>
        </w:rPr>
        <w:t>To ratify the appointment of Ernst &amp; Young LLP as the Company’s independent registered public accounting firm for its fiscal year ending December 31, 2024.</w:t>
      </w:r>
    </w:p>
    <w:p>
      <w:pPr>
        <w:spacing w:after="0" w:line="200" w:lineRule="exact"/>
        <w:rPr>
          <w:sz w:val="20"/>
          <w:szCs w:val="20"/>
          <w:color w:val="auto"/>
        </w:rPr>
      </w:pPr>
    </w:p>
    <w:p>
      <w:pPr>
        <w:spacing w:after="0" w:line="300" w:lineRule="exact"/>
        <w:rPr>
          <w:sz w:val="20"/>
          <w:szCs w:val="20"/>
          <w:color w:val="auto"/>
        </w:rPr>
      </w:pPr>
    </w:p>
    <w:p>
      <w:pPr>
        <w:ind w:left="1080" w:right="60" w:hanging="689"/>
        <w:spacing w:after="0" w:line="183" w:lineRule="auto"/>
        <w:tabs>
          <w:tab w:leader="none" w:pos="1080" w:val="left"/>
        </w:tabs>
        <w:numPr>
          <w:ilvl w:val="0"/>
          <w:numId w:val="3"/>
        </w:numPr>
        <w:rPr>
          <w:rFonts w:ascii="Arial" w:cs="Arial" w:eastAsia="Arial" w:hAnsi="Arial"/>
          <w:sz w:val="28"/>
          <w:szCs w:val="28"/>
          <w:color w:val="6CCAD0"/>
        </w:rPr>
      </w:pPr>
      <w:r>
        <w:rPr>
          <w:rFonts w:ascii="Arial" w:cs="Arial" w:eastAsia="Arial" w:hAnsi="Arial"/>
          <w:sz w:val="12"/>
          <w:szCs w:val="12"/>
          <w:color w:val="auto"/>
        </w:rPr>
        <w:t>To approve an amendment to the Company’s amended and restated certificate of incorporation to limit the liability of officers as permitted by Delaware law.</w:t>
      </w:r>
    </w:p>
    <w:p>
      <w:pPr>
        <w:spacing w:after="0" w:line="150" w:lineRule="exact"/>
        <w:rPr>
          <w:sz w:val="20"/>
          <w:szCs w:val="20"/>
          <w:color w:val="auto"/>
        </w:rPr>
      </w:pPr>
    </w:p>
    <w:p>
      <w:pPr>
        <w:ind w:left="1080" w:hanging="689"/>
        <w:spacing w:after="0"/>
        <w:tabs>
          <w:tab w:leader="none" w:pos="1080" w:val="left"/>
        </w:tabs>
        <w:numPr>
          <w:ilvl w:val="0"/>
          <w:numId w:val="4"/>
        </w:numPr>
        <w:rPr>
          <w:rFonts w:ascii="Arial" w:cs="Arial" w:eastAsia="Arial" w:hAnsi="Arial"/>
          <w:sz w:val="54"/>
          <w:szCs w:val="54"/>
          <w:color w:val="255993"/>
        </w:rPr>
      </w:pPr>
      <w:r>
        <w:rPr>
          <w:rFonts w:ascii="Arial" w:cs="Arial" w:eastAsia="Arial" w:hAnsi="Arial"/>
          <w:sz w:val="14"/>
          <w:szCs w:val="14"/>
          <w:color w:val="auto"/>
        </w:rPr>
        <w:t>To transact other business that may properly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236855</wp:posOffset>
            </wp:positionV>
            <wp:extent cx="48691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20" w:space="720"/>
            <w:col w:w="7640"/>
          </w:cols>
          <w:pgMar w:left="1240" w:top="263" w:right="1279" w:bottom="1440" w:gutter="0" w:footer="0" w:header="0"/>
          <w:type w:val="continuous"/>
        </w:sectPr>
      </w:pPr>
    </w:p>
    <w:p>
      <w:pPr>
        <w:spacing w:after="0" w:line="312"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The annual meeting will be conducted virtually via live audio webcast. You will be able to attend the annual meeting virtually by visiting</w:t>
      </w:r>
    </w:p>
    <w:p>
      <w:pPr>
        <w:spacing w:after="0" w:line="162" w:lineRule="exact"/>
        <w:rPr>
          <w:sz w:val="20"/>
          <w:szCs w:val="20"/>
          <w:color w:val="auto"/>
        </w:rPr>
      </w:pPr>
    </w:p>
    <w:p>
      <w:pPr>
        <w:ind w:firstLine="6"/>
        <w:spacing w:after="0" w:line="245" w:lineRule="auto"/>
        <w:tabs>
          <w:tab w:leader="none" w:pos="384" w:val="left"/>
        </w:tabs>
        <w:numPr>
          <w:ilvl w:val="0"/>
          <w:numId w:val="5"/>
        </w:numPr>
        <w:rPr>
          <w:rFonts w:ascii="Arial" w:cs="Arial" w:eastAsia="Arial" w:hAnsi="Arial"/>
          <w:sz w:val="14"/>
          <w:szCs w:val="14"/>
          <w:color w:val="auto"/>
        </w:rPr>
      </w:pPr>
      <w:r>
        <w:rPr>
          <w:rFonts w:ascii="Arial" w:cs="Arial" w:eastAsia="Arial" w:hAnsi="Arial"/>
          <w:sz w:val="14"/>
          <w:szCs w:val="14"/>
          <w:color w:val="auto"/>
        </w:rPr>
        <w:t>virtualshareholder meeting.com/ATHA2024, where you will be able to listen to the meeting live, submit questions and vote online during the meeting.</w:t>
      </w: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Record 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4972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224790</wp:posOffset>
            </wp:positionV>
            <wp:extent cx="299720" cy="2825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972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color w:val="auto"/>
        </w:rPr>
        <w:t>March 26, 2024</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The foregoing items of business are more fully described in the proxy statement accompanying this Notice.</w:t>
      </w:r>
    </w:p>
    <w:p>
      <w:pPr>
        <w:spacing w:after="0" w:line="100"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Notice of Internet Availability of Proxy Materials (the “Notice”) containing instructions on how to access our proxy statement, notice of annual meeting, form of proxy and our annual report, is first being sent or given on or about April [•], 2024 to all stockholders entitled to vote at the annual meeting. The Notice provides instructions on how to vote online or by telephone and includes instructions on how to receive a paper copy of proxy materials by mail. The proxy materials and our annual report can be accessed as of April [•], 2024 by visiting www.proxyvote.com. All you have to do is enter the control number located on your proxy card.</w:t>
      </w:r>
    </w:p>
    <w:p>
      <w:pPr>
        <w:spacing w:after="0" w:line="46"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Only stockholders of record as of March 26, 2024 are entitled to notice of and to vote at the annual meeting. For ten days prior to the annual meeting, a complete list of stockholders of record entitled to vote at the annual meeting will be available for examination by any stockholder for any purpose relevant to the annual meeting. If you would like to view the list, please contact our corporate secretary to schedule an appointment by calling (425) 620-8520 or writing to Athira Pharma, Inc., 18706 North Creek Parkway, Suite 104, Bothell, Washington 98011, Attention: Corporate Secretary.</w:t>
      </w:r>
    </w:p>
    <w:p>
      <w:pPr>
        <w:spacing w:after="0" w:line="60"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If your shares of common stock are held in a brokerage account or by a broker, bank or other nominee (i.e., your shares are held beneficially in “street name”), you will receive a voting instruction form from the holder of record. You must provide voting instructions by completing the voting instruction form and returning it to your broker, bank or other nominee for your shares to be voted. We recommend that you instruct your broker, bank or other nominee to vote your shares using the voting instruction form. The availability of internet and telephone voting options will depend on the voting process of your broker, bank or other nominee.</w:t>
      </w:r>
    </w:p>
    <w:p>
      <w:pPr>
        <w:spacing w:after="0" w:line="60"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Whether or not you plan to attend the virtual Annual Meeting, we urge you to submit your proxy via the internet or telephone or by mail as soon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-1614805</wp:posOffset>
            </wp:positionH>
            <wp:positionV relativeFrom="paragraph">
              <wp:posOffset>81915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1600" w:space="140"/>
            <w:col w:w="7640"/>
          </w:cols>
          <w:pgMar w:left="1240" w:top="263" w:right="127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123825</wp:posOffset>
            </wp:positionV>
            <wp:extent cx="4954905" cy="874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54905" cy="87439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Your Vote is Important</w:t>
      </w:r>
    </w:p>
    <w:p>
      <w:pPr>
        <w:spacing w:after="0" w:line="200" w:lineRule="exact"/>
        <w:rPr>
          <w:sz w:val="20"/>
          <w:szCs w:val="20"/>
          <w:color w:val="auto"/>
        </w:rPr>
      </w:pPr>
    </w:p>
    <w:p>
      <w:pPr>
        <w:spacing w:after="0" w:line="206" w:lineRule="exact"/>
        <w:rPr>
          <w:sz w:val="20"/>
          <w:szCs w:val="20"/>
          <w:color w:val="auto"/>
        </w:rPr>
      </w:pPr>
    </w:p>
    <w:p>
      <w:pPr>
        <w:ind w:left="120" w:right="1580"/>
        <w:spacing w:after="0" w:line="285" w:lineRule="auto"/>
        <w:rPr>
          <w:sz w:val="20"/>
          <w:szCs w:val="20"/>
          <w:color w:val="auto"/>
        </w:rPr>
      </w:pPr>
      <w:r>
        <w:rPr>
          <w:rFonts w:ascii="Arial" w:cs="Arial" w:eastAsia="Arial" w:hAnsi="Arial"/>
          <w:sz w:val="14"/>
          <w:szCs w:val="14"/>
          <w:color w:val="255993"/>
        </w:rPr>
        <w:t>Whether or not you plan to attend the virtual annual meeting, we urge you to submit your proxy or voting instructions via the Internet, telephone or mail as soon as possible.</w:t>
      </w: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Mark J. Litton, Ph.D.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Athira Pharma,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Bothell, Washington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April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5966460" cy="15087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6460" cy="150876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 meeting to be held on May 23, 2024.</w:t>
      </w:r>
    </w:p>
    <w:p>
      <w:pPr>
        <w:spacing w:after="0" w:line="200" w:lineRule="exact"/>
        <w:rPr>
          <w:sz w:val="20"/>
          <w:szCs w:val="20"/>
          <w:color w:val="auto"/>
        </w:rPr>
      </w:pPr>
    </w:p>
    <w:p>
      <w:pPr>
        <w:spacing w:after="0" w:line="215" w:lineRule="exact"/>
        <w:rPr>
          <w:sz w:val="20"/>
          <w:szCs w:val="20"/>
          <w:color w:val="auto"/>
        </w:rPr>
      </w:pPr>
    </w:p>
    <w:p>
      <w:pPr>
        <w:ind w:left="120"/>
        <w:spacing w:after="0" w:line="256" w:lineRule="auto"/>
        <w:rPr>
          <w:sz w:val="20"/>
          <w:szCs w:val="20"/>
          <w:color w:val="auto"/>
        </w:rPr>
      </w:pPr>
      <w:r>
        <w:rPr>
          <w:rFonts w:ascii="Arial" w:cs="Arial" w:eastAsia="Arial" w:hAnsi="Arial"/>
          <w:sz w:val="14"/>
          <w:szCs w:val="14"/>
          <w:color w:val="255993"/>
        </w:rPr>
        <w:t>The proxy statement, the accompanying proxy card, and the Annual Report on Form 10-K for the fiscal year ended December 31, 2023 are available free of charge at www.proxyvote.com. Information on this website, other than this proxy statement, is not a part of this proxy statement. Please sign, date and promptly return the proxy card, or submit your proxy and voting instructions over the Internet or by telephone by following the instructions on the proxy card, so that you may be represented at the Annual Meeting.</w:t>
      </w:r>
    </w:p>
    <w:p>
      <w:pPr>
        <w:spacing w:after="0" w:line="285" w:lineRule="exact"/>
        <w:rPr>
          <w:sz w:val="20"/>
          <w:szCs w:val="20"/>
          <w:color w:val="auto"/>
        </w:rPr>
      </w:pPr>
    </w:p>
    <w:p>
      <w:pPr>
        <w:ind w:left="120" w:right="40"/>
        <w:spacing w:after="0" w:line="285" w:lineRule="auto"/>
        <w:rPr>
          <w:sz w:val="20"/>
          <w:szCs w:val="20"/>
          <w:color w:val="auto"/>
        </w:rPr>
      </w:pPr>
      <w:r>
        <w:rPr>
          <w:rFonts w:ascii="Arial" w:cs="Arial" w:eastAsia="Arial" w:hAnsi="Arial"/>
          <w:sz w:val="14"/>
          <w:szCs w:val="14"/>
          <w:color w:val="255993"/>
        </w:rPr>
        <w:t>The accompanying proxy statement provides a detailed description of the business to be conducted at the Annual Meeting. We urge you to read the accompanying proxy statement, including the appendices, carefully and in their entirety.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234315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00"/>
          </w:cols>
          <w:pgMar w:left="1240" w:top="263" w:right="1359" w:bottom="1440" w:gutter="0" w:footer="0" w:header="0"/>
        </w:sectPr>
      </w:pPr>
    </w:p>
    <w:bookmarkStart w:id="5" w:name="page6"/>
    <w:bookmarkEnd w:id="5"/>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F8991D"/>
        </w:rPr>
        <w:t>2024 PROXY STATEMENT</w:t>
      </w:r>
    </w:p>
    <w:p>
      <w:pPr>
        <w:spacing w:after="0" w:line="47" w:lineRule="exact"/>
        <w:rPr>
          <w:sz w:val="20"/>
          <w:szCs w:val="20"/>
          <w:color w:val="auto"/>
        </w:rPr>
      </w:pPr>
    </w:p>
    <w:p>
      <w:pPr>
        <w:spacing w:after="0"/>
        <w:rPr>
          <w:sz w:val="20"/>
          <w:szCs w:val="20"/>
          <w:color w:val="auto"/>
        </w:rPr>
      </w:pPr>
      <w:r>
        <w:rPr>
          <w:rFonts w:ascii="Arial" w:cs="Arial" w:eastAsia="Arial" w:hAnsi="Arial"/>
          <w:sz w:val="56"/>
          <w:szCs w:val="56"/>
          <w:color w:val="255993"/>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301625</wp:posOffset>
            </wp:positionV>
            <wp:extent cx="5966460" cy="8460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6460" cy="8460740"/>
                    </a:xfrm>
                    <a:prstGeom prst="rect">
                      <a:avLst/>
                    </a:prstGeom>
                    <a:noFill/>
                  </pic:spPr>
                </pic:pic>
              </a:graphicData>
            </a:graphic>
          </wp:anchor>
        </w:drawing>
      </w:r>
    </w:p>
    <w:p>
      <w:pPr>
        <w:sectPr>
          <w:pgSz w:w="11900" w:h="16867" w:orient="portrait"/>
          <w:cols w:equalWidth="0" w:num="1">
            <w:col w:w="9400"/>
          </w:cols>
          <w:pgMar w:left="1240" w:top="263" w:right="1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Arial" w:cs="Arial" w:eastAsia="Arial" w:hAnsi="Arial"/>
          <w:sz w:val="16"/>
          <w:szCs w:val="16"/>
          <w:b w:val="1"/>
          <w:bCs w:val="1"/>
          <w:u w:val="single" w:color="auto"/>
          <w:color w:val="0000EE"/>
        </w:rPr>
        <w:t>PROXY STATEMENT SUMMARY</w:t>
      </w:r>
    </w:p>
    <w:p>
      <w:pPr>
        <w:spacing w:after="0" w:line="370" w:lineRule="exact"/>
        <w:rPr>
          <w:sz w:val="20"/>
          <w:szCs w:val="20"/>
          <w:color w:val="auto"/>
        </w:rPr>
      </w:pPr>
    </w:p>
    <w:p>
      <w:pPr>
        <w:ind w:left="60"/>
        <w:spacing w:after="0"/>
        <w:rPr>
          <w:sz w:val="20"/>
          <w:szCs w:val="20"/>
          <w:color w:val="auto"/>
        </w:rPr>
      </w:pPr>
      <w:r>
        <w:rPr>
          <w:rFonts w:ascii="Arial" w:cs="Arial" w:eastAsia="Arial" w:hAnsi="Arial"/>
          <w:sz w:val="16"/>
          <w:szCs w:val="16"/>
          <w:b w:val="1"/>
          <w:bCs w:val="1"/>
          <w:u w:val="single" w:color="auto"/>
          <w:color w:val="0000EE"/>
        </w:rPr>
        <w:t>QUESTIONS AND ANSWERS ABOUT THE PROXY MATERIALS AND OUR ANNUAL MEETING</w:t>
      </w:r>
    </w:p>
    <w:p>
      <w:pPr>
        <w:spacing w:after="0" w:line="370" w:lineRule="exact"/>
        <w:rPr>
          <w:sz w:val="20"/>
          <w:szCs w:val="20"/>
          <w:color w:val="auto"/>
        </w:rPr>
      </w:pPr>
    </w:p>
    <w:p>
      <w:pPr>
        <w:ind w:left="60"/>
        <w:spacing w:after="0"/>
        <w:rPr>
          <w:sz w:val="20"/>
          <w:szCs w:val="20"/>
          <w:color w:val="auto"/>
        </w:rPr>
      </w:pPr>
      <w:r>
        <w:rPr>
          <w:rFonts w:ascii="Arial" w:cs="Arial" w:eastAsia="Arial" w:hAnsi="Arial"/>
          <w:sz w:val="16"/>
          <w:szCs w:val="16"/>
          <w:b w:val="1"/>
          <w:bCs w:val="1"/>
          <w:u w:val="single" w:color="auto"/>
          <w:color w:val="0000EE"/>
        </w:rPr>
        <w:t>BOARD OF DIRECTORS AND CORPORATE GOVERNANCE</w:t>
      </w:r>
    </w:p>
    <w:p>
      <w:pPr>
        <w:spacing w:after="0" w:line="388"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Composition of the Board of Directors</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Nominees for Director</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Continuing Directors</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Director Independence</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Board Leadership Structure</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Role of Board in Risk Oversight Process</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Attendance at Board and Stockholder Meetings</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Executive Sessions of Non-Employee Directors</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Board Diversity</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Board Committees</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Considerations in Evaluating Director Nominees</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Stockholder Recommendations and Nominations to our Board of Directors</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Communications with the Board of Directors</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Policy Prohibiting Hedging or Pledging of Securities</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Code of Business Conduct and Ethics</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Environmental, Social and Governance (ESG) and Related Matters</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Director Compensation</w:t>
      </w:r>
    </w:p>
    <w:p>
      <w:pPr>
        <w:spacing w:after="0" w:line="374" w:lineRule="exact"/>
        <w:rPr>
          <w:sz w:val="20"/>
          <w:szCs w:val="20"/>
          <w:color w:val="auto"/>
        </w:rPr>
      </w:pPr>
    </w:p>
    <w:p>
      <w:pPr>
        <w:ind w:left="60"/>
        <w:spacing w:after="0"/>
        <w:rPr>
          <w:sz w:val="20"/>
          <w:szCs w:val="20"/>
          <w:color w:val="auto"/>
        </w:rPr>
      </w:pPr>
      <w:r>
        <w:rPr>
          <w:rFonts w:ascii="Arial" w:cs="Arial" w:eastAsia="Arial" w:hAnsi="Arial"/>
          <w:sz w:val="16"/>
          <w:szCs w:val="16"/>
          <w:b w:val="1"/>
          <w:bCs w:val="1"/>
          <w:u w:val="single" w:color="auto"/>
          <w:color w:val="0000EE"/>
        </w:rPr>
        <w:t>PROPOSAL NO. 1: ELECTION OF CLASS I DIRECTORS</w:t>
      </w:r>
    </w:p>
    <w:p>
      <w:pPr>
        <w:spacing w:after="0" w:line="388"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Nominees</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Vote Required</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Board Recommendation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29"/>
          <w:szCs w:val="29"/>
          <w:u w:val="single" w:color="auto"/>
          <w:color w:val="0000EE"/>
        </w:rPr>
        <w:t>1</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9"/>
          <w:szCs w:val="29"/>
          <w:u w:val="single" w:color="auto"/>
          <w:color w:val="0000EE"/>
        </w:rPr>
        <w:t>2</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9"/>
          <w:szCs w:val="29"/>
          <w:u w:val="single" w:color="auto"/>
          <w:color w:val="0000EE"/>
        </w:rPr>
        <w:t>9</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9"/>
          <w:szCs w:val="29"/>
          <w:u w:val="single" w:color="auto"/>
          <w:color w:val="0000EE"/>
        </w:rPr>
        <w:t>9</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8"/>
          <w:szCs w:val="28"/>
          <w:u w:val="single" w:color="auto"/>
          <w:color w:val="0000EE"/>
        </w:rPr>
        <w:t>10</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28"/>
          <w:szCs w:val="28"/>
          <w:u w:val="single" w:color="auto"/>
          <w:color w:val="0000EE"/>
        </w:rPr>
        <w:t>12</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28"/>
          <w:szCs w:val="28"/>
          <w:u w:val="single" w:color="auto"/>
          <w:color w:val="0000EE"/>
        </w:rPr>
        <w:t>15</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28"/>
          <w:szCs w:val="28"/>
          <w:u w:val="single" w:color="auto"/>
          <w:color w:val="0000EE"/>
        </w:rPr>
        <w:t>15</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28"/>
          <w:szCs w:val="28"/>
          <w:u w:val="single" w:color="auto"/>
          <w:color w:val="0000EE"/>
        </w:rPr>
        <w:t>15</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28"/>
          <w:szCs w:val="28"/>
          <w:u w:val="single" w:color="auto"/>
          <w:color w:val="0000EE"/>
        </w:rPr>
        <w:t>16</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28"/>
          <w:szCs w:val="28"/>
          <w:u w:val="single" w:color="auto"/>
          <w:color w:val="0000EE"/>
        </w:rPr>
        <w:t>16</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28"/>
          <w:szCs w:val="28"/>
          <w:u w:val="single" w:color="auto"/>
          <w:color w:val="0000EE"/>
        </w:rPr>
        <w:t>16</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28"/>
          <w:szCs w:val="28"/>
          <w:u w:val="single" w:color="auto"/>
          <w:color w:val="0000EE"/>
        </w:rPr>
        <w:t>18</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28"/>
          <w:szCs w:val="28"/>
          <w:u w:val="single" w:color="auto"/>
          <w:color w:val="0000EE"/>
        </w:rPr>
        <w:t>20</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28"/>
          <w:szCs w:val="28"/>
          <w:u w:val="single" w:color="auto"/>
          <w:color w:val="0000EE"/>
        </w:rPr>
        <w:t>20</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28"/>
          <w:szCs w:val="28"/>
          <w:u w:val="single" w:color="auto"/>
          <w:color w:val="0000EE"/>
        </w:rPr>
        <w:t>20</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28"/>
          <w:szCs w:val="28"/>
          <w:u w:val="single" w:color="auto"/>
          <w:color w:val="0000EE"/>
        </w:rPr>
        <w:t>21</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28"/>
          <w:szCs w:val="28"/>
          <w:u w:val="single" w:color="auto"/>
          <w:color w:val="0000EE"/>
        </w:rPr>
        <w:t>21</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28"/>
          <w:szCs w:val="28"/>
          <w:u w:val="single" w:color="auto"/>
          <w:color w:val="0000EE"/>
        </w:rPr>
        <w:t>21</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28"/>
          <w:szCs w:val="28"/>
          <w:u w:val="single" w:color="auto"/>
          <w:color w:val="0000EE"/>
        </w:rPr>
        <w:t>22</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28"/>
          <w:szCs w:val="28"/>
          <w:u w:val="single" w:color="auto"/>
          <w:color w:val="0000EE"/>
        </w:rPr>
        <w:t>25</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28"/>
          <w:szCs w:val="28"/>
          <w:u w:val="single" w:color="auto"/>
          <w:color w:val="0000EE"/>
        </w:rPr>
        <w:t>25</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28"/>
          <w:szCs w:val="28"/>
          <w:u w:val="single" w:color="auto"/>
          <w:color w:val="0000EE"/>
        </w:rPr>
        <w:t>25</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28"/>
          <w:szCs w:val="28"/>
          <w:u w:val="single" w:color="auto"/>
          <w:color w:val="0000EE"/>
        </w:rPr>
        <w:t>25</w:t>
      </w:r>
    </w:p>
    <w:p>
      <w:pPr>
        <w:spacing w:after="0" w:line="156" w:lineRule="exact"/>
        <w:rPr>
          <w:sz w:val="20"/>
          <w:szCs w:val="20"/>
          <w:color w:val="auto"/>
        </w:rPr>
      </w:pPr>
    </w:p>
    <w:p>
      <w:pPr>
        <w:sectPr>
          <w:pgSz w:w="11900" w:h="16867" w:orient="portrait"/>
          <w:cols w:equalWidth="0" w:num="2">
            <w:col w:w="8360" w:space="720"/>
            <w:col w:w="320"/>
          </w:cols>
          <w:pgMar w:left="1240" w:top="263" w:right="1259" w:bottom="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60" w:type="dxa"/>
            <w:vAlign w:val="bottom"/>
            <w:shd w:val="clear" w:color="auto" w:fill="F8991D"/>
          </w:tcPr>
          <w:p>
            <w:pPr>
              <w:spacing w:after="0"/>
              <w:rPr>
                <w:sz w:val="23"/>
                <w:szCs w:val="23"/>
                <w:color w:val="auto"/>
              </w:rPr>
            </w:pPr>
          </w:p>
        </w:tc>
        <w:tc>
          <w:tcPr>
            <w:tcW w:w="9020" w:type="dxa"/>
            <w:vAlign w:val="bottom"/>
            <w:gridSpan w:val="5"/>
            <w:shd w:val="clear" w:color="auto" w:fill="F8991D"/>
          </w:tcPr>
          <w:p>
            <w:pPr>
              <w:spacing w:after="0"/>
              <w:rPr>
                <w:sz w:val="20"/>
                <w:szCs w:val="20"/>
                <w:color w:val="auto"/>
              </w:rPr>
            </w:pPr>
            <w:r>
              <w:rPr>
                <w:rFonts w:ascii="Arial" w:cs="Arial" w:eastAsia="Arial" w:hAnsi="Arial"/>
                <w:sz w:val="16"/>
                <w:szCs w:val="16"/>
                <w:b w:val="1"/>
                <w:bCs w:val="1"/>
                <w:color w:val="0000EE"/>
              </w:rPr>
              <w:t>PROPOSAL NO. 2: RATIFICATION OF APPOINTMENT OF INDEPENDENT REGISTERED PUBLIC ACCOUNTING</w:t>
            </w:r>
          </w:p>
        </w:tc>
        <w:tc>
          <w:tcPr>
            <w:tcW w:w="320" w:type="dxa"/>
            <w:vAlign w:val="bottom"/>
            <w:vMerge w:val="restart"/>
            <w:shd w:val="clear" w:color="auto" w:fill="F8991D"/>
          </w:tcPr>
          <w:p>
            <w:pPr>
              <w:jc w:val="right"/>
              <w:spacing w:after="0"/>
              <w:rPr>
                <w:sz w:val="20"/>
                <w:szCs w:val="20"/>
                <w:color w:val="auto"/>
              </w:rPr>
            </w:pPr>
            <w:r>
              <w:rPr>
                <w:rFonts w:ascii="Arial" w:cs="Arial" w:eastAsia="Arial" w:hAnsi="Arial"/>
                <w:sz w:val="29"/>
                <w:szCs w:val="29"/>
                <w:color w:val="0000EE"/>
                <w:w w:val="92"/>
              </w:rPr>
              <w:t>26</w:t>
            </w:r>
          </w:p>
        </w:tc>
        <w:tc>
          <w:tcPr>
            <w:tcW w:w="0" w:type="dxa"/>
            <w:vAlign w:val="bottom"/>
          </w:tcPr>
          <w:p>
            <w:pPr>
              <w:spacing w:after="0"/>
              <w:rPr>
                <w:sz w:val="1"/>
                <w:szCs w:val="1"/>
                <w:color w:val="auto"/>
              </w:rPr>
            </w:pPr>
          </w:p>
        </w:tc>
      </w:tr>
      <w:tr>
        <w:trPr>
          <w:trHeight w:val="122"/>
        </w:trPr>
        <w:tc>
          <w:tcPr>
            <w:tcW w:w="60" w:type="dxa"/>
            <w:vAlign w:val="bottom"/>
            <w:tcBorders>
              <w:top w:val="single" w:sz="8" w:color="F8991D"/>
              <w:bottom w:val="single" w:sz="8" w:color="F8991D"/>
            </w:tcBorders>
            <w:shd w:val="clear" w:color="auto" w:fill="F8991D"/>
          </w:tcPr>
          <w:p>
            <w:pPr>
              <w:spacing w:after="0"/>
              <w:rPr>
                <w:sz w:val="10"/>
                <w:szCs w:val="10"/>
                <w:color w:val="auto"/>
              </w:rPr>
            </w:pPr>
          </w:p>
        </w:tc>
        <w:tc>
          <w:tcPr>
            <w:tcW w:w="8460" w:type="dxa"/>
            <w:vAlign w:val="bottom"/>
            <w:tcBorders>
              <w:top w:val="single" w:sz="8" w:color="0000EE"/>
              <w:bottom w:val="single" w:sz="8" w:color="0000EE"/>
            </w:tcBorders>
            <w:gridSpan w:val="4"/>
            <w:vMerge w:val="restart"/>
            <w:shd w:val="clear" w:color="auto" w:fill="F8991D"/>
          </w:tcPr>
          <w:p>
            <w:pPr>
              <w:spacing w:after="0" w:line="169" w:lineRule="exact"/>
              <w:rPr>
                <w:sz w:val="20"/>
                <w:szCs w:val="20"/>
                <w:color w:val="auto"/>
              </w:rPr>
            </w:pPr>
            <w:r>
              <w:rPr>
                <w:rFonts w:ascii="Arial" w:cs="Arial" w:eastAsia="Arial" w:hAnsi="Arial"/>
                <w:sz w:val="16"/>
                <w:szCs w:val="16"/>
                <w:b w:val="1"/>
                <w:bCs w:val="1"/>
                <w:color w:val="0000EE"/>
              </w:rPr>
              <w:t>FIRM</w:t>
            </w:r>
          </w:p>
        </w:tc>
        <w:tc>
          <w:tcPr>
            <w:tcW w:w="560" w:type="dxa"/>
            <w:vAlign w:val="bottom"/>
            <w:tcBorders>
              <w:top w:val="single" w:sz="8" w:color="F8991D"/>
              <w:bottom w:val="single" w:sz="8" w:color="F8991D"/>
            </w:tcBorders>
            <w:shd w:val="clear" w:color="auto" w:fill="F8991D"/>
          </w:tcPr>
          <w:p>
            <w:pPr>
              <w:spacing w:after="0"/>
              <w:rPr>
                <w:sz w:val="10"/>
                <w:szCs w:val="10"/>
                <w:color w:val="auto"/>
              </w:rPr>
            </w:pPr>
          </w:p>
        </w:tc>
        <w:tc>
          <w:tcPr>
            <w:tcW w:w="320" w:type="dxa"/>
            <w:vAlign w:val="bottom"/>
            <w:tcBorders>
              <w:top w:val="single" w:sz="8" w:color="F8991D"/>
              <w:bottom w:val="single" w:sz="8" w:color="0000EE"/>
            </w:tcBorders>
            <w:vMerge w:val="continue"/>
            <w:shd w:val="clear" w:color="auto" w:fill="F8991D"/>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60" w:type="dxa"/>
            <w:vAlign w:val="bottom"/>
            <w:shd w:val="clear" w:color="auto" w:fill="F8991D"/>
          </w:tcPr>
          <w:p>
            <w:pPr>
              <w:spacing w:after="0"/>
              <w:rPr>
                <w:sz w:val="2"/>
                <w:szCs w:val="2"/>
                <w:color w:val="auto"/>
              </w:rPr>
            </w:pPr>
          </w:p>
        </w:tc>
        <w:tc>
          <w:tcPr>
            <w:tcW w:w="8460" w:type="dxa"/>
            <w:vAlign w:val="bottom"/>
            <w:gridSpan w:val="4"/>
            <w:vMerge w:val="continue"/>
            <w:shd w:val="clear" w:color="auto" w:fill="F8991D"/>
          </w:tcPr>
          <w:p>
            <w:pPr>
              <w:spacing w:after="0"/>
              <w:rPr>
                <w:sz w:val="2"/>
                <w:szCs w:val="2"/>
                <w:color w:val="auto"/>
              </w:rPr>
            </w:pPr>
          </w:p>
        </w:tc>
        <w:tc>
          <w:tcPr>
            <w:tcW w:w="560" w:type="dxa"/>
            <w:vAlign w:val="bottom"/>
            <w:shd w:val="clear" w:color="auto" w:fill="F8991D"/>
          </w:tcPr>
          <w:p>
            <w:pPr>
              <w:spacing w:after="0"/>
              <w:rPr>
                <w:sz w:val="2"/>
                <w:szCs w:val="2"/>
                <w:color w:val="auto"/>
              </w:rPr>
            </w:pPr>
          </w:p>
        </w:tc>
        <w:tc>
          <w:tcPr>
            <w:tcW w:w="320" w:type="dxa"/>
            <w:vAlign w:val="bottom"/>
            <w:shd w:val="clear" w:color="auto" w:fill="F8991D"/>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60" w:type="dxa"/>
            <w:vAlign w:val="bottom"/>
            <w:tcBorders>
              <w:top w:val="single" w:sz="8" w:color="F8991D"/>
            </w:tcBorders>
            <w:shd w:val="clear" w:color="auto" w:fill="F8991D"/>
          </w:tcPr>
          <w:p>
            <w:pPr>
              <w:spacing w:after="0"/>
              <w:rPr>
                <w:sz w:val="10"/>
                <w:szCs w:val="10"/>
                <w:color w:val="auto"/>
              </w:rPr>
            </w:pPr>
          </w:p>
        </w:tc>
        <w:tc>
          <w:tcPr>
            <w:tcW w:w="180" w:type="dxa"/>
            <w:vAlign w:val="bottom"/>
            <w:tcBorders>
              <w:top w:val="single" w:sz="8" w:color="0000EE"/>
            </w:tcBorders>
            <w:shd w:val="clear" w:color="auto" w:fill="F8991D"/>
          </w:tcPr>
          <w:p>
            <w:pPr>
              <w:spacing w:after="0"/>
              <w:rPr>
                <w:sz w:val="10"/>
                <w:szCs w:val="10"/>
                <w:color w:val="auto"/>
              </w:rPr>
            </w:pPr>
          </w:p>
        </w:tc>
        <w:tc>
          <w:tcPr>
            <w:tcW w:w="220" w:type="dxa"/>
            <w:vAlign w:val="bottom"/>
            <w:tcBorders>
              <w:top w:val="single" w:sz="8" w:color="0000EE"/>
            </w:tcBorders>
            <w:shd w:val="clear" w:color="auto" w:fill="F8991D"/>
          </w:tcPr>
          <w:p>
            <w:pPr>
              <w:spacing w:after="0"/>
              <w:rPr>
                <w:sz w:val="10"/>
                <w:szCs w:val="10"/>
                <w:color w:val="auto"/>
              </w:rPr>
            </w:pPr>
          </w:p>
        </w:tc>
        <w:tc>
          <w:tcPr>
            <w:tcW w:w="3920" w:type="dxa"/>
            <w:vAlign w:val="bottom"/>
            <w:tcBorders>
              <w:top w:val="single" w:sz="8" w:color="F8991D"/>
            </w:tcBorders>
            <w:shd w:val="clear" w:color="auto" w:fill="F8991D"/>
          </w:tcPr>
          <w:p>
            <w:pPr>
              <w:spacing w:after="0"/>
              <w:rPr>
                <w:sz w:val="10"/>
                <w:szCs w:val="10"/>
                <w:color w:val="auto"/>
              </w:rPr>
            </w:pPr>
          </w:p>
        </w:tc>
        <w:tc>
          <w:tcPr>
            <w:tcW w:w="4140" w:type="dxa"/>
            <w:vAlign w:val="bottom"/>
            <w:tcBorders>
              <w:top w:val="single" w:sz="8" w:color="F8991D"/>
            </w:tcBorders>
            <w:shd w:val="clear" w:color="auto" w:fill="F8991D"/>
          </w:tcPr>
          <w:p>
            <w:pPr>
              <w:spacing w:after="0"/>
              <w:rPr>
                <w:sz w:val="10"/>
                <w:szCs w:val="10"/>
                <w:color w:val="auto"/>
              </w:rPr>
            </w:pPr>
          </w:p>
        </w:tc>
        <w:tc>
          <w:tcPr>
            <w:tcW w:w="560" w:type="dxa"/>
            <w:vAlign w:val="bottom"/>
            <w:tcBorders>
              <w:top w:val="single" w:sz="8" w:color="F8991D"/>
            </w:tcBorders>
            <w:shd w:val="clear" w:color="auto" w:fill="F8991D"/>
          </w:tcPr>
          <w:p>
            <w:pPr>
              <w:spacing w:after="0"/>
              <w:rPr>
                <w:sz w:val="10"/>
                <w:szCs w:val="10"/>
                <w:color w:val="auto"/>
              </w:rPr>
            </w:pPr>
          </w:p>
        </w:tc>
        <w:tc>
          <w:tcPr>
            <w:tcW w:w="320" w:type="dxa"/>
            <w:vAlign w:val="bottom"/>
            <w:tcBorders>
              <w:top w:val="single" w:sz="8" w:color="F8991D"/>
            </w:tcBorders>
            <w:shd w:val="clear" w:color="auto" w:fill="F8991D"/>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60" w:type="dxa"/>
            <w:vAlign w:val="bottom"/>
            <w:tcBorders>
              <w:bottom w:val="single" w:sz="8" w:color="FAFAFA"/>
            </w:tcBorders>
            <w:shd w:val="clear" w:color="auto" w:fill="FAFAFA"/>
          </w:tcPr>
          <w:p>
            <w:pPr>
              <w:spacing w:after="0"/>
              <w:rPr>
                <w:sz w:val="24"/>
                <w:szCs w:val="24"/>
                <w:color w:val="auto"/>
              </w:rPr>
            </w:pPr>
          </w:p>
        </w:tc>
        <w:tc>
          <w:tcPr>
            <w:tcW w:w="180" w:type="dxa"/>
            <w:vAlign w:val="bottom"/>
            <w:tcBorders>
              <w:bottom w:val="single" w:sz="8" w:color="FAFAFA"/>
            </w:tcBorders>
            <w:shd w:val="clear" w:color="auto" w:fill="FAFAFA"/>
          </w:tcPr>
          <w:p>
            <w:pPr>
              <w:spacing w:after="0"/>
              <w:rPr>
                <w:sz w:val="24"/>
                <w:szCs w:val="24"/>
                <w:color w:val="auto"/>
              </w:rPr>
            </w:pPr>
          </w:p>
        </w:tc>
        <w:tc>
          <w:tcPr>
            <w:tcW w:w="4140" w:type="dxa"/>
            <w:vAlign w:val="bottom"/>
            <w:tcBorders>
              <w:bottom w:val="single" w:sz="8" w:color="0000EE"/>
            </w:tcBorders>
            <w:gridSpan w:val="2"/>
            <w:shd w:val="clear" w:color="auto" w:fill="FAFAFA"/>
          </w:tcPr>
          <w:p>
            <w:pPr>
              <w:spacing w:after="0"/>
              <w:rPr>
                <w:sz w:val="20"/>
                <w:szCs w:val="20"/>
                <w:color w:val="auto"/>
              </w:rPr>
            </w:pPr>
            <w:r>
              <w:rPr>
                <w:rFonts w:ascii="Arial" w:cs="Arial" w:eastAsia="Arial" w:hAnsi="Arial"/>
                <w:sz w:val="14"/>
                <w:szCs w:val="14"/>
                <w:color w:val="0000EE"/>
              </w:rPr>
              <w:t>Fees Paid to the Independent Registered Public Accounting Firm</w:t>
            </w:r>
          </w:p>
        </w:tc>
        <w:tc>
          <w:tcPr>
            <w:tcW w:w="4700" w:type="dxa"/>
            <w:vAlign w:val="bottom"/>
            <w:tcBorders>
              <w:bottom w:val="single" w:sz="8" w:color="FAFAFA"/>
            </w:tcBorders>
            <w:gridSpan w:val="2"/>
            <w:vMerge w:val="restart"/>
            <w:shd w:val="clear" w:color="auto" w:fill="FAFAFA"/>
          </w:tcPr>
          <w:p>
            <w:pPr>
              <w:spacing w:after="0"/>
              <w:rPr>
                <w:sz w:val="24"/>
                <w:szCs w:val="24"/>
                <w:color w:val="auto"/>
              </w:rPr>
            </w:pPr>
          </w:p>
        </w:tc>
        <w:tc>
          <w:tcPr>
            <w:tcW w:w="320" w:type="dxa"/>
            <w:vAlign w:val="bottom"/>
            <w:tcBorders>
              <w:bottom w:val="single" w:sz="8" w:color="FAFAFA"/>
            </w:tcBorders>
            <w:vMerge w:val="restart"/>
            <w:shd w:val="clear" w:color="auto" w:fill="FAFAFA"/>
          </w:tcPr>
          <w:p>
            <w:pPr>
              <w:jc w:val="right"/>
              <w:spacing w:after="0"/>
              <w:rPr>
                <w:sz w:val="20"/>
                <w:szCs w:val="20"/>
                <w:color w:val="auto"/>
              </w:rPr>
            </w:pPr>
            <w:r>
              <w:rPr>
                <w:rFonts w:ascii="Arial" w:cs="Arial" w:eastAsia="Arial" w:hAnsi="Arial"/>
                <w:sz w:val="29"/>
                <w:szCs w:val="29"/>
                <w:color w:val="0000EE"/>
                <w:w w:val="92"/>
              </w:rPr>
              <w:t>26</w:t>
            </w:r>
          </w:p>
        </w:tc>
        <w:tc>
          <w:tcPr>
            <w:tcW w:w="0" w:type="dxa"/>
            <w:vAlign w:val="bottom"/>
          </w:tcPr>
          <w:p>
            <w:pPr>
              <w:spacing w:after="0"/>
              <w:rPr>
                <w:sz w:val="1"/>
                <w:szCs w:val="1"/>
                <w:color w:val="auto"/>
              </w:rPr>
            </w:pPr>
          </w:p>
        </w:tc>
      </w:tr>
      <w:tr>
        <w:trPr>
          <w:trHeight w:val="41"/>
        </w:trPr>
        <w:tc>
          <w:tcPr>
            <w:tcW w:w="60" w:type="dxa"/>
            <w:vAlign w:val="bottom"/>
            <w:tcBorders>
              <w:bottom w:val="single" w:sz="8" w:color="FAFAFA"/>
            </w:tcBorders>
            <w:shd w:val="clear" w:color="auto" w:fill="FAFAFA"/>
          </w:tcPr>
          <w:p>
            <w:pPr>
              <w:spacing w:after="0"/>
              <w:rPr>
                <w:sz w:val="3"/>
                <w:szCs w:val="3"/>
                <w:color w:val="auto"/>
              </w:rPr>
            </w:pPr>
          </w:p>
        </w:tc>
        <w:tc>
          <w:tcPr>
            <w:tcW w:w="180" w:type="dxa"/>
            <w:vAlign w:val="bottom"/>
            <w:tcBorders>
              <w:bottom w:val="single" w:sz="8" w:color="FAFAFA"/>
            </w:tcBorders>
            <w:shd w:val="clear" w:color="auto" w:fill="FAFAFA"/>
          </w:tcPr>
          <w:p>
            <w:pPr>
              <w:spacing w:after="0"/>
              <w:rPr>
                <w:sz w:val="3"/>
                <w:szCs w:val="3"/>
                <w:color w:val="auto"/>
              </w:rPr>
            </w:pPr>
          </w:p>
        </w:tc>
        <w:tc>
          <w:tcPr>
            <w:tcW w:w="4140" w:type="dxa"/>
            <w:vAlign w:val="bottom"/>
            <w:tcBorders>
              <w:bottom w:val="single" w:sz="8" w:color="FAFAFA"/>
            </w:tcBorders>
            <w:gridSpan w:val="2"/>
            <w:shd w:val="clear" w:color="auto" w:fill="FAFAFA"/>
          </w:tcPr>
          <w:p>
            <w:pPr>
              <w:spacing w:after="0"/>
              <w:rPr>
                <w:sz w:val="3"/>
                <w:szCs w:val="3"/>
                <w:color w:val="auto"/>
              </w:rPr>
            </w:pPr>
          </w:p>
        </w:tc>
        <w:tc>
          <w:tcPr>
            <w:tcW w:w="4700" w:type="dxa"/>
            <w:vAlign w:val="bottom"/>
            <w:tcBorders>
              <w:bottom w:val="single" w:sz="8" w:color="FAFAFA"/>
            </w:tcBorders>
            <w:gridSpan w:val="2"/>
            <w:vMerge w:val="continue"/>
            <w:shd w:val="clear" w:color="auto" w:fill="FAFAFA"/>
          </w:tcPr>
          <w:p>
            <w:pPr>
              <w:spacing w:after="0"/>
              <w:rPr>
                <w:sz w:val="3"/>
                <w:szCs w:val="3"/>
                <w:color w:val="auto"/>
              </w:rPr>
            </w:pPr>
          </w:p>
        </w:tc>
        <w:tc>
          <w:tcPr>
            <w:tcW w:w="320" w:type="dxa"/>
            <w:vAlign w:val="bottom"/>
            <w:tcBorders>
              <w:bottom w:val="single" w:sz="8" w:color="0000EE"/>
            </w:tcBorders>
            <w:vMerge w:val="continue"/>
            <w:shd w:val="clear" w:color="auto" w:fill="FAFAFA"/>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60" w:type="dxa"/>
            <w:vAlign w:val="bottom"/>
            <w:shd w:val="clear" w:color="auto" w:fill="FAFAFA"/>
          </w:tcPr>
          <w:p>
            <w:pPr>
              <w:spacing w:after="0"/>
              <w:rPr>
                <w:sz w:val="11"/>
                <w:szCs w:val="11"/>
                <w:color w:val="auto"/>
              </w:rPr>
            </w:pPr>
          </w:p>
        </w:tc>
        <w:tc>
          <w:tcPr>
            <w:tcW w:w="180" w:type="dxa"/>
            <w:vAlign w:val="bottom"/>
            <w:shd w:val="clear" w:color="auto" w:fill="FAFAFA"/>
          </w:tcPr>
          <w:p>
            <w:pPr>
              <w:spacing w:after="0"/>
              <w:rPr>
                <w:sz w:val="11"/>
                <w:szCs w:val="11"/>
                <w:color w:val="auto"/>
              </w:rPr>
            </w:pPr>
          </w:p>
        </w:tc>
        <w:tc>
          <w:tcPr>
            <w:tcW w:w="220" w:type="dxa"/>
            <w:vAlign w:val="bottom"/>
            <w:shd w:val="clear" w:color="auto" w:fill="FAFAFA"/>
          </w:tcPr>
          <w:p>
            <w:pPr>
              <w:spacing w:after="0"/>
              <w:rPr>
                <w:sz w:val="11"/>
                <w:szCs w:val="11"/>
                <w:color w:val="auto"/>
              </w:rPr>
            </w:pPr>
          </w:p>
        </w:tc>
        <w:tc>
          <w:tcPr>
            <w:tcW w:w="3920" w:type="dxa"/>
            <w:vAlign w:val="bottom"/>
            <w:shd w:val="clear" w:color="auto" w:fill="FAFAFA"/>
          </w:tcPr>
          <w:p>
            <w:pPr>
              <w:spacing w:after="0"/>
              <w:rPr>
                <w:sz w:val="11"/>
                <w:szCs w:val="11"/>
                <w:color w:val="auto"/>
              </w:rPr>
            </w:pPr>
          </w:p>
        </w:tc>
        <w:tc>
          <w:tcPr>
            <w:tcW w:w="4140" w:type="dxa"/>
            <w:vAlign w:val="bottom"/>
            <w:shd w:val="clear" w:color="auto" w:fill="FAFAFA"/>
          </w:tcPr>
          <w:p>
            <w:pPr>
              <w:spacing w:after="0"/>
              <w:rPr>
                <w:sz w:val="11"/>
                <w:szCs w:val="11"/>
                <w:color w:val="auto"/>
              </w:rPr>
            </w:pPr>
          </w:p>
        </w:tc>
        <w:tc>
          <w:tcPr>
            <w:tcW w:w="560" w:type="dxa"/>
            <w:vAlign w:val="bottom"/>
            <w:shd w:val="clear" w:color="auto" w:fill="FAFAFA"/>
          </w:tcPr>
          <w:p>
            <w:pPr>
              <w:spacing w:after="0"/>
              <w:rPr>
                <w:sz w:val="11"/>
                <w:szCs w:val="11"/>
                <w:color w:val="auto"/>
              </w:rPr>
            </w:pPr>
          </w:p>
        </w:tc>
        <w:tc>
          <w:tcPr>
            <w:tcW w:w="320" w:type="dxa"/>
            <w:vAlign w:val="bottom"/>
            <w:shd w:val="clear" w:color="auto" w:fill="FAFAFA"/>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5966460" cy="2025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6460" cy="20256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-367665</wp:posOffset>
            </wp:positionV>
            <wp:extent cx="596646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6460" cy="34290"/>
                    </a:xfrm>
                    <a:prstGeom prst="rect">
                      <a:avLst/>
                    </a:prstGeom>
                    <a:noFill/>
                  </pic:spPr>
                </pic:pic>
              </a:graphicData>
            </a:graphic>
          </wp:anchor>
        </w:drawing>
      </w:r>
    </w:p>
    <w:p>
      <w:pPr>
        <w:sectPr>
          <w:pgSz w:w="11900" w:h="16867" w:orient="portrait"/>
          <w:cols w:equalWidth="0" w:num="1">
            <w:col w:w="9400"/>
          </w:cols>
          <w:pgMar w:left="1240" w:top="263" w:right="1259" w:bottom="0" w:gutter="0" w:footer="0" w:header="0"/>
          <w:type w:val="continuous"/>
        </w:sectPr>
      </w:pPr>
    </w:p>
    <w:p>
      <w:pPr>
        <w:spacing w:after="0" w:line="99"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Auditor Independence</w:t>
      </w:r>
    </w:p>
    <w:p>
      <w:pPr>
        <w:sectPr>
          <w:pgSz w:w="11900" w:h="16867" w:orient="portrait"/>
          <w:cols w:equalWidth="0" w:num="1">
            <w:col w:w="9400"/>
          </w:cols>
          <w:pgMar w:left="1240" w:top="263" w:right="1259" w:bottom="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791210</wp:posOffset>
            </wp:positionH>
            <wp:positionV relativeFrom="page">
              <wp:posOffset>88900</wp:posOffset>
            </wp:positionV>
            <wp:extent cx="5966460" cy="6083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6460" cy="60833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0000EE"/>
        </w:rPr>
        <w:t>Audit Committee Policy on Pre-Approval of Audit and Permissible Non-Audit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220980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8"/>
          <w:szCs w:val="28"/>
          <w:u w:val="single" w:color="auto"/>
          <w:color w:val="0000EE"/>
        </w:rPr>
        <w:t>27</w:t>
      </w:r>
    </w:p>
    <w:p>
      <w:pPr>
        <w:spacing w:after="0" w:line="231"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27</w:t>
      </w:r>
    </w:p>
    <w:p>
      <w:pPr>
        <w:sectPr>
          <w:pgSz w:w="11900" w:h="16838" w:orient="portrait"/>
          <w:cols w:equalWidth="0" w:num="2">
            <w:col w:w="8160" w:space="720"/>
            <w:col w:w="320"/>
          </w:cols>
          <w:pgMar w:left="1440" w:top="108" w:right="12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93345</wp:posOffset>
            </wp:positionV>
            <wp:extent cx="5966460" cy="10241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6460" cy="10241280"/>
                    </a:xfrm>
                    <a:prstGeom prst="rect">
                      <a:avLst/>
                    </a:prstGeom>
                    <a:noFill/>
                  </pic:spPr>
                </pic:pic>
              </a:graphicData>
            </a:graphic>
          </wp:anchor>
        </w:drawing>
      </w:r>
    </w:p>
    <w:p>
      <w:pPr>
        <w:spacing w:after="0" w:line="267"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Vote Required</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Board Recommendation</w:t>
      </w:r>
    </w:p>
    <w:p>
      <w:pPr>
        <w:spacing w:after="0" w:line="374" w:lineRule="exact"/>
        <w:rPr>
          <w:sz w:val="20"/>
          <w:szCs w:val="20"/>
          <w:color w:val="auto"/>
        </w:rPr>
      </w:pPr>
    </w:p>
    <w:p>
      <w:pPr>
        <w:ind w:left="60"/>
        <w:spacing w:after="0"/>
        <w:rPr>
          <w:sz w:val="20"/>
          <w:szCs w:val="20"/>
          <w:color w:val="auto"/>
        </w:rPr>
      </w:pPr>
      <w:r>
        <w:rPr>
          <w:rFonts w:ascii="Arial" w:cs="Arial" w:eastAsia="Arial" w:hAnsi="Arial"/>
          <w:sz w:val="16"/>
          <w:szCs w:val="16"/>
          <w:b w:val="1"/>
          <w:bCs w:val="1"/>
          <w:u w:val="single" w:color="auto"/>
          <w:color w:val="0000EE"/>
        </w:rPr>
        <w:t>REPORT OF THE AUDIT COMMITTEE</w:t>
      </w:r>
    </w:p>
    <w:p>
      <w:pPr>
        <w:spacing w:after="0" w:line="302" w:lineRule="exact"/>
        <w:rPr>
          <w:sz w:val="20"/>
          <w:szCs w:val="20"/>
          <w:color w:val="auto"/>
        </w:rPr>
      </w:pPr>
    </w:p>
    <w:p>
      <w:pPr>
        <w:ind w:left="240" w:right="80" w:hanging="161"/>
        <w:spacing w:after="0" w:line="296" w:lineRule="auto"/>
        <w:rPr>
          <w:sz w:val="20"/>
          <w:szCs w:val="20"/>
          <w:color w:val="auto"/>
        </w:rPr>
      </w:pPr>
      <w:r>
        <w:rPr>
          <w:rFonts w:ascii="Arial" w:cs="Arial" w:eastAsia="Arial" w:hAnsi="Arial"/>
          <w:sz w:val="16"/>
          <w:szCs w:val="16"/>
          <w:b w:val="1"/>
          <w:bCs w:val="1"/>
          <w:u w:val="single" w:color="auto"/>
          <w:color w:val="0000EE"/>
        </w:rPr>
        <w:t>PROPOSAL NO. 3: APPROVAL OF AN AMENDMENT TO OUR AMENDED AND RESTATED CERTIFICATE OF INCORPORATION</w:t>
      </w:r>
    </w:p>
    <w:p>
      <w:pPr>
        <w:spacing w:after="0" w:line="267"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Proposed Amendment to the Amended and Restated Certificate of Incorporation</w:t>
      </w:r>
    </w:p>
    <w:p>
      <w:pPr>
        <w:spacing w:after="0" w:line="352"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Purpose of the Exculpation Amendment</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Effectiveness of the Exculpation Amendment</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Vote Required</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Board Recommendation</w:t>
      </w:r>
    </w:p>
    <w:p>
      <w:pPr>
        <w:spacing w:after="0" w:line="374" w:lineRule="exact"/>
        <w:rPr>
          <w:sz w:val="20"/>
          <w:szCs w:val="20"/>
          <w:color w:val="auto"/>
        </w:rPr>
      </w:pPr>
    </w:p>
    <w:p>
      <w:pPr>
        <w:ind w:left="60"/>
        <w:spacing w:after="0"/>
        <w:rPr>
          <w:sz w:val="20"/>
          <w:szCs w:val="20"/>
          <w:color w:val="auto"/>
        </w:rPr>
      </w:pPr>
      <w:r>
        <w:rPr>
          <w:rFonts w:ascii="Arial" w:cs="Arial" w:eastAsia="Arial" w:hAnsi="Arial"/>
          <w:sz w:val="16"/>
          <w:szCs w:val="16"/>
          <w:b w:val="1"/>
          <w:bCs w:val="1"/>
          <w:u w:val="single" w:color="auto"/>
          <w:color w:val="0000EE"/>
        </w:rPr>
        <w:t>EXECUTIVE OFFICERS</w:t>
      </w:r>
    </w:p>
    <w:p>
      <w:pPr>
        <w:spacing w:after="0" w:line="388"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Executive Officers</w:t>
      </w:r>
    </w:p>
    <w:p>
      <w:pPr>
        <w:spacing w:after="0" w:line="374" w:lineRule="exact"/>
        <w:rPr>
          <w:sz w:val="20"/>
          <w:szCs w:val="20"/>
          <w:color w:val="auto"/>
        </w:rPr>
      </w:pPr>
    </w:p>
    <w:p>
      <w:pPr>
        <w:ind w:left="60"/>
        <w:spacing w:after="0"/>
        <w:rPr>
          <w:sz w:val="20"/>
          <w:szCs w:val="20"/>
          <w:color w:val="auto"/>
        </w:rPr>
      </w:pPr>
      <w:r>
        <w:rPr>
          <w:rFonts w:ascii="Arial" w:cs="Arial" w:eastAsia="Arial" w:hAnsi="Arial"/>
          <w:sz w:val="16"/>
          <w:szCs w:val="16"/>
          <w:b w:val="1"/>
          <w:bCs w:val="1"/>
          <w:u w:val="single" w:color="auto"/>
          <w:color w:val="0000EE"/>
        </w:rPr>
        <w:t>EXECUTIVE COMPENSATION</w:t>
      </w:r>
    </w:p>
    <w:p>
      <w:pPr>
        <w:spacing w:after="0" w:line="388"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Processes and Procedures for Compensation Decisions</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Executive Compensation</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2022-2023 Summary Compensation Table</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Outstanding Equity Awards at December 31, 2023</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Executive Employment Arrangements</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Change in Control and Severance Agreements</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Equity Incentive Plans</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Clawback Policy</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Executive Incentive Compensation Plan</w:t>
      </w:r>
    </w:p>
    <w:p>
      <w:pPr>
        <w:spacing w:after="0" w:line="374" w:lineRule="exact"/>
        <w:rPr>
          <w:sz w:val="20"/>
          <w:szCs w:val="20"/>
          <w:color w:val="auto"/>
        </w:rPr>
      </w:pPr>
    </w:p>
    <w:p>
      <w:pPr>
        <w:ind w:left="60"/>
        <w:spacing w:after="0"/>
        <w:rPr>
          <w:sz w:val="20"/>
          <w:szCs w:val="20"/>
          <w:color w:val="auto"/>
        </w:rPr>
      </w:pPr>
      <w:r>
        <w:rPr>
          <w:rFonts w:ascii="Arial" w:cs="Arial" w:eastAsia="Arial" w:hAnsi="Arial"/>
          <w:sz w:val="16"/>
          <w:szCs w:val="16"/>
          <w:b w:val="1"/>
          <w:bCs w:val="1"/>
          <w:u w:val="single" w:color="auto"/>
          <w:color w:val="0000EE"/>
        </w:rPr>
        <w:t>SECURITY OWNERSHIP OF CERTAIN BENEFICIAL OWNERS AND MANAGEMENT</w:t>
      </w:r>
    </w:p>
    <w:p>
      <w:pPr>
        <w:spacing w:after="0" w:line="370" w:lineRule="exact"/>
        <w:rPr>
          <w:sz w:val="20"/>
          <w:szCs w:val="20"/>
          <w:color w:val="auto"/>
        </w:rPr>
      </w:pPr>
    </w:p>
    <w:p>
      <w:pPr>
        <w:ind w:left="60"/>
        <w:spacing w:after="0"/>
        <w:rPr>
          <w:sz w:val="20"/>
          <w:szCs w:val="20"/>
          <w:color w:val="auto"/>
        </w:rPr>
      </w:pPr>
      <w:r>
        <w:rPr>
          <w:rFonts w:ascii="Arial" w:cs="Arial" w:eastAsia="Arial" w:hAnsi="Arial"/>
          <w:sz w:val="16"/>
          <w:szCs w:val="16"/>
          <w:b w:val="1"/>
          <w:bCs w:val="1"/>
          <w:u w:val="single" w:color="auto"/>
          <w:color w:val="0000EE"/>
        </w:rPr>
        <w:t>SECURITIES AUTHORIZED FOR ISSUANCE UNDER EQUITY COMPENSATION PLANS</w:t>
      </w:r>
    </w:p>
    <w:p>
      <w:pPr>
        <w:spacing w:after="0" w:line="370" w:lineRule="exact"/>
        <w:rPr>
          <w:sz w:val="20"/>
          <w:szCs w:val="20"/>
          <w:color w:val="auto"/>
        </w:rPr>
      </w:pPr>
    </w:p>
    <w:p>
      <w:pPr>
        <w:ind w:left="60"/>
        <w:spacing w:after="0"/>
        <w:rPr>
          <w:sz w:val="20"/>
          <w:szCs w:val="20"/>
          <w:color w:val="auto"/>
        </w:rPr>
      </w:pPr>
      <w:r>
        <w:rPr>
          <w:rFonts w:ascii="Arial" w:cs="Arial" w:eastAsia="Arial" w:hAnsi="Arial"/>
          <w:sz w:val="16"/>
          <w:szCs w:val="16"/>
          <w:b w:val="1"/>
          <w:bCs w:val="1"/>
          <w:u w:val="single" w:color="auto"/>
          <w:color w:val="0000EE"/>
        </w:rPr>
        <w:t>RELATED PERSON TRANSACTIONS</w:t>
      </w:r>
    </w:p>
    <w:p>
      <w:pPr>
        <w:spacing w:after="0" w:line="388"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Related-Person Transactions Policy</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Investors’ Rights Agreement</w:t>
      </w:r>
    </w:p>
    <w:p>
      <w:pPr>
        <w:spacing w:after="0" w:line="3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Other Transactions</w:t>
      </w:r>
    </w:p>
    <w:p>
      <w:pPr>
        <w:spacing w:after="0" w:line="374" w:lineRule="exact"/>
        <w:rPr>
          <w:sz w:val="20"/>
          <w:szCs w:val="20"/>
          <w:color w:val="auto"/>
        </w:rPr>
      </w:pPr>
    </w:p>
    <w:p>
      <w:pPr>
        <w:ind w:left="60"/>
        <w:spacing w:after="0"/>
        <w:rPr>
          <w:sz w:val="20"/>
          <w:szCs w:val="20"/>
          <w:color w:val="auto"/>
        </w:rPr>
      </w:pPr>
      <w:r>
        <w:rPr>
          <w:rFonts w:ascii="Arial" w:cs="Arial" w:eastAsia="Arial" w:hAnsi="Arial"/>
          <w:sz w:val="16"/>
          <w:szCs w:val="16"/>
          <w:b w:val="1"/>
          <w:bCs w:val="1"/>
          <w:u w:val="single" w:color="auto"/>
          <w:color w:val="0000EE"/>
        </w:rPr>
        <w:t>OTHER MATTERS</w:t>
      </w:r>
    </w:p>
    <w:p>
      <w:pPr>
        <w:spacing w:after="0" w:line="388"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0000EE"/>
        </w:rPr>
        <w:t>Availability of Bylaws</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27</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27</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28</w:t>
      </w:r>
    </w:p>
    <w:p>
      <w:pPr>
        <w:spacing w:after="0" w:line="245"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29</w:t>
      </w:r>
    </w:p>
    <w:p>
      <w:pPr>
        <w:spacing w:after="0" w:line="259"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29</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29</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29</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30</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30</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31</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31</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34</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34</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34</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35</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36</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37</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38</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41</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41</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41</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43</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45</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46</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46</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46</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47</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48</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48</w:t>
      </w:r>
    </w:p>
    <w:p>
      <w:pPr>
        <w:sectPr>
          <w:pgSz w:w="11900" w:h="16838" w:orient="portrait"/>
          <w:cols w:equalWidth="0" w:num="2">
            <w:col w:w="8360" w:space="720"/>
            <w:col w:w="320"/>
          </w:cols>
          <w:pgMar w:left="1240" w:top="263" w:right="1259" w:bottom="0" w:gutter="0" w:footer="0" w:header="0"/>
        </w:sectPr>
      </w:pPr>
    </w:p>
    <w:bookmarkStart w:id="8" w:name="page9"/>
    <w:bookmarkEnd w:id="8"/>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791210</wp:posOffset>
            </wp:positionH>
            <wp:positionV relativeFrom="page">
              <wp:posOffset>88900</wp:posOffset>
            </wp:positionV>
            <wp:extent cx="5966460" cy="6172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6460" cy="617220"/>
                    </a:xfrm>
                    <a:prstGeom prst="rect">
                      <a:avLst/>
                    </a:prstGeom>
                    <a:noFill/>
                  </pic:spPr>
                </pic:pic>
              </a:graphicData>
            </a:graphic>
          </wp:anchor>
        </w:drawing>
      </w:r>
    </w:p>
    <w:p>
      <w:pPr>
        <w:jc w:val="right"/>
        <w:ind w:right="6840"/>
        <w:spacing w:after="0"/>
        <w:rPr>
          <w:sz w:val="20"/>
          <w:szCs w:val="20"/>
          <w:color w:val="auto"/>
        </w:rPr>
      </w:pPr>
      <w:r>
        <w:rPr>
          <w:rFonts w:ascii="Arial" w:cs="Arial" w:eastAsia="Arial" w:hAnsi="Arial"/>
          <w:sz w:val="14"/>
          <w:szCs w:val="14"/>
          <w:u w:val="single" w:color="auto"/>
          <w:color w:val="0000EE"/>
        </w:rPr>
        <w:t>2023 Annual Report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EE"/>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226695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8"/>
          <w:szCs w:val="28"/>
          <w:u w:val="single" w:color="auto"/>
          <w:color w:val="0000EE"/>
        </w:rPr>
        <w:t>48</w:t>
      </w:r>
    </w:p>
    <w:p>
      <w:pPr>
        <w:spacing w:after="0" w:line="232" w:lineRule="exact"/>
        <w:rPr>
          <w:sz w:val="20"/>
          <w:szCs w:val="20"/>
          <w:color w:val="auto"/>
        </w:rPr>
      </w:pPr>
    </w:p>
    <w:p>
      <w:pPr>
        <w:spacing w:after="0"/>
        <w:rPr>
          <w:sz w:val="20"/>
          <w:szCs w:val="20"/>
          <w:color w:val="auto"/>
        </w:rPr>
      </w:pPr>
      <w:r>
        <w:rPr>
          <w:rFonts w:ascii="Arial" w:cs="Arial" w:eastAsia="Arial" w:hAnsi="Arial"/>
          <w:sz w:val="28"/>
          <w:szCs w:val="28"/>
          <w:u w:val="single" w:color="auto"/>
          <w:color w:val="0000EE"/>
        </w:rPr>
        <w:t>49</w:t>
      </w:r>
    </w:p>
    <w:p>
      <w:pPr>
        <w:sectPr>
          <w:pgSz w:w="11900" w:h="16838" w:orient="portrait"/>
          <w:cols w:equalWidth="0" w:num="2">
            <w:col w:w="8300" w:space="720"/>
            <w:col w:w="320"/>
          </w:cols>
          <w:pgMar w:left="1300" w:top="121" w:right="12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FF0000"/>
        </w:rPr>
        <w:t>PRELIMINARY PROXY MATERIALS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4632960</wp:posOffset>
            </wp:positionH>
            <wp:positionV relativeFrom="paragraph">
              <wp:posOffset>187960</wp:posOffset>
            </wp:positionV>
            <wp:extent cx="1337310" cy="651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3731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F8991D"/>
        </w:rPr>
        <w:t>FOR 2024 ANNUAL MEETING</w:t>
      </w:r>
    </w:p>
    <w:p>
      <w:pPr>
        <w:spacing w:after="0" w:line="45" w:lineRule="exact"/>
        <w:rPr>
          <w:sz w:val="20"/>
          <w:szCs w:val="20"/>
          <w:color w:val="auto"/>
        </w:rPr>
      </w:pPr>
    </w:p>
    <w:p>
      <w:pPr>
        <w:spacing w:after="0"/>
        <w:rPr>
          <w:sz w:val="20"/>
          <w:szCs w:val="20"/>
          <w:color w:val="auto"/>
        </w:rPr>
      </w:pPr>
      <w:r>
        <w:rPr>
          <w:rFonts w:ascii="Arial" w:cs="Arial" w:eastAsia="Arial" w:hAnsi="Arial"/>
          <w:sz w:val="58"/>
          <w:szCs w:val="58"/>
          <w:color w:val="255993"/>
        </w:rPr>
        <w:t>Proxy Statement</w:t>
      </w:r>
    </w:p>
    <w:p>
      <w:pPr>
        <w:spacing w:after="0" w:line="41" w:lineRule="exact"/>
        <w:rPr>
          <w:sz w:val="20"/>
          <w:szCs w:val="20"/>
          <w:color w:val="auto"/>
        </w:rPr>
      </w:pPr>
    </w:p>
    <w:p>
      <w:pPr>
        <w:spacing w:after="0"/>
        <w:rPr>
          <w:sz w:val="20"/>
          <w:szCs w:val="20"/>
          <w:color w:val="auto"/>
        </w:rPr>
      </w:pPr>
      <w:r>
        <w:rPr>
          <w:rFonts w:ascii="Arial" w:cs="Arial" w:eastAsia="Arial" w:hAnsi="Arial"/>
          <w:sz w:val="58"/>
          <w:szCs w:val="58"/>
          <w:color w:val="255993"/>
        </w:rPr>
        <w:t>Summary</w:t>
      </w:r>
    </w:p>
    <w:p>
      <w:pPr>
        <w:sectPr>
          <w:pgSz w:w="11900" w:h="16838" w:orient="portrait"/>
          <w:cols w:equalWidth="0" w:num="1">
            <w:col w:w="9400"/>
          </w:cols>
          <w:pgMar w:left="1240" w:top="263" w:right="125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Meeting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6426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262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234950</wp:posOffset>
            </wp:positionV>
            <wp:extent cx="299720" cy="2832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9972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May 23, 2024</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Meeting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6515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151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234950</wp:posOffset>
            </wp:positionV>
            <wp:extent cx="265430" cy="3003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543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8:00 a.m.,</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Pacific Time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Meeting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8147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147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200660</wp:posOffset>
            </wp:positionV>
            <wp:extent cx="205740" cy="3003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574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color w:val="auto"/>
        </w:rPr>
        <w:t>The annual meeting</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will be conducted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virtually via live audio</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webcast. You will be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able to attend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annual meeting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virtually by visiting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www.</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virtualshareholder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meeting.com/</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ATHA2024, where you</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will be able to listen to</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meeting live, submit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questions and vote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online during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VOTING MATTERS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 w:type="dxa"/>
            <w:vAlign w:val="bottom"/>
            <w:shd w:val="clear" w:color="auto" w:fill="255993"/>
          </w:tcPr>
          <w:p>
            <w:pPr>
              <w:spacing w:after="0"/>
              <w:rPr>
                <w:sz w:val="16"/>
                <w:szCs w:val="16"/>
                <w:color w:val="auto"/>
              </w:rPr>
            </w:pPr>
          </w:p>
        </w:tc>
        <w:tc>
          <w:tcPr>
            <w:tcW w:w="3440" w:type="dxa"/>
            <w:vAlign w:val="bottom"/>
            <w:shd w:val="clear" w:color="auto" w:fill="255993"/>
          </w:tcPr>
          <w:p>
            <w:pPr>
              <w:spacing w:after="0"/>
              <w:rPr>
                <w:sz w:val="16"/>
                <w:szCs w:val="16"/>
                <w:color w:val="auto"/>
              </w:rPr>
            </w:pPr>
          </w:p>
        </w:tc>
        <w:tc>
          <w:tcPr>
            <w:tcW w:w="2100" w:type="dxa"/>
            <w:vAlign w:val="bottom"/>
            <w:shd w:val="clear" w:color="auto" w:fill="255993"/>
          </w:tcPr>
          <w:p>
            <w:pPr>
              <w:ind w:left="160"/>
              <w:spacing w:after="0"/>
              <w:rPr>
                <w:sz w:val="20"/>
                <w:szCs w:val="20"/>
                <w:color w:val="auto"/>
              </w:rPr>
            </w:pPr>
            <w:r>
              <w:rPr>
                <w:rFonts w:ascii="Arial" w:cs="Arial" w:eastAsia="Arial" w:hAnsi="Arial"/>
                <w:sz w:val="16"/>
                <w:szCs w:val="16"/>
                <w:b w:val="1"/>
                <w:bCs w:val="1"/>
                <w:color w:val="FFFFFF"/>
              </w:rPr>
              <w:t>Board</w:t>
            </w:r>
          </w:p>
        </w:tc>
        <w:tc>
          <w:tcPr>
            <w:tcW w:w="1100" w:type="dxa"/>
            <w:vAlign w:val="bottom"/>
            <w:gridSpan w:val="3"/>
            <w:shd w:val="clear" w:color="auto" w:fill="255993"/>
          </w:tcPr>
          <w:p>
            <w:pPr>
              <w:ind w:left="380"/>
              <w:spacing w:after="0"/>
              <w:rPr>
                <w:sz w:val="20"/>
                <w:szCs w:val="20"/>
                <w:color w:val="auto"/>
              </w:rPr>
            </w:pPr>
            <w:r>
              <w:rPr>
                <w:rFonts w:ascii="Arial" w:cs="Arial" w:eastAsia="Arial" w:hAnsi="Arial"/>
                <w:sz w:val="16"/>
                <w:szCs w:val="16"/>
                <w:b w:val="1"/>
                <w:bCs w:val="1"/>
                <w:color w:val="FFFFFF"/>
              </w:rPr>
              <w:t>Page</w:t>
            </w:r>
          </w:p>
        </w:tc>
        <w:tc>
          <w:tcPr>
            <w:tcW w:w="0" w:type="dxa"/>
            <w:vAlign w:val="bottom"/>
          </w:tcPr>
          <w:p>
            <w:pPr>
              <w:spacing w:after="0"/>
              <w:rPr>
                <w:sz w:val="1"/>
                <w:szCs w:val="1"/>
                <w:color w:val="auto"/>
              </w:rPr>
            </w:pPr>
          </w:p>
        </w:tc>
      </w:tr>
      <w:tr>
        <w:trPr>
          <w:trHeight w:val="223"/>
        </w:trPr>
        <w:tc>
          <w:tcPr>
            <w:tcW w:w="1020" w:type="dxa"/>
            <w:vAlign w:val="bottom"/>
            <w:shd w:val="clear" w:color="auto" w:fill="255993"/>
          </w:tcPr>
          <w:p>
            <w:pPr>
              <w:jc w:val="center"/>
              <w:spacing w:after="0"/>
              <w:rPr>
                <w:sz w:val="20"/>
                <w:szCs w:val="20"/>
                <w:color w:val="auto"/>
              </w:rPr>
            </w:pPr>
            <w:r>
              <w:rPr>
                <w:rFonts w:ascii="Arial" w:cs="Arial" w:eastAsia="Arial" w:hAnsi="Arial"/>
                <w:sz w:val="16"/>
                <w:szCs w:val="16"/>
                <w:b w:val="1"/>
                <w:bCs w:val="1"/>
                <w:color w:val="FFFFFF"/>
              </w:rPr>
              <w:t>Proposal</w:t>
            </w:r>
          </w:p>
        </w:tc>
        <w:tc>
          <w:tcPr>
            <w:tcW w:w="3440" w:type="dxa"/>
            <w:vAlign w:val="bottom"/>
            <w:shd w:val="clear" w:color="auto" w:fill="255993"/>
          </w:tcPr>
          <w:p>
            <w:pPr>
              <w:spacing w:after="0"/>
              <w:rPr>
                <w:sz w:val="19"/>
                <w:szCs w:val="19"/>
                <w:color w:val="auto"/>
              </w:rPr>
            </w:pPr>
          </w:p>
        </w:tc>
        <w:tc>
          <w:tcPr>
            <w:tcW w:w="2100" w:type="dxa"/>
            <w:vAlign w:val="bottom"/>
            <w:shd w:val="clear" w:color="auto" w:fill="255993"/>
          </w:tcPr>
          <w:p>
            <w:pPr>
              <w:ind w:left="160"/>
              <w:spacing w:after="0"/>
              <w:rPr>
                <w:sz w:val="20"/>
                <w:szCs w:val="20"/>
                <w:color w:val="auto"/>
              </w:rPr>
            </w:pPr>
            <w:r>
              <w:rPr>
                <w:rFonts w:ascii="Arial" w:cs="Arial" w:eastAsia="Arial" w:hAnsi="Arial"/>
                <w:sz w:val="16"/>
                <w:szCs w:val="16"/>
                <w:b w:val="1"/>
                <w:bCs w:val="1"/>
                <w:color w:val="FFFFFF"/>
              </w:rPr>
              <w:t>Recommendation</w:t>
            </w:r>
          </w:p>
        </w:tc>
        <w:tc>
          <w:tcPr>
            <w:tcW w:w="1100" w:type="dxa"/>
            <w:vAlign w:val="bottom"/>
            <w:gridSpan w:val="3"/>
            <w:shd w:val="clear" w:color="auto" w:fill="255993"/>
          </w:tcPr>
          <w:p>
            <w:pPr>
              <w:ind w:left="200"/>
              <w:spacing w:after="0"/>
              <w:rPr>
                <w:sz w:val="20"/>
                <w:szCs w:val="20"/>
                <w:color w:val="auto"/>
              </w:rPr>
            </w:pPr>
            <w:r>
              <w:rPr>
                <w:rFonts w:ascii="Arial" w:cs="Arial" w:eastAsia="Arial" w:hAnsi="Arial"/>
                <w:sz w:val="16"/>
                <w:szCs w:val="16"/>
                <w:b w:val="1"/>
                <w:bCs w:val="1"/>
                <w:color w:val="FFFFFF"/>
              </w:rPr>
              <w:t>Reference</w:t>
            </w:r>
          </w:p>
        </w:tc>
        <w:tc>
          <w:tcPr>
            <w:tcW w:w="0" w:type="dxa"/>
            <w:vAlign w:val="bottom"/>
          </w:tcPr>
          <w:p>
            <w:pPr>
              <w:spacing w:after="0"/>
              <w:rPr>
                <w:sz w:val="1"/>
                <w:szCs w:val="1"/>
                <w:color w:val="auto"/>
              </w:rPr>
            </w:pPr>
          </w:p>
        </w:tc>
      </w:tr>
      <w:tr>
        <w:trPr>
          <w:trHeight w:val="156"/>
        </w:trPr>
        <w:tc>
          <w:tcPr>
            <w:tcW w:w="1020" w:type="dxa"/>
            <w:vAlign w:val="bottom"/>
            <w:shd w:val="clear" w:color="auto" w:fill="255993"/>
          </w:tcPr>
          <w:p>
            <w:pPr>
              <w:spacing w:after="0"/>
              <w:rPr>
                <w:sz w:val="13"/>
                <w:szCs w:val="13"/>
                <w:color w:val="auto"/>
              </w:rPr>
            </w:pPr>
          </w:p>
        </w:tc>
        <w:tc>
          <w:tcPr>
            <w:tcW w:w="3440" w:type="dxa"/>
            <w:vAlign w:val="bottom"/>
            <w:shd w:val="clear" w:color="auto" w:fill="255993"/>
          </w:tcPr>
          <w:p>
            <w:pPr>
              <w:spacing w:after="0"/>
              <w:rPr>
                <w:sz w:val="13"/>
                <w:szCs w:val="13"/>
                <w:color w:val="auto"/>
              </w:rPr>
            </w:pPr>
          </w:p>
        </w:tc>
        <w:tc>
          <w:tcPr>
            <w:tcW w:w="2100" w:type="dxa"/>
            <w:vAlign w:val="bottom"/>
            <w:shd w:val="clear" w:color="auto" w:fill="255993"/>
          </w:tcPr>
          <w:p>
            <w:pPr>
              <w:spacing w:after="0"/>
              <w:rPr>
                <w:sz w:val="13"/>
                <w:szCs w:val="13"/>
                <w:color w:val="auto"/>
              </w:rPr>
            </w:pPr>
          </w:p>
        </w:tc>
        <w:tc>
          <w:tcPr>
            <w:tcW w:w="520" w:type="dxa"/>
            <w:vAlign w:val="bottom"/>
            <w:shd w:val="clear" w:color="auto" w:fill="255993"/>
          </w:tcPr>
          <w:p>
            <w:pPr>
              <w:spacing w:after="0"/>
              <w:rPr>
                <w:sz w:val="13"/>
                <w:szCs w:val="13"/>
                <w:color w:val="auto"/>
              </w:rPr>
            </w:pPr>
          </w:p>
        </w:tc>
        <w:tc>
          <w:tcPr>
            <w:tcW w:w="160" w:type="dxa"/>
            <w:vAlign w:val="bottom"/>
            <w:shd w:val="clear" w:color="auto" w:fill="255993"/>
          </w:tcPr>
          <w:p>
            <w:pPr>
              <w:spacing w:after="0"/>
              <w:rPr>
                <w:sz w:val="13"/>
                <w:szCs w:val="13"/>
                <w:color w:val="auto"/>
              </w:rPr>
            </w:pPr>
          </w:p>
        </w:tc>
        <w:tc>
          <w:tcPr>
            <w:tcW w:w="420" w:type="dxa"/>
            <w:vAlign w:val="bottom"/>
            <w:shd w:val="clear" w:color="auto" w:fill="255993"/>
          </w:tcPr>
          <w:p>
            <w:pPr>
              <w:spacing w:after="0"/>
              <w:rPr>
                <w:sz w:val="13"/>
                <w:szCs w:val="13"/>
                <w:color w:val="auto"/>
              </w:rPr>
            </w:pPr>
          </w:p>
        </w:tc>
        <w:tc>
          <w:tcPr>
            <w:tcW w:w="0" w:type="dxa"/>
            <w:vAlign w:val="bottom"/>
          </w:tcPr>
          <w:p>
            <w:pPr>
              <w:spacing w:after="0"/>
              <w:rPr>
                <w:sz w:val="1"/>
                <w:szCs w:val="1"/>
                <w:color w:val="auto"/>
              </w:rPr>
            </w:pPr>
          </w:p>
        </w:tc>
      </w:tr>
      <w:tr>
        <w:trPr>
          <w:trHeight w:val="328"/>
        </w:trPr>
        <w:tc>
          <w:tcPr>
            <w:tcW w:w="1020" w:type="dxa"/>
            <w:vAlign w:val="bottom"/>
            <w:vMerge w:val="restart"/>
            <w:shd w:val="clear" w:color="auto" w:fill="EBEBEB"/>
          </w:tcPr>
          <w:p>
            <w:pPr>
              <w:jc w:val="center"/>
              <w:spacing w:after="0"/>
              <w:rPr>
                <w:sz w:val="20"/>
                <w:szCs w:val="20"/>
                <w:color w:val="auto"/>
              </w:rPr>
            </w:pPr>
            <w:r>
              <w:rPr>
                <w:rFonts w:ascii="Arial" w:cs="Arial" w:eastAsia="Arial" w:hAnsi="Arial"/>
                <w:sz w:val="58"/>
                <w:szCs w:val="58"/>
                <w:color w:val="255993"/>
                <w:w w:val="99"/>
              </w:rPr>
              <w:t>1</w:t>
            </w:r>
          </w:p>
        </w:tc>
        <w:tc>
          <w:tcPr>
            <w:tcW w:w="3440" w:type="dxa"/>
            <w:vAlign w:val="bottom"/>
            <w:shd w:val="clear" w:color="auto" w:fill="EBEBEB"/>
          </w:tcPr>
          <w:p>
            <w:pPr>
              <w:ind w:left="100"/>
              <w:spacing w:after="0"/>
              <w:rPr>
                <w:sz w:val="20"/>
                <w:szCs w:val="20"/>
                <w:color w:val="auto"/>
              </w:rPr>
            </w:pPr>
            <w:r>
              <w:rPr>
                <w:rFonts w:ascii="Arial" w:cs="Arial" w:eastAsia="Arial" w:hAnsi="Arial"/>
                <w:sz w:val="14"/>
                <w:szCs w:val="14"/>
                <w:color w:val="auto"/>
              </w:rPr>
              <w:t>To elect three Class I directors of the Company,</w:t>
            </w:r>
          </w:p>
        </w:tc>
        <w:tc>
          <w:tcPr>
            <w:tcW w:w="2100" w:type="dxa"/>
            <w:vAlign w:val="bottom"/>
            <w:shd w:val="clear" w:color="auto" w:fill="EBEBEB"/>
          </w:tcPr>
          <w:p>
            <w:pPr>
              <w:spacing w:after="0"/>
              <w:rPr>
                <w:sz w:val="24"/>
                <w:szCs w:val="24"/>
                <w:color w:val="auto"/>
              </w:rPr>
            </w:pPr>
          </w:p>
        </w:tc>
        <w:tc>
          <w:tcPr>
            <w:tcW w:w="520" w:type="dxa"/>
            <w:vAlign w:val="bottom"/>
            <w:shd w:val="clear" w:color="auto" w:fill="EBEBEB"/>
          </w:tcPr>
          <w:p>
            <w:pPr>
              <w:spacing w:after="0"/>
              <w:rPr>
                <w:sz w:val="24"/>
                <w:szCs w:val="24"/>
                <w:color w:val="auto"/>
              </w:rPr>
            </w:pPr>
          </w:p>
        </w:tc>
        <w:tc>
          <w:tcPr>
            <w:tcW w:w="160" w:type="dxa"/>
            <w:vAlign w:val="bottom"/>
            <w:shd w:val="clear" w:color="auto" w:fill="EBEBEB"/>
          </w:tcPr>
          <w:p>
            <w:pPr>
              <w:spacing w:after="0"/>
              <w:rPr>
                <w:sz w:val="24"/>
                <w:szCs w:val="24"/>
                <w:color w:val="auto"/>
              </w:rPr>
            </w:pPr>
          </w:p>
        </w:tc>
        <w:tc>
          <w:tcPr>
            <w:tcW w:w="420" w:type="dxa"/>
            <w:vAlign w:val="bottom"/>
            <w:shd w:val="clear" w:color="auto" w:fill="EBEBEB"/>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20" w:type="dxa"/>
            <w:vAlign w:val="bottom"/>
            <w:vMerge w:val="continue"/>
            <w:shd w:val="clear" w:color="auto" w:fill="EBEBEB"/>
          </w:tcPr>
          <w:p>
            <w:pPr>
              <w:spacing w:after="0"/>
              <w:rPr>
                <w:sz w:val="14"/>
                <w:szCs w:val="14"/>
                <w:color w:val="auto"/>
              </w:rPr>
            </w:pPr>
          </w:p>
        </w:tc>
        <w:tc>
          <w:tcPr>
            <w:tcW w:w="3440" w:type="dxa"/>
            <w:vAlign w:val="bottom"/>
            <w:shd w:val="clear" w:color="auto" w:fill="EBEBEB"/>
          </w:tcPr>
          <w:p>
            <w:pPr>
              <w:ind w:left="100"/>
              <w:spacing w:after="0"/>
              <w:rPr>
                <w:sz w:val="20"/>
                <w:szCs w:val="20"/>
                <w:color w:val="auto"/>
              </w:rPr>
            </w:pPr>
            <w:r>
              <w:rPr>
                <w:rFonts w:ascii="Arial" w:cs="Arial" w:eastAsia="Arial" w:hAnsi="Arial"/>
                <w:sz w:val="14"/>
                <w:szCs w:val="14"/>
                <w:color w:val="auto"/>
              </w:rPr>
              <w:t>each to serve for terms of three years and until</w:t>
            </w:r>
          </w:p>
        </w:tc>
        <w:tc>
          <w:tcPr>
            <w:tcW w:w="2100" w:type="dxa"/>
            <w:vAlign w:val="bottom"/>
            <w:shd w:val="clear" w:color="auto" w:fill="EBEBEB"/>
          </w:tcPr>
          <w:p>
            <w:pPr>
              <w:ind w:left="160"/>
              <w:spacing w:after="0"/>
              <w:rPr>
                <w:sz w:val="20"/>
                <w:szCs w:val="20"/>
                <w:color w:val="auto"/>
              </w:rPr>
            </w:pPr>
            <w:r>
              <w:rPr>
                <w:rFonts w:ascii="Arial" w:cs="Arial" w:eastAsia="Arial" w:hAnsi="Arial"/>
                <w:sz w:val="14"/>
                <w:szCs w:val="14"/>
                <w:b w:val="1"/>
                <w:bCs w:val="1"/>
                <w:color w:val="255993"/>
              </w:rPr>
              <w:t xml:space="preserve">“FOR” </w:t>
            </w:r>
            <w:r>
              <w:rPr>
                <w:rFonts w:ascii="Arial" w:cs="Arial" w:eastAsia="Arial" w:hAnsi="Arial"/>
                <w:sz w:val="14"/>
                <w:szCs w:val="14"/>
                <w:color w:val="000000"/>
              </w:rPr>
              <w:t>the election of each</w:t>
            </w:r>
          </w:p>
        </w:tc>
        <w:tc>
          <w:tcPr>
            <w:tcW w:w="520" w:type="dxa"/>
            <w:vAlign w:val="bottom"/>
            <w:shd w:val="clear" w:color="auto" w:fill="EBEBEB"/>
          </w:tcPr>
          <w:p>
            <w:pPr>
              <w:spacing w:after="0"/>
              <w:rPr>
                <w:sz w:val="14"/>
                <w:szCs w:val="14"/>
                <w:color w:val="auto"/>
              </w:rPr>
            </w:pPr>
          </w:p>
        </w:tc>
        <w:tc>
          <w:tcPr>
            <w:tcW w:w="160" w:type="dxa"/>
            <w:vAlign w:val="bottom"/>
            <w:shd w:val="clear" w:color="auto" w:fill="EBEBEB"/>
          </w:tcPr>
          <w:p>
            <w:pPr>
              <w:spacing w:after="0"/>
              <w:rPr>
                <w:sz w:val="14"/>
                <w:szCs w:val="14"/>
                <w:color w:val="auto"/>
              </w:rPr>
            </w:pPr>
          </w:p>
        </w:tc>
        <w:tc>
          <w:tcPr>
            <w:tcW w:w="420" w:type="dxa"/>
            <w:vAlign w:val="bottom"/>
            <w:shd w:val="clear" w:color="auto" w:fill="EBEBEB"/>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020" w:type="dxa"/>
            <w:vAlign w:val="bottom"/>
            <w:vMerge w:val="continue"/>
            <w:shd w:val="clear" w:color="auto" w:fill="EBEBEB"/>
          </w:tcPr>
          <w:p>
            <w:pPr>
              <w:spacing w:after="0"/>
              <w:rPr>
                <w:sz w:val="13"/>
                <w:szCs w:val="13"/>
                <w:color w:val="auto"/>
              </w:rPr>
            </w:pPr>
          </w:p>
        </w:tc>
        <w:tc>
          <w:tcPr>
            <w:tcW w:w="3440" w:type="dxa"/>
            <w:vAlign w:val="bottom"/>
            <w:shd w:val="clear" w:color="auto" w:fill="EBEBEB"/>
          </w:tcPr>
          <w:p>
            <w:pPr>
              <w:ind w:left="100"/>
              <w:spacing w:after="0" w:line="158" w:lineRule="exact"/>
              <w:rPr>
                <w:sz w:val="20"/>
                <w:szCs w:val="20"/>
                <w:color w:val="auto"/>
              </w:rPr>
            </w:pPr>
            <w:r>
              <w:rPr>
                <w:rFonts w:ascii="Arial" w:cs="Arial" w:eastAsia="Arial" w:hAnsi="Arial"/>
                <w:sz w:val="14"/>
                <w:szCs w:val="14"/>
                <w:color w:val="auto"/>
              </w:rPr>
              <w:t>their respective successors are elected and</w:t>
            </w:r>
          </w:p>
        </w:tc>
        <w:tc>
          <w:tcPr>
            <w:tcW w:w="2100" w:type="dxa"/>
            <w:vAlign w:val="bottom"/>
            <w:shd w:val="clear" w:color="auto" w:fill="EBEBEB"/>
          </w:tcPr>
          <w:p>
            <w:pPr>
              <w:ind w:left="160"/>
              <w:spacing w:after="0" w:line="158" w:lineRule="exact"/>
              <w:rPr>
                <w:sz w:val="20"/>
                <w:szCs w:val="20"/>
                <w:color w:val="auto"/>
              </w:rPr>
            </w:pPr>
            <w:r>
              <w:rPr>
                <w:rFonts w:ascii="Arial" w:cs="Arial" w:eastAsia="Arial" w:hAnsi="Arial"/>
                <w:sz w:val="14"/>
                <w:szCs w:val="14"/>
                <w:color w:val="auto"/>
              </w:rPr>
              <w:t>Class I director nominee</w:t>
            </w:r>
          </w:p>
        </w:tc>
        <w:tc>
          <w:tcPr>
            <w:tcW w:w="1100" w:type="dxa"/>
            <w:vAlign w:val="bottom"/>
            <w:gridSpan w:val="3"/>
            <w:shd w:val="clear" w:color="auto" w:fill="EBEBEB"/>
          </w:tcPr>
          <w:p>
            <w:pPr>
              <w:jc w:val="center"/>
              <w:ind w:left="24"/>
              <w:spacing w:after="0" w:line="158" w:lineRule="exact"/>
              <w:rPr>
                <w:sz w:val="20"/>
                <w:szCs w:val="20"/>
                <w:color w:val="auto"/>
              </w:rPr>
            </w:pPr>
            <w:r>
              <w:rPr>
                <w:rFonts w:ascii="Arial" w:cs="Arial" w:eastAsia="Arial" w:hAnsi="Arial"/>
                <w:sz w:val="14"/>
                <w:szCs w:val="14"/>
                <w:color w:val="0000EE"/>
              </w:rPr>
              <w:t>25</w:t>
            </w:r>
          </w:p>
        </w:tc>
        <w:tc>
          <w:tcPr>
            <w:tcW w:w="0" w:type="dxa"/>
            <w:vAlign w:val="bottom"/>
          </w:tcPr>
          <w:p>
            <w:pPr>
              <w:spacing w:after="0"/>
              <w:rPr>
                <w:sz w:val="1"/>
                <w:szCs w:val="1"/>
                <w:color w:val="auto"/>
              </w:rPr>
            </w:pPr>
          </w:p>
        </w:tc>
      </w:tr>
      <w:tr>
        <w:trPr>
          <w:trHeight w:val="146"/>
        </w:trPr>
        <w:tc>
          <w:tcPr>
            <w:tcW w:w="1020" w:type="dxa"/>
            <w:vAlign w:val="bottom"/>
            <w:tcBorders>
              <w:top w:val="single" w:sz="8" w:color="EBEBEB"/>
            </w:tcBorders>
            <w:vMerge w:val="continue"/>
            <w:shd w:val="clear" w:color="auto" w:fill="EBEBEB"/>
          </w:tcPr>
          <w:p>
            <w:pPr>
              <w:spacing w:after="0"/>
              <w:rPr>
                <w:sz w:val="12"/>
                <w:szCs w:val="12"/>
                <w:color w:val="auto"/>
              </w:rPr>
            </w:pPr>
          </w:p>
        </w:tc>
        <w:tc>
          <w:tcPr>
            <w:tcW w:w="3440" w:type="dxa"/>
            <w:vAlign w:val="bottom"/>
            <w:tcBorders>
              <w:top w:val="single" w:sz="8" w:color="EBEBEB"/>
            </w:tcBorders>
            <w:shd w:val="clear" w:color="auto" w:fill="EBEBEB"/>
          </w:tcPr>
          <w:p>
            <w:pPr>
              <w:ind w:left="100"/>
              <w:spacing w:after="0" w:line="147" w:lineRule="exact"/>
              <w:rPr>
                <w:sz w:val="20"/>
                <w:szCs w:val="20"/>
                <w:color w:val="auto"/>
              </w:rPr>
            </w:pPr>
            <w:r>
              <w:rPr>
                <w:rFonts w:ascii="Arial" w:cs="Arial" w:eastAsia="Arial" w:hAnsi="Arial"/>
                <w:sz w:val="14"/>
                <w:szCs w:val="14"/>
                <w:color w:val="auto"/>
              </w:rPr>
              <w:t>qualified, or until their earlier death, resignation or</w:t>
            </w:r>
          </w:p>
        </w:tc>
        <w:tc>
          <w:tcPr>
            <w:tcW w:w="2100" w:type="dxa"/>
            <w:vAlign w:val="bottom"/>
            <w:tcBorders>
              <w:top w:val="single" w:sz="8" w:color="EBEBEB"/>
            </w:tcBorders>
            <w:shd w:val="clear" w:color="auto" w:fill="EBEBEB"/>
          </w:tcPr>
          <w:p>
            <w:pPr>
              <w:ind w:left="160"/>
              <w:spacing w:after="0" w:line="147" w:lineRule="exact"/>
              <w:rPr>
                <w:sz w:val="20"/>
                <w:szCs w:val="20"/>
                <w:color w:val="auto"/>
              </w:rPr>
            </w:pPr>
            <w:r>
              <w:rPr>
                <w:rFonts w:ascii="Arial" w:cs="Arial" w:eastAsia="Arial" w:hAnsi="Arial"/>
                <w:sz w:val="14"/>
                <w:szCs w:val="14"/>
                <w:color w:val="auto"/>
              </w:rPr>
              <w:t>named</w:t>
            </w:r>
          </w:p>
        </w:tc>
        <w:tc>
          <w:tcPr>
            <w:tcW w:w="520" w:type="dxa"/>
            <w:vAlign w:val="bottom"/>
            <w:tcBorders>
              <w:top w:val="single" w:sz="8" w:color="EBEBEB"/>
            </w:tcBorders>
            <w:shd w:val="clear" w:color="auto" w:fill="EBEBEB"/>
          </w:tcPr>
          <w:p>
            <w:pPr>
              <w:spacing w:after="0"/>
              <w:rPr>
                <w:sz w:val="12"/>
                <w:szCs w:val="12"/>
                <w:color w:val="auto"/>
              </w:rPr>
            </w:pPr>
          </w:p>
        </w:tc>
        <w:tc>
          <w:tcPr>
            <w:tcW w:w="160" w:type="dxa"/>
            <w:vAlign w:val="bottom"/>
            <w:tcBorders>
              <w:top w:val="single" w:sz="8" w:color="0000EE"/>
            </w:tcBorders>
            <w:shd w:val="clear" w:color="auto" w:fill="EBEBEB"/>
          </w:tcPr>
          <w:p>
            <w:pPr>
              <w:spacing w:after="0"/>
              <w:rPr>
                <w:sz w:val="12"/>
                <w:szCs w:val="12"/>
                <w:color w:val="auto"/>
              </w:rPr>
            </w:pPr>
          </w:p>
        </w:tc>
        <w:tc>
          <w:tcPr>
            <w:tcW w:w="420" w:type="dxa"/>
            <w:vAlign w:val="bottom"/>
            <w:tcBorders>
              <w:top w:val="single" w:sz="8" w:color="EBEBEB"/>
            </w:tcBorders>
            <w:shd w:val="clear" w:color="auto" w:fill="EBEBEB"/>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020" w:type="dxa"/>
            <w:vAlign w:val="bottom"/>
            <w:vMerge w:val="continue"/>
            <w:shd w:val="clear" w:color="auto" w:fill="EBEBEB"/>
          </w:tcPr>
          <w:p>
            <w:pPr>
              <w:spacing w:after="0"/>
              <w:rPr>
                <w:sz w:val="16"/>
                <w:szCs w:val="16"/>
                <w:color w:val="auto"/>
              </w:rPr>
            </w:pPr>
          </w:p>
        </w:tc>
        <w:tc>
          <w:tcPr>
            <w:tcW w:w="3440" w:type="dxa"/>
            <w:vAlign w:val="bottom"/>
            <w:shd w:val="clear" w:color="auto" w:fill="EBEBEB"/>
          </w:tcPr>
          <w:p>
            <w:pPr>
              <w:ind w:left="100"/>
              <w:spacing w:after="0"/>
              <w:rPr>
                <w:sz w:val="20"/>
                <w:szCs w:val="20"/>
                <w:color w:val="auto"/>
              </w:rPr>
            </w:pPr>
            <w:r>
              <w:rPr>
                <w:rFonts w:ascii="Arial" w:cs="Arial" w:eastAsia="Arial" w:hAnsi="Arial"/>
                <w:sz w:val="14"/>
                <w:szCs w:val="14"/>
                <w:color w:val="auto"/>
              </w:rPr>
              <w:t>removal.</w:t>
            </w:r>
          </w:p>
        </w:tc>
        <w:tc>
          <w:tcPr>
            <w:tcW w:w="2100" w:type="dxa"/>
            <w:vAlign w:val="bottom"/>
            <w:shd w:val="clear" w:color="auto" w:fill="EBEBEB"/>
          </w:tcPr>
          <w:p>
            <w:pPr>
              <w:spacing w:after="0"/>
              <w:rPr>
                <w:sz w:val="16"/>
                <w:szCs w:val="16"/>
                <w:color w:val="auto"/>
              </w:rPr>
            </w:pPr>
          </w:p>
        </w:tc>
        <w:tc>
          <w:tcPr>
            <w:tcW w:w="520" w:type="dxa"/>
            <w:vAlign w:val="bottom"/>
            <w:shd w:val="clear" w:color="auto" w:fill="EBEBEB"/>
          </w:tcPr>
          <w:p>
            <w:pPr>
              <w:spacing w:after="0"/>
              <w:rPr>
                <w:sz w:val="16"/>
                <w:szCs w:val="16"/>
                <w:color w:val="auto"/>
              </w:rPr>
            </w:pPr>
          </w:p>
        </w:tc>
        <w:tc>
          <w:tcPr>
            <w:tcW w:w="160" w:type="dxa"/>
            <w:vAlign w:val="bottom"/>
            <w:shd w:val="clear" w:color="auto" w:fill="EBEBEB"/>
          </w:tcPr>
          <w:p>
            <w:pPr>
              <w:spacing w:after="0"/>
              <w:rPr>
                <w:sz w:val="16"/>
                <w:szCs w:val="16"/>
                <w:color w:val="auto"/>
              </w:rPr>
            </w:pPr>
          </w:p>
        </w:tc>
        <w:tc>
          <w:tcPr>
            <w:tcW w:w="420" w:type="dxa"/>
            <w:vAlign w:val="bottom"/>
            <w:shd w:val="clear" w:color="auto" w:fill="EBEBEB"/>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020" w:type="dxa"/>
            <w:vAlign w:val="bottom"/>
            <w:shd w:val="clear" w:color="auto" w:fill="EBEBEB"/>
          </w:tcPr>
          <w:p>
            <w:pPr>
              <w:spacing w:after="0"/>
              <w:rPr>
                <w:sz w:val="13"/>
                <w:szCs w:val="13"/>
                <w:color w:val="auto"/>
              </w:rPr>
            </w:pPr>
          </w:p>
        </w:tc>
        <w:tc>
          <w:tcPr>
            <w:tcW w:w="3440" w:type="dxa"/>
            <w:vAlign w:val="bottom"/>
            <w:shd w:val="clear" w:color="auto" w:fill="EBEBEB"/>
          </w:tcPr>
          <w:p>
            <w:pPr>
              <w:spacing w:after="0"/>
              <w:rPr>
                <w:sz w:val="13"/>
                <w:szCs w:val="13"/>
                <w:color w:val="auto"/>
              </w:rPr>
            </w:pPr>
          </w:p>
        </w:tc>
        <w:tc>
          <w:tcPr>
            <w:tcW w:w="2100" w:type="dxa"/>
            <w:vAlign w:val="bottom"/>
            <w:shd w:val="clear" w:color="auto" w:fill="EBEBEB"/>
          </w:tcPr>
          <w:p>
            <w:pPr>
              <w:spacing w:after="0"/>
              <w:rPr>
                <w:sz w:val="13"/>
                <w:szCs w:val="13"/>
                <w:color w:val="auto"/>
              </w:rPr>
            </w:pPr>
          </w:p>
        </w:tc>
        <w:tc>
          <w:tcPr>
            <w:tcW w:w="520" w:type="dxa"/>
            <w:vAlign w:val="bottom"/>
            <w:shd w:val="clear" w:color="auto" w:fill="EBEBEB"/>
          </w:tcPr>
          <w:p>
            <w:pPr>
              <w:spacing w:after="0"/>
              <w:rPr>
                <w:sz w:val="13"/>
                <w:szCs w:val="13"/>
                <w:color w:val="auto"/>
              </w:rPr>
            </w:pPr>
          </w:p>
        </w:tc>
        <w:tc>
          <w:tcPr>
            <w:tcW w:w="160" w:type="dxa"/>
            <w:vAlign w:val="bottom"/>
            <w:shd w:val="clear" w:color="auto" w:fill="EBEBEB"/>
          </w:tcPr>
          <w:p>
            <w:pPr>
              <w:spacing w:after="0"/>
              <w:rPr>
                <w:sz w:val="13"/>
                <w:szCs w:val="13"/>
                <w:color w:val="auto"/>
              </w:rPr>
            </w:pPr>
          </w:p>
        </w:tc>
        <w:tc>
          <w:tcPr>
            <w:tcW w:w="420" w:type="dxa"/>
            <w:vAlign w:val="bottom"/>
            <w:shd w:val="clear" w:color="auto" w:fill="EBEBEB"/>
          </w:tcPr>
          <w:p>
            <w:pPr>
              <w:spacing w:after="0"/>
              <w:rPr>
                <w:sz w:val="13"/>
                <w:szCs w:val="13"/>
                <w:color w:val="auto"/>
              </w:rPr>
            </w:pPr>
          </w:p>
        </w:tc>
        <w:tc>
          <w:tcPr>
            <w:tcW w:w="0" w:type="dxa"/>
            <w:vAlign w:val="bottom"/>
          </w:tcPr>
          <w:p>
            <w:pPr>
              <w:spacing w:after="0"/>
              <w:rPr>
                <w:sz w:val="1"/>
                <w:szCs w:val="1"/>
                <w:color w:val="auto"/>
              </w:rPr>
            </w:pPr>
          </w:p>
        </w:tc>
      </w:tr>
      <w:tr>
        <w:trPr>
          <w:trHeight w:val="328"/>
        </w:trPr>
        <w:tc>
          <w:tcPr>
            <w:tcW w:w="1020" w:type="dxa"/>
            <w:vAlign w:val="bottom"/>
            <w:shd w:val="clear" w:color="auto" w:fill="FAFAFA"/>
          </w:tcPr>
          <w:p>
            <w:pPr>
              <w:spacing w:after="0"/>
              <w:rPr>
                <w:sz w:val="24"/>
                <w:szCs w:val="24"/>
                <w:color w:val="auto"/>
              </w:rPr>
            </w:pPr>
          </w:p>
        </w:tc>
        <w:tc>
          <w:tcPr>
            <w:tcW w:w="3440" w:type="dxa"/>
            <w:vAlign w:val="bottom"/>
            <w:shd w:val="clear" w:color="auto" w:fill="FAFAFA"/>
          </w:tcPr>
          <w:p>
            <w:pPr>
              <w:spacing w:after="0"/>
              <w:rPr>
                <w:sz w:val="24"/>
                <w:szCs w:val="24"/>
                <w:color w:val="auto"/>
              </w:rPr>
            </w:pPr>
          </w:p>
        </w:tc>
        <w:tc>
          <w:tcPr>
            <w:tcW w:w="2100" w:type="dxa"/>
            <w:vAlign w:val="bottom"/>
            <w:shd w:val="clear" w:color="auto" w:fill="FAFAFA"/>
          </w:tcPr>
          <w:p>
            <w:pPr>
              <w:ind w:left="160"/>
              <w:spacing w:after="0"/>
              <w:rPr>
                <w:sz w:val="20"/>
                <w:szCs w:val="20"/>
                <w:color w:val="auto"/>
              </w:rPr>
            </w:pPr>
            <w:r>
              <w:rPr>
                <w:rFonts w:ascii="Arial" w:cs="Arial" w:eastAsia="Arial" w:hAnsi="Arial"/>
                <w:sz w:val="14"/>
                <w:szCs w:val="14"/>
                <w:b w:val="1"/>
                <w:bCs w:val="1"/>
                <w:color w:val="255993"/>
              </w:rPr>
              <w:t xml:space="preserve">“FOR” </w:t>
            </w:r>
            <w:r>
              <w:rPr>
                <w:rFonts w:ascii="Arial" w:cs="Arial" w:eastAsia="Arial" w:hAnsi="Arial"/>
                <w:sz w:val="14"/>
                <w:szCs w:val="14"/>
                <w:color w:val="000000"/>
              </w:rPr>
              <w:t>the ratification of</w:t>
            </w:r>
          </w:p>
        </w:tc>
        <w:tc>
          <w:tcPr>
            <w:tcW w:w="520" w:type="dxa"/>
            <w:vAlign w:val="bottom"/>
            <w:shd w:val="clear" w:color="auto" w:fill="FAFAFA"/>
          </w:tcPr>
          <w:p>
            <w:pPr>
              <w:spacing w:after="0"/>
              <w:rPr>
                <w:sz w:val="24"/>
                <w:szCs w:val="24"/>
                <w:color w:val="auto"/>
              </w:rPr>
            </w:pPr>
          </w:p>
        </w:tc>
        <w:tc>
          <w:tcPr>
            <w:tcW w:w="160" w:type="dxa"/>
            <w:vAlign w:val="bottom"/>
            <w:shd w:val="clear" w:color="auto" w:fill="FAFAFA"/>
          </w:tcPr>
          <w:p>
            <w:pPr>
              <w:spacing w:after="0"/>
              <w:rPr>
                <w:sz w:val="24"/>
                <w:szCs w:val="24"/>
                <w:color w:val="auto"/>
              </w:rPr>
            </w:pPr>
          </w:p>
        </w:tc>
        <w:tc>
          <w:tcPr>
            <w:tcW w:w="420" w:type="dxa"/>
            <w:vAlign w:val="bottom"/>
            <w:shd w:val="clear" w:color="auto" w:fill="FAFAFA"/>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20" w:type="dxa"/>
            <w:vAlign w:val="bottom"/>
            <w:vMerge w:val="restart"/>
            <w:shd w:val="clear" w:color="auto" w:fill="FAFAFA"/>
          </w:tcPr>
          <w:p>
            <w:pPr>
              <w:jc w:val="center"/>
              <w:spacing w:after="0"/>
              <w:rPr>
                <w:sz w:val="20"/>
                <w:szCs w:val="20"/>
                <w:color w:val="auto"/>
              </w:rPr>
            </w:pPr>
            <w:r>
              <w:rPr>
                <w:rFonts w:ascii="Arial" w:cs="Arial" w:eastAsia="Arial" w:hAnsi="Arial"/>
                <w:sz w:val="58"/>
                <w:szCs w:val="58"/>
                <w:color w:val="F8991D"/>
                <w:w w:val="99"/>
              </w:rPr>
              <w:t>2</w:t>
            </w:r>
          </w:p>
        </w:tc>
        <w:tc>
          <w:tcPr>
            <w:tcW w:w="3440" w:type="dxa"/>
            <w:vAlign w:val="bottom"/>
            <w:vMerge w:val="restart"/>
            <w:shd w:val="clear" w:color="auto" w:fill="FAFAFA"/>
          </w:tcPr>
          <w:p>
            <w:pPr>
              <w:ind w:left="100"/>
              <w:spacing w:after="0"/>
              <w:rPr>
                <w:sz w:val="20"/>
                <w:szCs w:val="20"/>
                <w:color w:val="auto"/>
              </w:rPr>
            </w:pPr>
            <w:r>
              <w:rPr>
                <w:rFonts w:ascii="Arial" w:cs="Arial" w:eastAsia="Arial" w:hAnsi="Arial"/>
                <w:sz w:val="14"/>
                <w:szCs w:val="14"/>
                <w:color w:val="auto"/>
              </w:rPr>
              <w:t>To ratify the appointment of Ernst &amp; Young LLP as</w:t>
            </w:r>
          </w:p>
        </w:tc>
        <w:tc>
          <w:tcPr>
            <w:tcW w:w="2100" w:type="dxa"/>
            <w:vAlign w:val="bottom"/>
            <w:shd w:val="clear" w:color="auto" w:fill="FAFAFA"/>
          </w:tcPr>
          <w:p>
            <w:pPr>
              <w:ind w:left="160"/>
              <w:spacing w:after="0"/>
              <w:rPr>
                <w:sz w:val="20"/>
                <w:szCs w:val="20"/>
                <w:color w:val="auto"/>
              </w:rPr>
            </w:pPr>
            <w:r>
              <w:rPr>
                <w:rFonts w:ascii="Arial" w:cs="Arial" w:eastAsia="Arial" w:hAnsi="Arial"/>
                <w:sz w:val="14"/>
                <w:szCs w:val="14"/>
                <w:color w:val="auto"/>
              </w:rPr>
              <w:t>the appointment of Ernst &amp;</w:t>
            </w:r>
          </w:p>
        </w:tc>
        <w:tc>
          <w:tcPr>
            <w:tcW w:w="520" w:type="dxa"/>
            <w:vAlign w:val="bottom"/>
            <w:shd w:val="clear" w:color="auto" w:fill="FAFAFA"/>
          </w:tcPr>
          <w:p>
            <w:pPr>
              <w:spacing w:after="0"/>
              <w:rPr>
                <w:sz w:val="14"/>
                <w:szCs w:val="14"/>
                <w:color w:val="auto"/>
              </w:rPr>
            </w:pPr>
          </w:p>
        </w:tc>
        <w:tc>
          <w:tcPr>
            <w:tcW w:w="160" w:type="dxa"/>
            <w:vAlign w:val="bottom"/>
            <w:shd w:val="clear" w:color="auto" w:fill="FAFAFA"/>
          </w:tcPr>
          <w:p>
            <w:pPr>
              <w:spacing w:after="0"/>
              <w:rPr>
                <w:sz w:val="14"/>
                <w:szCs w:val="14"/>
                <w:color w:val="auto"/>
              </w:rPr>
            </w:pPr>
          </w:p>
        </w:tc>
        <w:tc>
          <w:tcPr>
            <w:tcW w:w="420" w:type="dxa"/>
            <w:vAlign w:val="bottom"/>
            <w:shd w:val="clear" w:color="auto" w:fill="FAFAFA"/>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020" w:type="dxa"/>
            <w:vAlign w:val="bottom"/>
            <w:vMerge w:val="continue"/>
            <w:shd w:val="clear" w:color="auto" w:fill="FAFAFA"/>
          </w:tcPr>
          <w:p>
            <w:pPr>
              <w:spacing w:after="0"/>
              <w:rPr>
                <w:sz w:val="7"/>
                <w:szCs w:val="7"/>
                <w:color w:val="auto"/>
              </w:rPr>
            </w:pPr>
          </w:p>
        </w:tc>
        <w:tc>
          <w:tcPr>
            <w:tcW w:w="3440" w:type="dxa"/>
            <w:vAlign w:val="bottom"/>
            <w:vMerge w:val="continue"/>
            <w:shd w:val="clear" w:color="auto" w:fill="FAFAFA"/>
          </w:tcPr>
          <w:p>
            <w:pPr>
              <w:spacing w:after="0"/>
              <w:rPr>
                <w:sz w:val="7"/>
                <w:szCs w:val="7"/>
                <w:color w:val="auto"/>
              </w:rPr>
            </w:pPr>
          </w:p>
        </w:tc>
        <w:tc>
          <w:tcPr>
            <w:tcW w:w="2100" w:type="dxa"/>
            <w:vAlign w:val="bottom"/>
            <w:vMerge w:val="restart"/>
            <w:shd w:val="clear" w:color="auto" w:fill="FAFAFA"/>
          </w:tcPr>
          <w:p>
            <w:pPr>
              <w:ind w:left="160"/>
              <w:spacing w:after="0"/>
              <w:rPr>
                <w:sz w:val="20"/>
                <w:szCs w:val="20"/>
                <w:color w:val="auto"/>
              </w:rPr>
            </w:pPr>
            <w:r>
              <w:rPr>
                <w:rFonts w:ascii="Arial" w:cs="Arial" w:eastAsia="Arial" w:hAnsi="Arial"/>
                <w:sz w:val="14"/>
                <w:szCs w:val="14"/>
                <w:color w:val="auto"/>
              </w:rPr>
              <w:t>Young LLP as our</w:t>
            </w:r>
          </w:p>
        </w:tc>
        <w:tc>
          <w:tcPr>
            <w:tcW w:w="520" w:type="dxa"/>
            <w:vAlign w:val="bottom"/>
            <w:shd w:val="clear" w:color="auto" w:fill="FAFAFA"/>
          </w:tcPr>
          <w:p>
            <w:pPr>
              <w:spacing w:after="0"/>
              <w:rPr>
                <w:sz w:val="7"/>
                <w:szCs w:val="7"/>
                <w:color w:val="auto"/>
              </w:rPr>
            </w:pPr>
          </w:p>
        </w:tc>
        <w:tc>
          <w:tcPr>
            <w:tcW w:w="160" w:type="dxa"/>
            <w:vAlign w:val="bottom"/>
            <w:shd w:val="clear" w:color="auto" w:fill="FAFAFA"/>
          </w:tcPr>
          <w:p>
            <w:pPr>
              <w:spacing w:after="0"/>
              <w:rPr>
                <w:sz w:val="7"/>
                <w:szCs w:val="7"/>
                <w:color w:val="auto"/>
              </w:rPr>
            </w:pPr>
          </w:p>
        </w:tc>
        <w:tc>
          <w:tcPr>
            <w:tcW w:w="420" w:type="dxa"/>
            <w:vAlign w:val="bottom"/>
            <w:shd w:val="clear" w:color="auto" w:fill="FAFAFA"/>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20" w:type="dxa"/>
            <w:vAlign w:val="bottom"/>
            <w:vMerge w:val="continue"/>
            <w:shd w:val="clear" w:color="auto" w:fill="FAFAFA"/>
          </w:tcPr>
          <w:p>
            <w:pPr>
              <w:spacing w:after="0"/>
              <w:rPr>
                <w:sz w:val="7"/>
                <w:szCs w:val="7"/>
                <w:color w:val="auto"/>
              </w:rPr>
            </w:pPr>
          </w:p>
        </w:tc>
        <w:tc>
          <w:tcPr>
            <w:tcW w:w="3440" w:type="dxa"/>
            <w:vAlign w:val="bottom"/>
            <w:vMerge w:val="restart"/>
            <w:shd w:val="clear" w:color="auto" w:fill="FAFAFA"/>
          </w:tcPr>
          <w:p>
            <w:pPr>
              <w:ind w:left="100"/>
              <w:spacing w:after="0"/>
              <w:rPr>
                <w:sz w:val="20"/>
                <w:szCs w:val="20"/>
                <w:color w:val="auto"/>
              </w:rPr>
            </w:pPr>
            <w:r>
              <w:rPr>
                <w:rFonts w:ascii="Arial" w:cs="Arial" w:eastAsia="Arial" w:hAnsi="Arial"/>
                <w:sz w:val="14"/>
                <w:szCs w:val="14"/>
                <w:color w:val="auto"/>
              </w:rPr>
              <w:t>the Company’s independent registered public</w:t>
            </w:r>
          </w:p>
        </w:tc>
        <w:tc>
          <w:tcPr>
            <w:tcW w:w="2100" w:type="dxa"/>
            <w:vAlign w:val="bottom"/>
            <w:vMerge w:val="continue"/>
            <w:shd w:val="clear" w:color="auto" w:fill="FAFAFA"/>
          </w:tcPr>
          <w:p>
            <w:pPr>
              <w:spacing w:after="0"/>
              <w:rPr>
                <w:sz w:val="7"/>
                <w:szCs w:val="7"/>
                <w:color w:val="auto"/>
              </w:rPr>
            </w:pPr>
          </w:p>
        </w:tc>
        <w:tc>
          <w:tcPr>
            <w:tcW w:w="520" w:type="dxa"/>
            <w:vAlign w:val="bottom"/>
            <w:shd w:val="clear" w:color="auto" w:fill="FAFAFA"/>
          </w:tcPr>
          <w:p>
            <w:pPr>
              <w:spacing w:after="0"/>
              <w:rPr>
                <w:sz w:val="7"/>
                <w:szCs w:val="7"/>
                <w:color w:val="auto"/>
              </w:rPr>
            </w:pPr>
          </w:p>
        </w:tc>
        <w:tc>
          <w:tcPr>
            <w:tcW w:w="160" w:type="dxa"/>
            <w:vAlign w:val="bottom"/>
            <w:shd w:val="clear" w:color="auto" w:fill="FAFAFA"/>
          </w:tcPr>
          <w:p>
            <w:pPr>
              <w:spacing w:after="0"/>
              <w:rPr>
                <w:sz w:val="7"/>
                <w:szCs w:val="7"/>
                <w:color w:val="auto"/>
              </w:rPr>
            </w:pPr>
          </w:p>
        </w:tc>
        <w:tc>
          <w:tcPr>
            <w:tcW w:w="420" w:type="dxa"/>
            <w:vAlign w:val="bottom"/>
            <w:shd w:val="clear" w:color="auto" w:fill="FAFAFA"/>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20" w:type="dxa"/>
            <w:vAlign w:val="bottom"/>
            <w:vMerge w:val="continue"/>
            <w:shd w:val="clear" w:color="auto" w:fill="FAFAFA"/>
          </w:tcPr>
          <w:p>
            <w:pPr>
              <w:spacing w:after="0"/>
              <w:rPr>
                <w:sz w:val="7"/>
                <w:szCs w:val="7"/>
                <w:color w:val="auto"/>
              </w:rPr>
            </w:pPr>
          </w:p>
        </w:tc>
        <w:tc>
          <w:tcPr>
            <w:tcW w:w="3440" w:type="dxa"/>
            <w:vAlign w:val="bottom"/>
            <w:vMerge w:val="continue"/>
            <w:shd w:val="clear" w:color="auto" w:fill="FAFAFA"/>
          </w:tcPr>
          <w:p>
            <w:pPr>
              <w:spacing w:after="0"/>
              <w:rPr>
                <w:sz w:val="7"/>
                <w:szCs w:val="7"/>
                <w:color w:val="auto"/>
              </w:rPr>
            </w:pPr>
          </w:p>
        </w:tc>
        <w:tc>
          <w:tcPr>
            <w:tcW w:w="2100" w:type="dxa"/>
            <w:vAlign w:val="bottom"/>
            <w:vMerge w:val="restart"/>
            <w:shd w:val="clear" w:color="auto" w:fill="FAFAFA"/>
          </w:tcPr>
          <w:p>
            <w:pPr>
              <w:ind w:left="160"/>
              <w:spacing w:after="0" w:line="158" w:lineRule="exact"/>
              <w:rPr>
                <w:sz w:val="20"/>
                <w:szCs w:val="20"/>
                <w:color w:val="auto"/>
              </w:rPr>
            </w:pPr>
            <w:r>
              <w:rPr>
                <w:rFonts w:ascii="Arial" w:cs="Arial" w:eastAsia="Arial" w:hAnsi="Arial"/>
                <w:sz w:val="14"/>
                <w:szCs w:val="14"/>
                <w:color w:val="auto"/>
              </w:rPr>
              <w:t>independent registered</w:t>
            </w:r>
          </w:p>
        </w:tc>
        <w:tc>
          <w:tcPr>
            <w:tcW w:w="1100" w:type="dxa"/>
            <w:vAlign w:val="bottom"/>
            <w:gridSpan w:val="3"/>
            <w:vMerge w:val="restart"/>
            <w:shd w:val="clear" w:color="auto" w:fill="FAFAFA"/>
          </w:tcPr>
          <w:p>
            <w:pPr>
              <w:jc w:val="center"/>
              <w:ind w:left="24"/>
              <w:spacing w:after="0" w:line="158" w:lineRule="exact"/>
              <w:rPr>
                <w:sz w:val="20"/>
                <w:szCs w:val="20"/>
                <w:color w:val="auto"/>
              </w:rPr>
            </w:pPr>
            <w:r>
              <w:rPr>
                <w:rFonts w:ascii="Arial" w:cs="Arial" w:eastAsia="Arial" w:hAnsi="Arial"/>
                <w:sz w:val="14"/>
                <w:szCs w:val="14"/>
                <w:color w:val="0000EE"/>
              </w:rPr>
              <w:t>26</w:t>
            </w:r>
          </w:p>
        </w:tc>
        <w:tc>
          <w:tcPr>
            <w:tcW w:w="0" w:type="dxa"/>
            <w:vAlign w:val="bottom"/>
          </w:tcPr>
          <w:p>
            <w:pPr>
              <w:spacing w:after="0"/>
              <w:rPr>
                <w:sz w:val="1"/>
                <w:szCs w:val="1"/>
                <w:color w:val="auto"/>
              </w:rPr>
            </w:pPr>
          </w:p>
        </w:tc>
      </w:tr>
      <w:tr>
        <w:trPr>
          <w:trHeight w:val="77"/>
        </w:trPr>
        <w:tc>
          <w:tcPr>
            <w:tcW w:w="1020" w:type="dxa"/>
            <w:vAlign w:val="bottom"/>
            <w:vMerge w:val="continue"/>
            <w:shd w:val="clear" w:color="auto" w:fill="FAFAFA"/>
          </w:tcPr>
          <w:p>
            <w:pPr>
              <w:spacing w:after="0"/>
              <w:rPr>
                <w:sz w:val="6"/>
                <w:szCs w:val="6"/>
                <w:color w:val="auto"/>
              </w:rPr>
            </w:pPr>
          </w:p>
        </w:tc>
        <w:tc>
          <w:tcPr>
            <w:tcW w:w="3440" w:type="dxa"/>
            <w:vAlign w:val="bottom"/>
            <w:vMerge w:val="restart"/>
            <w:shd w:val="clear" w:color="auto" w:fill="FAFAFA"/>
          </w:tcPr>
          <w:p>
            <w:pPr>
              <w:ind w:left="100"/>
              <w:spacing w:after="0"/>
              <w:rPr>
                <w:sz w:val="20"/>
                <w:szCs w:val="20"/>
                <w:color w:val="auto"/>
              </w:rPr>
            </w:pPr>
            <w:r>
              <w:rPr>
                <w:rFonts w:ascii="Arial" w:cs="Arial" w:eastAsia="Arial" w:hAnsi="Arial"/>
                <w:sz w:val="14"/>
                <w:szCs w:val="14"/>
                <w:color w:val="auto"/>
              </w:rPr>
              <w:t>accounting firm for its fiscal year ending</w:t>
            </w:r>
          </w:p>
        </w:tc>
        <w:tc>
          <w:tcPr>
            <w:tcW w:w="2100" w:type="dxa"/>
            <w:vAlign w:val="bottom"/>
            <w:vMerge w:val="continue"/>
            <w:shd w:val="clear" w:color="auto" w:fill="FAFAFA"/>
          </w:tcPr>
          <w:p>
            <w:pPr>
              <w:spacing w:after="0"/>
              <w:rPr>
                <w:sz w:val="6"/>
                <w:szCs w:val="6"/>
                <w:color w:val="auto"/>
              </w:rPr>
            </w:pPr>
          </w:p>
        </w:tc>
        <w:tc>
          <w:tcPr>
            <w:tcW w:w="1100" w:type="dxa"/>
            <w:vAlign w:val="bottom"/>
            <w:gridSpan w:val="3"/>
            <w:vMerge w:val="continue"/>
            <w:shd w:val="clear" w:color="auto" w:fill="FAFAFA"/>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1020" w:type="dxa"/>
            <w:vAlign w:val="bottom"/>
            <w:tcBorders>
              <w:top w:val="single" w:sz="8" w:color="FAFAFA"/>
            </w:tcBorders>
            <w:vMerge w:val="continue"/>
            <w:shd w:val="clear" w:color="auto" w:fill="FAFAFA"/>
          </w:tcPr>
          <w:p>
            <w:pPr>
              <w:spacing w:after="0"/>
              <w:rPr>
                <w:sz w:val="5"/>
                <w:szCs w:val="5"/>
                <w:color w:val="auto"/>
              </w:rPr>
            </w:pPr>
          </w:p>
        </w:tc>
        <w:tc>
          <w:tcPr>
            <w:tcW w:w="3440" w:type="dxa"/>
            <w:vAlign w:val="bottom"/>
            <w:tcBorders>
              <w:top w:val="single" w:sz="8" w:color="FAFAFA"/>
            </w:tcBorders>
            <w:vMerge w:val="continue"/>
            <w:shd w:val="clear" w:color="auto" w:fill="FAFAFA"/>
          </w:tcPr>
          <w:p>
            <w:pPr>
              <w:spacing w:after="0"/>
              <w:rPr>
                <w:sz w:val="5"/>
                <w:szCs w:val="5"/>
                <w:color w:val="auto"/>
              </w:rPr>
            </w:pPr>
          </w:p>
        </w:tc>
        <w:tc>
          <w:tcPr>
            <w:tcW w:w="2100" w:type="dxa"/>
            <w:vAlign w:val="bottom"/>
            <w:tcBorders>
              <w:top w:val="single" w:sz="8" w:color="FAFAFA"/>
            </w:tcBorders>
            <w:vMerge w:val="restart"/>
            <w:shd w:val="clear" w:color="auto" w:fill="FAFAFA"/>
          </w:tcPr>
          <w:p>
            <w:pPr>
              <w:ind w:left="160"/>
              <w:spacing w:after="0" w:line="147" w:lineRule="exact"/>
              <w:rPr>
                <w:sz w:val="20"/>
                <w:szCs w:val="20"/>
                <w:color w:val="auto"/>
              </w:rPr>
            </w:pPr>
            <w:r>
              <w:rPr>
                <w:rFonts w:ascii="Arial" w:cs="Arial" w:eastAsia="Arial" w:hAnsi="Arial"/>
                <w:sz w:val="14"/>
                <w:szCs w:val="14"/>
                <w:color w:val="auto"/>
              </w:rPr>
              <w:t>public accounting firm for</w:t>
            </w:r>
          </w:p>
        </w:tc>
        <w:tc>
          <w:tcPr>
            <w:tcW w:w="520" w:type="dxa"/>
            <w:vAlign w:val="bottom"/>
            <w:tcBorders>
              <w:top w:val="single" w:sz="8" w:color="FAFAFA"/>
            </w:tcBorders>
            <w:shd w:val="clear" w:color="auto" w:fill="FAFAFA"/>
          </w:tcPr>
          <w:p>
            <w:pPr>
              <w:spacing w:after="0"/>
              <w:rPr>
                <w:sz w:val="5"/>
                <w:szCs w:val="5"/>
                <w:color w:val="auto"/>
              </w:rPr>
            </w:pPr>
          </w:p>
        </w:tc>
        <w:tc>
          <w:tcPr>
            <w:tcW w:w="160" w:type="dxa"/>
            <w:vAlign w:val="bottom"/>
            <w:tcBorders>
              <w:top w:val="single" w:sz="8" w:color="0000EE"/>
            </w:tcBorders>
            <w:shd w:val="clear" w:color="auto" w:fill="FAFAFA"/>
          </w:tcPr>
          <w:p>
            <w:pPr>
              <w:spacing w:after="0"/>
              <w:rPr>
                <w:sz w:val="5"/>
                <w:szCs w:val="5"/>
                <w:color w:val="auto"/>
              </w:rPr>
            </w:pPr>
          </w:p>
        </w:tc>
        <w:tc>
          <w:tcPr>
            <w:tcW w:w="420" w:type="dxa"/>
            <w:vAlign w:val="bottom"/>
            <w:tcBorders>
              <w:top w:val="single" w:sz="8" w:color="FAFAFA"/>
            </w:tcBorders>
            <w:shd w:val="clear" w:color="auto" w:fill="FAFAFA"/>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020" w:type="dxa"/>
            <w:vAlign w:val="bottom"/>
            <w:vMerge w:val="continue"/>
            <w:shd w:val="clear" w:color="auto" w:fill="FAFAFA"/>
          </w:tcPr>
          <w:p>
            <w:pPr>
              <w:spacing w:after="0"/>
              <w:rPr>
                <w:sz w:val="7"/>
                <w:szCs w:val="7"/>
                <w:color w:val="auto"/>
              </w:rPr>
            </w:pPr>
          </w:p>
        </w:tc>
        <w:tc>
          <w:tcPr>
            <w:tcW w:w="3440" w:type="dxa"/>
            <w:vAlign w:val="bottom"/>
            <w:vMerge w:val="restart"/>
            <w:shd w:val="clear" w:color="auto" w:fill="FAFAFA"/>
          </w:tcPr>
          <w:p>
            <w:pPr>
              <w:ind w:left="100"/>
              <w:spacing w:after="0"/>
              <w:rPr>
                <w:sz w:val="20"/>
                <w:szCs w:val="20"/>
                <w:color w:val="auto"/>
              </w:rPr>
            </w:pPr>
            <w:r>
              <w:rPr>
                <w:rFonts w:ascii="Arial" w:cs="Arial" w:eastAsia="Arial" w:hAnsi="Arial"/>
                <w:sz w:val="14"/>
                <w:szCs w:val="14"/>
                <w:color w:val="auto"/>
              </w:rPr>
              <w:t>December 31, 2024.</w:t>
            </w:r>
          </w:p>
        </w:tc>
        <w:tc>
          <w:tcPr>
            <w:tcW w:w="2100" w:type="dxa"/>
            <w:vAlign w:val="bottom"/>
            <w:vMerge w:val="continue"/>
            <w:shd w:val="clear" w:color="auto" w:fill="FAFAFA"/>
          </w:tcPr>
          <w:p>
            <w:pPr>
              <w:spacing w:after="0"/>
              <w:rPr>
                <w:sz w:val="7"/>
                <w:szCs w:val="7"/>
                <w:color w:val="auto"/>
              </w:rPr>
            </w:pPr>
          </w:p>
        </w:tc>
        <w:tc>
          <w:tcPr>
            <w:tcW w:w="520" w:type="dxa"/>
            <w:vAlign w:val="bottom"/>
            <w:shd w:val="clear" w:color="auto" w:fill="FAFAFA"/>
          </w:tcPr>
          <w:p>
            <w:pPr>
              <w:spacing w:after="0"/>
              <w:rPr>
                <w:sz w:val="7"/>
                <w:szCs w:val="7"/>
                <w:color w:val="auto"/>
              </w:rPr>
            </w:pPr>
          </w:p>
        </w:tc>
        <w:tc>
          <w:tcPr>
            <w:tcW w:w="160" w:type="dxa"/>
            <w:vAlign w:val="bottom"/>
            <w:shd w:val="clear" w:color="auto" w:fill="FAFAFA"/>
          </w:tcPr>
          <w:p>
            <w:pPr>
              <w:spacing w:after="0"/>
              <w:rPr>
                <w:sz w:val="7"/>
                <w:szCs w:val="7"/>
                <w:color w:val="auto"/>
              </w:rPr>
            </w:pPr>
          </w:p>
        </w:tc>
        <w:tc>
          <w:tcPr>
            <w:tcW w:w="420" w:type="dxa"/>
            <w:vAlign w:val="bottom"/>
            <w:shd w:val="clear" w:color="auto" w:fill="FAFAFA"/>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020" w:type="dxa"/>
            <w:vAlign w:val="bottom"/>
            <w:vMerge w:val="continue"/>
            <w:shd w:val="clear" w:color="auto" w:fill="FAFAFA"/>
          </w:tcPr>
          <w:p>
            <w:pPr>
              <w:spacing w:after="0"/>
              <w:rPr>
                <w:sz w:val="14"/>
                <w:szCs w:val="14"/>
                <w:color w:val="auto"/>
              </w:rPr>
            </w:pPr>
          </w:p>
        </w:tc>
        <w:tc>
          <w:tcPr>
            <w:tcW w:w="3440" w:type="dxa"/>
            <w:vAlign w:val="bottom"/>
            <w:vMerge w:val="continue"/>
            <w:shd w:val="clear" w:color="auto" w:fill="FAFAFA"/>
          </w:tcPr>
          <w:p>
            <w:pPr>
              <w:spacing w:after="0"/>
              <w:rPr>
                <w:sz w:val="14"/>
                <w:szCs w:val="14"/>
                <w:color w:val="auto"/>
              </w:rPr>
            </w:pPr>
          </w:p>
        </w:tc>
        <w:tc>
          <w:tcPr>
            <w:tcW w:w="2100" w:type="dxa"/>
            <w:vAlign w:val="bottom"/>
            <w:shd w:val="clear" w:color="auto" w:fill="FAFAFA"/>
          </w:tcPr>
          <w:p>
            <w:pPr>
              <w:ind w:left="160"/>
              <w:spacing w:after="0"/>
              <w:rPr>
                <w:sz w:val="20"/>
                <w:szCs w:val="20"/>
                <w:color w:val="auto"/>
              </w:rPr>
            </w:pPr>
            <w:r>
              <w:rPr>
                <w:rFonts w:ascii="Arial" w:cs="Arial" w:eastAsia="Arial" w:hAnsi="Arial"/>
                <w:sz w:val="14"/>
                <w:szCs w:val="14"/>
                <w:color w:val="auto"/>
              </w:rPr>
              <w:t>our fiscal year ending</w:t>
            </w:r>
          </w:p>
        </w:tc>
        <w:tc>
          <w:tcPr>
            <w:tcW w:w="520" w:type="dxa"/>
            <w:vAlign w:val="bottom"/>
            <w:shd w:val="clear" w:color="auto" w:fill="FAFAFA"/>
          </w:tcPr>
          <w:p>
            <w:pPr>
              <w:spacing w:after="0"/>
              <w:rPr>
                <w:sz w:val="14"/>
                <w:szCs w:val="14"/>
                <w:color w:val="auto"/>
              </w:rPr>
            </w:pPr>
          </w:p>
        </w:tc>
        <w:tc>
          <w:tcPr>
            <w:tcW w:w="160" w:type="dxa"/>
            <w:vAlign w:val="bottom"/>
            <w:shd w:val="clear" w:color="auto" w:fill="FAFAFA"/>
          </w:tcPr>
          <w:p>
            <w:pPr>
              <w:spacing w:after="0"/>
              <w:rPr>
                <w:sz w:val="14"/>
                <w:szCs w:val="14"/>
                <w:color w:val="auto"/>
              </w:rPr>
            </w:pPr>
          </w:p>
        </w:tc>
        <w:tc>
          <w:tcPr>
            <w:tcW w:w="420" w:type="dxa"/>
            <w:vAlign w:val="bottom"/>
            <w:shd w:val="clear" w:color="auto" w:fill="FAFAFA"/>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20" w:type="dxa"/>
            <w:vAlign w:val="bottom"/>
            <w:shd w:val="clear" w:color="auto" w:fill="FAFAFA"/>
          </w:tcPr>
          <w:p>
            <w:pPr>
              <w:spacing w:after="0"/>
              <w:rPr>
                <w:sz w:val="16"/>
                <w:szCs w:val="16"/>
                <w:color w:val="auto"/>
              </w:rPr>
            </w:pPr>
          </w:p>
        </w:tc>
        <w:tc>
          <w:tcPr>
            <w:tcW w:w="3440" w:type="dxa"/>
            <w:vAlign w:val="bottom"/>
            <w:shd w:val="clear" w:color="auto" w:fill="FAFAFA"/>
          </w:tcPr>
          <w:p>
            <w:pPr>
              <w:spacing w:after="0"/>
              <w:rPr>
                <w:sz w:val="16"/>
                <w:szCs w:val="16"/>
                <w:color w:val="auto"/>
              </w:rPr>
            </w:pPr>
          </w:p>
        </w:tc>
        <w:tc>
          <w:tcPr>
            <w:tcW w:w="2100" w:type="dxa"/>
            <w:vAlign w:val="bottom"/>
            <w:shd w:val="clear" w:color="auto" w:fill="FAFAFA"/>
          </w:tcPr>
          <w:p>
            <w:pPr>
              <w:ind w:left="160"/>
              <w:spacing w:after="0"/>
              <w:rPr>
                <w:sz w:val="20"/>
                <w:szCs w:val="20"/>
                <w:color w:val="auto"/>
              </w:rPr>
            </w:pPr>
            <w:r>
              <w:rPr>
                <w:rFonts w:ascii="Arial" w:cs="Arial" w:eastAsia="Arial" w:hAnsi="Arial"/>
                <w:sz w:val="14"/>
                <w:szCs w:val="14"/>
                <w:color w:val="auto"/>
              </w:rPr>
              <w:t>December 31, 2024</w:t>
            </w:r>
          </w:p>
        </w:tc>
        <w:tc>
          <w:tcPr>
            <w:tcW w:w="520" w:type="dxa"/>
            <w:vAlign w:val="bottom"/>
            <w:shd w:val="clear" w:color="auto" w:fill="FAFAFA"/>
          </w:tcPr>
          <w:p>
            <w:pPr>
              <w:spacing w:after="0"/>
              <w:rPr>
                <w:sz w:val="16"/>
                <w:szCs w:val="16"/>
                <w:color w:val="auto"/>
              </w:rPr>
            </w:pPr>
          </w:p>
        </w:tc>
        <w:tc>
          <w:tcPr>
            <w:tcW w:w="160" w:type="dxa"/>
            <w:vAlign w:val="bottom"/>
            <w:shd w:val="clear" w:color="auto" w:fill="FAFAFA"/>
          </w:tcPr>
          <w:p>
            <w:pPr>
              <w:spacing w:after="0"/>
              <w:rPr>
                <w:sz w:val="16"/>
                <w:szCs w:val="16"/>
                <w:color w:val="auto"/>
              </w:rPr>
            </w:pPr>
          </w:p>
        </w:tc>
        <w:tc>
          <w:tcPr>
            <w:tcW w:w="420" w:type="dxa"/>
            <w:vAlign w:val="bottom"/>
            <w:shd w:val="clear" w:color="auto" w:fill="FAFAFA"/>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020" w:type="dxa"/>
            <w:vAlign w:val="bottom"/>
            <w:shd w:val="clear" w:color="auto" w:fill="FAFAFA"/>
          </w:tcPr>
          <w:p>
            <w:pPr>
              <w:spacing w:after="0"/>
              <w:rPr>
                <w:sz w:val="13"/>
                <w:szCs w:val="13"/>
                <w:color w:val="auto"/>
              </w:rPr>
            </w:pPr>
          </w:p>
        </w:tc>
        <w:tc>
          <w:tcPr>
            <w:tcW w:w="3440" w:type="dxa"/>
            <w:vAlign w:val="bottom"/>
            <w:shd w:val="clear" w:color="auto" w:fill="FAFAFA"/>
          </w:tcPr>
          <w:p>
            <w:pPr>
              <w:spacing w:after="0"/>
              <w:rPr>
                <w:sz w:val="13"/>
                <w:szCs w:val="13"/>
                <w:color w:val="auto"/>
              </w:rPr>
            </w:pPr>
          </w:p>
        </w:tc>
        <w:tc>
          <w:tcPr>
            <w:tcW w:w="2100" w:type="dxa"/>
            <w:vAlign w:val="bottom"/>
            <w:shd w:val="clear" w:color="auto" w:fill="FAFAFA"/>
          </w:tcPr>
          <w:p>
            <w:pPr>
              <w:spacing w:after="0"/>
              <w:rPr>
                <w:sz w:val="13"/>
                <w:szCs w:val="13"/>
                <w:color w:val="auto"/>
              </w:rPr>
            </w:pPr>
          </w:p>
        </w:tc>
        <w:tc>
          <w:tcPr>
            <w:tcW w:w="520" w:type="dxa"/>
            <w:vAlign w:val="bottom"/>
            <w:shd w:val="clear" w:color="auto" w:fill="FAFAFA"/>
          </w:tcPr>
          <w:p>
            <w:pPr>
              <w:spacing w:after="0"/>
              <w:rPr>
                <w:sz w:val="13"/>
                <w:szCs w:val="13"/>
                <w:color w:val="auto"/>
              </w:rPr>
            </w:pPr>
          </w:p>
        </w:tc>
        <w:tc>
          <w:tcPr>
            <w:tcW w:w="160" w:type="dxa"/>
            <w:vAlign w:val="bottom"/>
            <w:shd w:val="clear" w:color="auto" w:fill="FAFAFA"/>
          </w:tcPr>
          <w:p>
            <w:pPr>
              <w:spacing w:after="0"/>
              <w:rPr>
                <w:sz w:val="13"/>
                <w:szCs w:val="13"/>
                <w:color w:val="auto"/>
              </w:rPr>
            </w:pPr>
          </w:p>
        </w:tc>
        <w:tc>
          <w:tcPr>
            <w:tcW w:w="420" w:type="dxa"/>
            <w:vAlign w:val="bottom"/>
            <w:shd w:val="clear" w:color="auto" w:fill="FAFAFA"/>
          </w:tcPr>
          <w:p>
            <w:pPr>
              <w:spacing w:after="0"/>
              <w:rPr>
                <w:sz w:val="13"/>
                <w:szCs w:val="13"/>
                <w:color w:val="auto"/>
              </w:rPr>
            </w:pPr>
          </w:p>
        </w:tc>
        <w:tc>
          <w:tcPr>
            <w:tcW w:w="0" w:type="dxa"/>
            <w:vAlign w:val="bottom"/>
          </w:tcPr>
          <w:p>
            <w:pPr>
              <w:spacing w:after="0"/>
              <w:rPr>
                <w:sz w:val="1"/>
                <w:szCs w:val="1"/>
                <w:color w:val="auto"/>
              </w:rPr>
            </w:pPr>
          </w:p>
        </w:tc>
      </w:tr>
      <w:tr>
        <w:trPr>
          <w:trHeight w:val="328"/>
        </w:trPr>
        <w:tc>
          <w:tcPr>
            <w:tcW w:w="1020" w:type="dxa"/>
            <w:vAlign w:val="bottom"/>
            <w:vMerge w:val="restart"/>
            <w:shd w:val="clear" w:color="auto" w:fill="EBEBEB"/>
          </w:tcPr>
          <w:p>
            <w:pPr>
              <w:jc w:val="center"/>
              <w:spacing w:after="0"/>
              <w:rPr>
                <w:sz w:val="20"/>
                <w:szCs w:val="20"/>
                <w:color w:val="auto"/>
              </w:rPr>
            </w:pPr>
            <w:r>
              <w:rPr>
                <w:rFonts w:ascii="Arial" w:cs="Arial" w:eastAsia="Arial" w:hAnsi="Arial"/>
                <w:sz w:val="58"/>
                <w:szCs w:val="58"/>
                <w:color w:val="6CCAD0"/>
                <w:w w:val="99"/>
              </w:rPr>
              <w:t>3</w:t>
            </w:r>
          </w:p>
        </w:tc>
        <w:tc>
          <w:tcPr>
            <w:tcW w:w="3440" w:type="dxa"/>
            <w:vAlign w:val="bottom"/>
            <w:shd w:val="clear" w:color="auto" w:fill="EBEBEB"/>
          </w:tcPr>
          <w:p>
            <w:pPr>
              <w:spacing w:after="0"/>
              <w:rPr>
                <w:sz w:val="24"/>
                <w:szCs w:val="24"/>
                <w:color w:val="auto"/>
              </w:rPr>
            </w:pPr>
          </w:p>
        </w:tc>
        <w:tc>
          <w:tcPr>
            <w:tcW w:w="2100" w:type="dxa"/>
            <w:vAlign w:val="bottom"/>
            <w:shd w:val="clear" w:color="auto" w:fill="EBEBEB"/>
          </w:tcPr>
          <w:p>
            <w:pPr>
              <w:ind w:left="160"/>
              <w:spacing w:after="0"/>
              <w:rPr>
                <w:sz w:val="20"/>
                <w:szCs w:val="20"/>
                <w:color w:val="auto"/>
              </w:rPr>
            </w:pPr>
            <w:r>
              <w:rPr>
                <w:rFonts w:ascii="Arial" w:cs="Arial" w:eastAsia="Arial" w:hAnsi="Arial"/>
                <w:sz w:val="14"/>
                <w:szCs w:val="14"/>
                <w:b w:val="1"/>
                <w:bCs w:val="1"/>
                <w:color w:val="255993"/>
              </w:rPr>
              <w:t xml:space="preserve">“FOR” </w:t>
            </w:r>
            <w:r>
              <w:rPr>
                <w:rFonts w:ascii="Arial" w:cs="Arial" w:eastAsia="Arial" w:hAnsi="Arial"/>
                <w:sz w:val="14"/>
                <w:szCs w:val="14"/>
                <w:color w:val="000000"/>
              </w:rPr>
              <w:t>an amendment to</w:t>
            </w:r>
          </w:p>
        </w:tc>
        <w:tc>
          <w:tcPr>
            <w:tcW w:w="520" w:type="dxa"/>
            <w:vAlign w:val="bottom"/>
            <w:shd w:val="clear" w:color="auto" w:fill="EBEBEB"/>
          </w:tcPr>
          <w:p>
            <w:pPr>
              <w:spacing w:after="0"/>
              <w:rPr>
                <w:sz w:val="24"/>
                <w:szCs w:val="24"/>
                <w:color w:val="auto"/>
              </w:rPr>
            </w:pPr>
          </w:p>
        </w:tc>
        <w:tc>
          <w:tcPr>
            <w:tcW w:w="160" w:type="dxa"/>
            <w:vAlign w:val="bottom"/>
            <w:shd w:val="clear" w:color="auto" w:fill="EBEBEB"/>
          </w:tcPr>
          <w:p>
            <w:pPr>
              <w:spacing w:after="0"/>
              <w:rPr>
                <w:sz w:val="24"/>
                <w:szCs w:val="24"/>
                <w:color w:val="auto"/>
              </w:rPr>
            </w:pPr>
          </w:p>
        </w:tc>
        <w:tc>
          <w:tcPr>
            <w:tcW w:w="420" w:type="dxa"/>
            <w:vAlign w:val="bottom"/>
            <w:shd w:val="clear" w:color="auto" w:fill="EBEBEB"/>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20" w:type="dxa"/>
            <w:vAlign w:val="bottom"/>
            <w:vMerge w:val="continue"/>
            <w:shd w:val="clear" w:color="auto" w:fill="EBEBEB"/>
          </w:tcPr>
          <w:p>
            <w:pPr>
              <w:spacing w:after="0"/>
              <w:rPr>
                <w:sz w:val="14"/>
                <w:szCs w:val="14"/>
                <w:color w:val="auto"/>
              </w:rPr>
            </w:pPr>
          </w:p>
        </w:tc>
        <w:tc>
          <w:tcPr>
            <w:tcW w:w="3440" w:type="dxa"/>
            <w:vAlign w:val="bottom"/>
            <w:shd w:val="clear" w:color="auto" w:fill="EBEBEB"/>
          </w:tcPr>
          <w:p>
            <w:pPr>
              <w:ind w:left="100"/>
              <w:spacing w:after="0"/>
              <w:rPr>
                <w:sz w:val="20"/>
                <w:szCs w:val="20"/>
                <w:color w:val="auto"/>
              </w:rPr>
            </w:pPr>
            <w:r>
              <w:rPr>
                <w:rFonts w:ascii="Arial" w:cs="Arial" w:eastAsia="Arial" w:hAnsi="Arial"/>
                <w:sz w:val="14"/>
                <w:szCs w:val="14"/>
                <w:color w:val="auto"/>
              </w:rPr>
              <w:t>To approve an amendment to the Company’s</w:t>
            </w:r>
          </w:p>
        </w:tc>
        <w:tc>
          <w:tcPr>
            <w:tcW w:w="2100" w:type="dxa"/>
            <w:vAlign w:val="bottom"/>
            <w:shd w:val="clear" w:color="auto" w:fill="EBEBEB"/>
          </w:tcPr>
          <w:p>
            <w:pPr>
              <w:ind w:left="160"/>
              <w:spacing w:after="0"/>
              <w:rPr>
                <w:sz w:val="20"/>
                <w:szCs w:val="20"/>
                <w:color w:val="auto"/>
              </w:rPr>
            </w:pPr>
            <w:r>
              <w:rPr>
                <w:rFonts w:ascii="Arial" w:cs="Arial" w:eastAsia="Arial" w:hAnsi="Arial"/>
                <w:sz w:val="14"/>
                <w:szCs w:val="14"/>
                <w:color w:val="auto"/>
              </w:rPr>
              <w:t>the Company’s amended</w:t>
            </w:r>
          </w:p>
        </w:tc>
        <w:tc>
          <w:tcPr>
            <w:tcW w:w="520" w:type="dxa"/>
            <w:vAlign w:val="bottom"/>
            <w:shd w:val="clear" w:color="auto" w:fill="EBEBEB"/>
          </w:tcPr>
          <w:p>
            <w:pPr>
              <w:spacing w:after="0"/>
              <w:rPr>
                <w:sz w:val="14"/>
                <w:szCs w:val="14"/>
                <w:color w:val="auto"/>
              </w:rPr>
            </w:pPr>
          </w:p>
        </w:tc>
        <w:tc>
          <w:tcPr>
            <w:tcW w:w="160" w:type="dxa"/>
            <w:vAlign w:val="bottom"/>
            <w:shd w:val="clear" w:color="auto" w:fill="EBEBEB"/>
          </w:tcPr>
          <w:p>
            <w:pPr>
              <w:spacing w:after="0"/>
              <w:rPr>
                <w:sz w:val="14"/>
                <w:szCs w:val="14"/>
                <w:color w:val="auto"/>
              </w:rPr>
            </w:pPr>
          </w:p>
        </w:tc>
        <w:tc>
          <w:tcPr>
            <w:tcW w:w="420" w:type="dxa"/>
            <w:vAlign w:val="bottom"/>
            <w:shd w:val="clear" w:color="auto" w:fill="EBEBE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vMerge w:val="continue"/>
            <w:shd w:val="clear" w:color="auto" w:fill="EBEBEB"/>
          </w:tcPr>
          <w:p>
            <w:pPr>
              <w:spacing w:after="0"/>
              <w:rPr>
                <w:sz w:val="14"/>
                <w:szCs w:val="14"/>
                <w:color w:val="auto"/>
              </w:rPr>
            </w:pPr>
          </w:p>
        </w:tc>
        <w:tc>
          <w:tcPr>
            <w:tcW w:w="3440" w:type="dxa"/>
            <w:vAlign w:val="bottom"/>
            <w:shd w:val="clear" w:color="auto" w:fill="EBEBEB"/>
          </w:tcPr>
          <w:p>
            <w:pPr>
              <w:ind w:left="100"/>
              <w:spacing w:after="0"/>
              <w:rPr>
                <w:sz w:val="20"/>
                <w:szCs w:val="20"/>
                <w:color w:val="auto"/>
              </w:rPr>
            </w:pPr>
            <w:r>
              <w:rPr>
                <w:rFonts w:ascii="Arial" w:cs="Arial" w:eastAsia="Arial" w:hAnsi="Arial"/>
                <w:sz w:val="14"/>
                <w:szCs w:val="14"/>
                <w:color w:val="auto"/>
              </w:rPr>
              <w:t>amended and restated certificate of incorporation</w:t>
            </w:r>
          </w:p>
        </w:tc>
        <w:tc>
          <w:tcPr>
            <w:tcW w:w="2100" w:type="dxa"/>
            <w:vAlign w:val="bottom"/>
            <w:shd w:val="clear" w:color="auto" w:fill="EBEBEB"/>
          </w:tcPr>
          <w:p>
            <w:pPr>
              <w:ind w:left="160"/>
              <w:spacing w:after="0"/>
              <w:rPr>
                <w:sz w:val="20"/>
                <w:szCs w:val="20"/>
                <w:color w:val="auto"/>
              </w:rPr>
            </w:pPr>
            <w:r>
              <w:rPr>
                <w:rFonts w:ascii="Arial" w:cs="Arial" w:eastAsia="Arial" w:hAnsi="Arial"/>
                <w:sz w:val="14"/>
                <w:szCs w:val="14"/>
                <w:color w:val="auto"/>
              </w:rPr>
              <w:t>and restated certificate of</w:t>
            </w:r>
          </w:p>
        </w:tc>
        <w:tc>
          <w:tcPr>
            <w:tcW w:w="1100" w:type="dxa"/>
            <w:vAlign w:val="bottom"/>
            <w:gridSpan w:val="3"/>
            <w:vMerge w:val="restart"/>
            <w:shd w:val="clear" w:color="auto" w:fill="EBEBEB"/>
          </w:tcPr>
          <w:p>
            <w:pPr>
              <w:jc w:val="center"/>
              <w:ind w:left="24"/>
              <w:spacing w:after="0"/>
              <w:rPr>
                <w:sz w:val="20"/>
                <w:szCs w:val="20"/>
                <w:color w:val="auto"/>
              </w:rPr>
            </w:pPr>
            <w:r>
              <w:rPr>
                <w:rFonts w:ascii="Arial" w:cs="Arial" w:eastAsia="Arial" w:hAnsi="Arial"/>
                <w:sz w:val="14"/>
                <w:szCs w:val="14"/>
                <w:color w:val="0000EE"/>
              </w:rPr>
              <w:t>29</w:t>
            </w:r>
          </w:p>
        </w:tc>
        <w:tc>
          <w:tcPr>
            <w:tcW w:w="0" w:type="dxa"/>
            <w:vAlign w:val="bottom"/>
          </w:tcPr>
          <w:p>
            <w:pPr>
              <w:spacing w:after="0"/>
              <w:rPr>
                <w:sz w:val="1"/>
                <w:szCs w:val="1"/>
                <w:color w:val="auto"/>
              </w:rPr>
            </w:pPr>
          </w:p>
        </w:tc>
      </w:tr>
      <w:tr>
        <w:trPr>
          <w:trHeight w:val="77"/>
        </w:trPr>
        <w:tc>
          <w:tcPr>
            <w:tcW w:w="1020" w:type="dxa"/>
            <w:vAlign w:val="bottom"/>
            <w:vMerge w:val="continue"/>
            <w:shd w:val="clear" w:color="auto" w:fill="EBEBEB"/>
          </w:tcPr>
          <w:p>
            <w:pPr>
              <w:spacing w:after="0"/>
              <w:rPr>
                <w:sz w:val="6"/>
                <w:szCs w:val="6"/>
                <w:color w:val="auto"/>
              </w:rPr>
            </w:pPr>
          </w:p>
        </w:tc>
        <w:tc>
          <w:tcPr>
            <w:tcW w:w="3440" w:type="dxa"/>
            <w:vAlign w:val="bottom"/>
            <w:vMerge w:val="restart"/>
            <w:shd w:val="clear" w:color="auto" w:fill="EBEBEB"/>
          </w:tcPr>
          <w:p>
            <w:pPr>
              <w:ind w:left="100"/>
              <w:spacing w:after="0"/>
              <w:rPr>
                <w:sz w:val="20"/>
                <w:szCs w:val="20"/>
                <w:color w:val="auto"/>
              </w:rPr>
            </w:pPr>
            <w:r>
              <w:rPr>
                <w:rFonts w:ascii="Arial" w:cs="Arial" w:eastAsia="Arial" w:hAnsi="Arial"/>
                <w:sz w:val="14"/>
                <w:szCs w:val="14"/>
                <w:color w:val="auto"/>
              </w:rPr>
              <w:t>to limit the liability of officers as permitted by</w:t>
            </w:r>
          </w:p>
        </w:tc>
        <w:tc>
          <w:tcPr>
            <w:tcW w:w="2100" w:type="dxa"/>
            <w:vAlign w:val="bottom"/>
            <w:vMerge w:val="restart"/>
            <w:shd w:val="clear" w:color="auto" w:fill="EBEBEB"/>
          </w:tcPr>
          <w:p>
            <w:pPr>
              <w:ind w:left="160"/>
              <w:spacing w:after="0"/>
              <w:rPr>
                <w:sz w:val="20"/>
                <w:szCs w:val="20"/>
                <w:color w:val="auto"/>
              </w:rPr>
            </w:pPr>
            <w:r>
              <w:rPr>
                <w:rFonts w:ascii="Arial" w:cs="Arial" w:eastAsia="Arial" w:hAnsi="Arial"/>
                <w:sz w:val="14"/>
                <w:szCs w:val="14"/>
                <w:color w:val="auto"/>
              </w:rPr>
              <w:t>incorporation to limit the</w:t>
            </w:r>
          </w:p>
        </w:tc>
        <w:tc>
          <w:tcPr>
            <w:tcW w:w="1100" w:type="dxa"/>
            <w:vAlign w:val="bottom"/>
            <w:gridSpan w:val="3"/>
            <w:vMerge w:val="continue"/>
            <w:shd w:val="clear" w:color="auto" w:fill="EBEBEB"/>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1020" w:type="dxa"/>
            <w:vAlign w:val="bottom"/>
            <w:tcBorders>
              <w:top w:val="single" w:sz="8" w:color="EBEBEB"/>
            </w:tcBorders>
            <w:vMerge w:val="continue"/>
            <w:shd w:val="clear" w:color="auto" w:fill="EBEBEB"/>
          </w:tcPr>
          <w:p>
            <w:pPr>
              <w:spacing w:after="0"/>
              <w:rPr>
                <w:sz w:val="5"/>
                <w:szCs w:val="5"/>
                <w:color w:val="auto"/>
              </w:rPr>
            </w:pPr>
          </w:p>
        </w:tc>
        <w:tc>
          <w:tcPr>
            <w:tcW w:w="3440" w:type="dxa"/>
            <w:vAlign w:val="bottom"/>
            <w:tcBorders>
              <w:top w:val="single" w:sz="8" w:color="EBEBEB"/>
            </w:tcBorders>
            <w:vMerge w:val="continue"/>
            <w:shd w:val="clear" w:color="auto" w:fill="EBEBEB"/>
          </w:tcPr>
          <w:p>
            <w:pPr>
              <w:spacing w:after="0"/>
              <w:rPr>
                <w:sz w:val="5"/>
                <w:szCs w:val="5"/>
                <w:color w:val="auto"/>
              </w:rPr>
            </w:pPr>
          </w:p>
        </w:tc>
        <w:tc>
          <w:tcPr>
            <w:tcW w:w="2100" w:type="dxa"/>
            <w:vAlign w:val="bottom"/>
            <w:tcBorders>
              <w:top w:val="single" w:sz="8" w:color="EBEBEB"/>
            </w:tcBorders>
            <w:vMerge w:val="continue"/>
            <w:shd w:val="clear" w:color="auto" w:fill="EBEBEB"/>
          </w:tcPr>
          <w:p>
            <w:pPr>
              <w:spacing w:after="0"/>
              <w:rPr>
                <w:sz w:val="5"/>
                <w:szCs w:val="5"/>
                <w:color w:val="auto"/>
              </w:rPr>
            </w:pPr>
          </w:p>
        </w:tc>
        <w:tc>
          <w:tcPr>
            <w:tcW w:w="520" w:type="dxa"/>
            <w:vAlign w:val="bottom"/>
            <w:tcBorders>
              <w:top w:val="single" w:sz="8" w:color="EBEBEB"/>
            </w:tcBorders>
            <w:shd w:val="clear" w:color="auto" w:fill="EBEBEB"/>
          </w:tcPr>
          <w:p>
            <w:pPr>
              <w:spacing w:after="0"/>
              <w:rPr>
                <w:sz w:val="5"/>
                <w:szCs w:val="5"/>
                <w:color w:val="auto"/>
              </w:rPr>
            </w:pPr>
          </w:p>
        </w:tc>
        <w:tc>
          <w:tcPr>
            <w:tcW w:w="160" w:type="dxa"/>
            <w:vAlign w:val="bottom"/>
            <w:tcBorders>
              <w:top w:val="single" w:sz="8" w:color="0000EE"/>
            </w:tcBorders>
            <w:shd w:val="clear" w:color="auto" w:fill="EBEBEB"/>
          </w:tcPr>
          <w:p>
            <w:pPr>
              <w:spacing w:after="0"/>
              <w:rPr>
                <w:sz w:val="5"/>
                <w:szCs w:val="5"/>
                <w:color w:val="auto"/>
              </w:rPr>
            </w:pPr>
          </w:p>
        </w:tc>
        <w:tc>
          <w:tcPr>
            <w:tcW w:w="420" w:type="dxa"/>
            <w:vAlign w:val="bottom"/>
            <w:tcBorders>
              <w:top w:val="single" w:sz="8" w:color="EBEBEB"/>
            </w:tcBorders>
            <w:shd w:val="clear" w:color="auto" w:fill="EBEBEB"/>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020" w:type="dxa"/>
            <w:vAlign w:val="bottom"/>
            <w:vMerge w:val="continue"/>
            <w:shd w:val="clear" w:color="auto" w:fill="EBEBEB"/>
          </w:tcPr>
          <w:p>
            <w:pPr>
              <w:spacing w:after="0"/>
              <w:rPr>
                <w:sz w:val="14"/>
                <w:szCs w:val="14"/>
                <w:color w:val="auto"/>
              </w:rPr>
            </w:pPr>
          </w:p>
        </w:tc>
        <w:tc>
          <w:tcPr>
            <w:tcW w:w="3440" w:type="dxa"/>
            <w:vAlign w:val="bottom"/>
            <w:shd w:val="clear" w:color="auto" w:fill="EBEBEB"/>
          </w:tcPr>
          <w:p>
            <w:pPr>
              <w:ind w:left="100"/>
              <w:spacing w:after="0"/>
              <w:rPr>
                <w:sz w:val="20"/>
                <w:szCs w:val="20"/>
                <w:color w:val="auto"/>
              </w:rPr>
            </w:pPr>
            <w:r>
              <w:rPr>
                <w:rFonts w:ascii="Arial" w:cs="Arial" w:eastAsia="Arial" w:hAnsi="Arial"/>
                <w:sz w:val="14"/>
                <w:szCs w:val="14"/>
                <w:color w:val="auto"/>
              </w:rPr>
              <w:t>Delaware law.</w:t>
            </w:r>
          </w:p>
        </w:tc>
        <w:tc>
          <w:tcPr>
            <w:tcW w:w="2100" w:type="dxa"/>
            <w:vAlign w:val="bottom"/>
            <w:shd w:val="clear" w:color="auto" w:fill="EBEBEB"/>
          </w:tcPr>
          <w:p>
            <w:pPr>
              <w:ind w:left="160"/>
              <w:spacing w:after="0"/>
              <w:rPr>
                <w:sz w:val="20"/>
                <w:szCs w:val="20"/>
                <w:color w:val="auto"/>
              </w:rPr>
            </w:pPr>
            <w:r>
              <w:rPr>
                <w:rFonts w:ascii="Arial" w:cs="Arial" w:eastAsia="Arial" w:hAnsi="Arial"/>
                <w:sz w:val="14"/>
                <w:szCs w:val="14"/>
                <w:color w:val="auto"/>
              </w:rPr>
              <w:t>liability of officers as</w:t>
            </w:r>
          </w:p>
        </w:tc>
        <w:tc>
          <w:tcPr>
            <w:tcW w:w="520" w:type="dxa"/>
            <w:vAlign w:val="bottom"/>
            <w:shd w:val="clear" w:color="auto" w:fill="EBEBEB"/>
          </w:tcPr>
          <w:p>
            <w:pPr>
              <w:spacing w:after="0"/>
              <w:rPr>
                <w:sz w:val="14"/>
                <w:szCs w:val="14"/>
                <w:color w:val="auto"/>
              </w:rPr>
            </w:pPr>
          </w:p>
        </w:tc>
        <w:tc>
          <w:tcPr>
            <w:tcW w:w="160" w:type="dxa"/>
            <w:vAlign w:val="bottom"/>
            <w:shd w:val="clear" w:color="auto" w:fill="EBEBEB"/>
          </w:tcPr>
          <w:p>
            <w:pPr>
              <w:spacing w:after="0"/>
              <w:rPr>
                <w:sz w:val="14"/>
                <w:szCs w:val="14"/>
                <w:color w:val="auto"/>
              </w:rPr>
            </w:pPr>
          </w:p>
        </w:tc>
        <w:tc>
          <w:tcPr>
            <w:tcW w:w="420" w:type="dxa"/>
            <w:vAlign w:val="bottom"/>
            <w:shd w:val="clear" w:color="auto" w:fill="EBEBEB"/>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20" w:type="dxa"/>
            <w:vAlign w:val="bottom"/>
            <w:shd w:val="clear" w:color="auto" w:fill="EBEBEB"/>
          </w:tcPr>
          <w:p>
            <w:pPr>
              <w:spacing w:after="0"/>
              <w:rPr>
                <w:sz w:val="16"/>
                <w:szCs w:val="16"/>
                <w:color w:val="auto"/>
              </w:rPr>
            </w:pPr>
          </w:p>
        </w:tc>
        <w:tc>
          <w:tcPr>
            <w:tcW w:w="3440" w:type="dxa"/>
            <w:vAlign w:val="bottom"/>
            <w:shd w:val="clear" w:color="auto" w:fill="EBEBEB"/>
          </w:tcPr>
          <w:p>
            <w:pPr>
              <w:spacing w:after="0"/>
              <w:rPr>
                <w:sz w:val="16"/>
                <w:szCs w:val="16"/>
                <w:color w:val="auto"/>
              </w:rPr>
            </w:pPr>
          </w:p>
        </w:tc>
        <w:tc>
          <w:tcPr>
            <w:tcW w:w="2100" w:type="dxa"/>
            <w:vAlign w:val="bottom"/>
            <w:shd w:val="clear" w:color="auto" w:fill="EBEBEB"/>
          </w:tcPr>
          <w:p>
            <w:pPr>
              <w:ind w:left="160"/>
              <w:spacing w:after="0"/>
              <w:rPr>
                <w:sz w:val="20"/>
                <w:szCs w:val="20"/>
                <w:color w:val="auto"/>
              </w:rPr>
            </w:pPr>
            <w:r>
              <w:rPr>
                <w:rFonts w:ascii="Arial" w:cs="Arial" w:eastAsia="Arial" w:hAnsi="Arial"/>
                <w:sz w:val="14"/>
                <w:szCs w:val="14"/>
                <w:color w:val="auto"/>
              </w:rPr>
              <w:t>permitted by Delaware law</w:t>
            </w:r>
          </w:p>
        </w:tc>
        <w:tc>
          <w:tcPr>
            <w:tcW w:w="520" w:type="dxa"/>
            <w:vAlign w:val="bottom"/>
            <w:shd w:val="clear" w:color="auto" w:fill="EBEBEB"/>
          </w:tcPr>
          <w:p>
            <w:pPr>
              <w:spacing w:after="0"/>
              <w:rPr>
                <w:sz w:val="16"/>
                <w:szCs w:val="16"/>
                <w:color w:val="auto"/>
              </w:rPr>
            </w:pPr>
          </w:p>
        </w:tc>
        <w:tc>
          <w:tcPr>
            <w:tcW w:w="160" w:type="dxa"/>
            <w:vAlign w:val="bottom"/>
            <w:shd w:val="clear" w:color="auto" w:fill="EBEBEB"/>
          </w:tcPr>
          <w:p>
            <w:pPr>
              <w:spacing w:after="0"/>
              <w:rPr>
                <w:sz w:val="16"/>
                <w:szCs w:val="16"/>
                <w:color w:val="auto"/>
              </w:rPr>
            </w:pPr>
          </w:p>
        </w:tc>
        <w:tc>
          <w:tcPr>
            <w:tcW w:w="420" w:type="dxa"/>
            <w:vAlign w:val="bottom"/>
            <w:shd w:val="clear" w:color="auto" w:fill="EBEBEB"/>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1020" w:type="dxa"/>
            <w:vAlign w:val="bottom"/>
            <w:shd w:val="clear" w:color="auto" w:fill="EBEBEB"/>
          </w:tcPr>
          <w:p>
            <w:pPr>
              <w:spacing w:after="0"/>
              <w:rPr>
                <w:sz w:val="10"/>
                <w:szCs w:val="10"/>
                <w:color w:val="auto"/>
              </w:rPr>
            </w:pPr>
          </w:p>
        </w:tc>
        <w:tc>
          <w:tcPr>
            <w:tcW w:w="3440" w:type="dxa"/>
            <w:vAlign w:val="bottom"/>
            <w:shd w:val="clear" w:color="auto" w:fill="EBEBEB"/>
          </w:tcPr>
          <w:p>
            <w:pPr>
              <w:spacing w:after="0"/>
              <w:rPr>
                <w:sz w:val="10"/>
                <w:szCs w:val="10"/>
                <w:color w:val="auto"/>
              </w:rPr>
            </w:pPr>
          </w:p>
        </w:tc>
        <w:tc>
          <w:tcPr>
            <w:tcW w:w="2100" w:type="dxa"/>
            <w:vAlign w:val="bottom"/>
            <w:shd w:val="clear" w:color="auto" w:fill="EBEBEB"/>
          </w:tcPr>
          <w:p>
            <w:pPr>
              <w:spacing w:after="0"/>
              <w:rPr>
                <w:sz w:val="10"/>
                <w:szCs w:val="10"/>
                <w:color w:val="auto"/>
              </w:rPr>
            </w:pPr>
          </w:p>
        </w:tc>
        <w:tc>
          <w:tcPr>
            <w:tcW w:w="520" w:type="dxa"/>
            <w:vAlign w:val="bottom"/>
            <w:shd w:val="clear" w:color="auto" w:fill="EBEBEB"/>
          </w:tcPr>
          <w:p>
            <w:pPr>
              <w:spacing w:after="0"/>
              <w:rPr>
                <w:sz w:val="10"/>
                <w:szCs w:val="10"/>
                <w:color w:val="auto"/>
              </w:rPr>
            </w:pPr>
          </w:p>
        </w:tc>
        <w:tc>
          <w:tcPr>
            <w:tcW w:w="160" w:type="dxa"/>
            <w:vAlign w:val="bottom"/>
            <w:shd w:val="clear" w:color="auto" w:fill="EBEBEB"/>
          </w:tcPr>
          <w:p>
            <w:pPr>
              <w:spacing w:after="0"/>
              <w:rPr>
                <w:sz w:val="10"/>
                <w:szCs w:val="10"/>
                <w:color w:val="auto"/>
              </w:rPr>
            </w:pPr>
          </w:p>
        </w:tc>
        <w:tc>
          <w:tcPr>
            <w:tcW w:w="420" w:type="dxa"/>
            <w:vAlign w:val="bottom"/>
            <w:shd w:val="clear" w:color="auto" w:fill="EBEBEB"/>
          </w:tcPr>
          <w:p>
            <w:pPr>
              <w:spacing w:after="0"/>
              <w:rPr>
                <w:sz w:val="10"/>
                <w:szCs w:val="10"/>
                <w:color w:val="auto"/>
              </w:rPr>
            </w:pPr>
          </w:p>
        </w:tc>
        <w:tc>
          <w:tcPr>
            <w:tcW w:w="0" w:type="dxa"/>
            <w:vAlign w:val="bottom"/>
          </w:tcPr>
          <w:p>
            <w:pPr>
              <w:spacing w:after="0"/>
              <w:rPr>
                <w:sz w:val="1"/>
                <w:szCs w:val="1"/>
                <w:color w:val="auto"/>
              </w:rPr>
            </w:pPr>
          </w:p>
        </w:tc>
      </w:tr>
      <w:tr>
        <w:trPr>
          <w:trHeight w:val="504"/>
        </w:trPr>
        <w:tc>
          <w:tcPr>
            <w:tcW w:w="1020" w:type="dxa"/>
            <w:vAlign w:val="bottom"/>
            <w:vMerge w:val="restart"/>
            <w:shd w:val="clear" w:color="auto" w:fill="FAFAFA"/>
          </w:tcPr>
          <w:p>
            <w:pPr>
              <w:jc w:val="center"/>
              <w:spacing w:after="0"/>
              <w:rPr>
                <w:sz w:val="20"/>
                <w:szCs w:val="20"/>
                <w:color w:val="auto"/>
              </w:rPr>
            </w:pPr>
            <w:r>
              <w:rPr>
                <w:rFonts w:ascii="Arial" w:cs="Arial" w:eastAsia="Arial" w:hAnsi="Arial"/>
                <w:sz w:val="58"/>
                <w:szCs w:val="58"/>
                <w:color w:val="255993"/>
                <w:w w:val="99"/>
              </w:rPr>
              <w:t>4</w:t>
            </w:r>
            <w:r>
              <w:rPr>
                <w:rFonts w:ascii="Arial" w:cs="Arial" w:eastAsia="Arial" w:hAnsi="Arial"/>
                <w:sz w:val="14"/>
                <w:szCs w:val="14"/>
                <w:color w:val="255993"/>
                <w:w w:val="99"/>
              </w:rPr>
              <w:t>​</w:t>
            </w:r>
          </w:p>
        </w:tc>
        <w:tc>
          <w:tcPr>
            <w:tcW w:w="3440" w:type="dxa"/>
            <w:vAlign w:val="bottom"/>
            <w:shd w:val="clear" w:color="auto" w:fill="FAFAFA"/>
          </w:tcPr>
          <w:p>
            <w:pPr>
              <w:ind w:left="100"/>
              <w:spacing w:after="0"/>
              <w:rPr>
                <w:sz w:val="20"/>
                <w:szCs w:val="20"/>
                <w:color w:val="auto"/>
              </w:rPr>
            </w:pPr>
            <w:r>
              <w:rPr>
                <w:rFonts w:ascii="Arial" w:cs="Arial" w:eastAsia="Arial" w:hAnsi="Arial"/>
                <w:sz w:val="14"/>
                <w:szCs w:val="14"/>
                <w:color w:val="auto"/>
              </w:rPr>
              <w:t>To vote on any other matters that may properly</w:t>
            </w:r>
          </w:p>
        </w:tc>
        <w:tc>
          <w:tcPr>
            <w:tcW w:w="2100" w:type="dxa"/>
            <w:vAlign w:val="bottom"/>
            <w:vMerge w:val="restart"/>
            <w:shd w:val="clear" w:color="auto" w:fill="FAFAFA"/>
          </w:tcPr>
          <w:p>
            <w:pPr>
              <w:ind w:left="160"/>
              <w:spacing w:after="0"/>
              <w:rPr>
                <w:sz w:val="20"/>
                <w:szCs w:val="20"/>
                <w:color w:val="auto"/>
              </w:rPr>
            </w:pPr>
            <w:r>
              <w:rPr>
                <w:rFonts w:ascii="Arial" w:cs="Arial" w:eastAsia="Arial" w:hAnsi="Arial"/>
                <w:sz w:val="14"/>
                <w:szCs w:val="14"/>
                <w:color w:val="auto"/>
              </w:rPr>
              <w:t>—</w:t>
            </w:r>
          </w:p>
        </w:tc>
        <w:tc>
          <w:tcPr>
            <w:tcW w:w="520" w:type="dxa"/>
            <w:vAlign w:val="bottom"/>
            <w:shd w:val="clear" w:color="auto" w:fill="FAFAFA"/>
          </w:tcPr>
          <w:p>
            <w:pPr>
              <w:spacing w:after="0"/>
              <w:rPr>
                <w:sz w:val="24"/>
                <w:szCs w:val="24"/>
                <w:color w:val="auto"/>
              </w:rPr>
            </w:pPr>
          </w:p>
        </w:tc>
        <w:tc>
          <w:tcPr>
            <w:tcW w:w="580" w:type="dxa"/>
            <w:vAlign w:val="bottom"/>
            <w:gridSpan w:val="2"/>
            <w:vMerge w:val="restart"/>
            <w:shd w:val="clear" w:color="auto" w:fill="FAFAFA"/>
          </w:tcPr>
          <w:p>
            <w:pPr>
              <w:jc w:val="center"/>
              <w:ind w:right="44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09"/>
        </w:trPr>
        <w:tc>
          <w:tcPr>
            <w:tcW w:w="1020" w:type="dxa"/>
            <w:vAlign w:val="bottom"/>
            <w:vMerge w:val="continue"/>
            <w:shd w:val="clear" w:color="auto" w:fill="FAFAFA"/>
          </w:tcPr>
          <w:p>
            <w:pPr>
              <w:spacing w:after="0"/>
              <w:rPr>
                <w:sz w:val="9"/>
                <w:szCs w:val="9"/>
                <w:color w:val="auto"/>
              </w:rPr>
            </w:pPr>
          </w:p>
        </w:tc>
        <w:tc>
          <w:tcPr>
            <w:tcW w:w="3440" w:type="dxa"/>
            <w:vAlign w:val="bottom"/>
            <w:vMerge w:val="restart"/>
            <w:shd w:val="clear" w:color="auto" w:fill="FAFAFA"/>
          </w:tcPr>
          <w:p>
            <w:pPr>
              <w:ind w:left="100"/>
              <w:spacing w:after="0"/>
              <w:rPr>
                <w:sz w:val="20"/>
                <w:szCs w:val="20"/>
                <w:color w:val="auto"/>
              </w:rPr>
            </w:pPr>
            <w:r>
              <w:rPr>
                <w:rFonts w:ascii="Arial" w:cs="Arial" w:eastAsia="Arial" w:hAnsi="Arial"/>
                <w:sz w:val="14"/>
                <w:szCs w:val="14"/>
                <w:color w:val="auto"/>
              </w:rPr>
              <w:t>come before the Annual Meeting.</w:t>
            </w:r>
          </w:p>
        </w:tc>
        <w:tc>
          <w:tcPr>
            <w:tcW w:w="2100" w:type="dxa"/>
            <w:vAlign w:val="bottom"/>
            <w:vMerge w:val="continue"/>
            <w:shd w:val="clear" w:color="auto" w:fill="FAFAFA"/>
          </w:tcPr>
          <w:p>
            <w:pPr>
              <w:spacing w:after="0"/>
              <w:rPr>
                <w:sz w:val="9"/>
                <w:szCs w:val="9"/>
                <w:color w:val="auto"/>
              </w:rPr>
            </w:pPr>
          </w:p>
        </w:tc>
        <w:tc>
          <w:tcPr>
            <w:tcW w:w="520" w:type="dxa"/>
            <w:vAlign w:val="bottom"/>
            <w:shd w:val="clear" w:color="auto" w:fill="FAFAFA"/>
          </w:tcPr>
          <w:p>
            <w:pPr>
              <w:spacing w:after="0"/>
              <w:rPr>
                <w:sz w:val="9"/>
                <w:szCs w:val="9"/>
                <w:color w:val="auto"/>
              </w:rPr>
            </w:pPr>
          </w:p>
        </w:tc>
        <w:tc>
          <w:tcPr>
            <w:tcW w:w="580" w:type="dxa"/>
            <w:vAlign w:val="bottom"/>
            <w:gridSpan w:val="2"/>
            <w:vMerge w:val="continue"/>
            <w:shd w:val="clear" w:color="auto" w:fill="FAFAFA"/>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1020" w:type="dxa"/>
            <w:vAlign w:val="bottom"/>
            <w:vMerge w:val="continue"/>
            <w:shd w:val="clear" w:color="auto" w:fill="FAFAFA"/>
          </w:tcPr>
          <w:p>
            <w:pPr>
              <w:spacing w:after="0"/>
              <w:rPr>
                <w:sz w:val="24"/>
                <w:szCs w:val="24"/>
                <w:color w:val="auto"/>
              </w:rPr>
            </w:pPr>
          </w:p>
        </w:tc>
        <w:tc>
          <w:tcPr>
            <w:tcW w:w="3440" w:type="dxa"/>
            <w:vAlign w:val="bottom"/>
            <w:vMerge w:val="continue"/>
            <w:shd w:val="clear" w:color="auto" w:fill="FAFAFA"/>
          </w:tcPr>
          <w:p>
            <w:pPr>
              <w:spacing w:after="0"/>
              <w:rPr>
                <w:sz w:val="24"/>
                <w:szCs w:val="24"/>
                <w:color w:val="auto"/>
              </w:rPr>
            </w:pPr>
          </w:p>
        </w:tc>
        <w:tc>
          <w:tcPr>
            <w:tcW w:w="2100" w:type="dxa"/>
            <w:vAlign w:val="bottom"/>
            <w:shd w:val="clear" w:color="auto" w:fill="FAFAFA"/>
          </w:tcPr>
          <w:p>
            <w:pPr>
              <w:spacing w:after="0"/>
              <w:rPr>
                <w:sz w:val="24"/>
                <w:szCs w:val="24"/>
                <w:color w:val="auto"/>
              </w:rPr>
            </w:pPr>
          </w:p>
        </w:tc>
        <w:tc>
          <w:tcPr>
            <w:tcW w:w="520" w:type="dxa"/>
            <w:vAlign w:val="bottom"/>
            <w:shd w:val="clear" w:color="auto" w:fill="FAFAFA"/>
          </w:tcPr>
          <w:p>
            <w:pPr>
              <w:spacing w:after="0"/>
              <w:rPr>
                <w:sz w:val="24"/>
                <w:szCs w:val="24"/>
                <w:color w:val="auto"/>
              </w:rPr>
            </w:pPr>
          </w:p>
        </w:tc>
        <w:tc>
          <w:tcPr>
            <w:tcW w:w="160" w:type="dxa"/>
            <w:vAlign w:val="bottom"/>
            <w:shd w:val="clear" w:color="auto" w:fill="FAFAFA"/>
          </w:tcPr>
          <w:p>
            <w:pPr>
              <w:spacing w:after="0"/>
              <w:rPr>
                <w:sz w:val="24"/>
                <w:szCs w:val="24"/>
                <w:color w:val="auto"/>
              </w:rPr>
            </w:pPr>
          </w:p>
        </w:tc>
        <w:tc>
          <w:tcPr>
            <w:tcW w:w="420" w:type="dxa"/>
            <w:vAlign w:val="bottom"/>
            <w:shd w:val="clear" w:color="auto" w:fill="FAFAFA"/>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020" w:type="dxa"/>
            <w:vAlign w:val="bottom"/>
            <w:shd w:val="clear" w:color="auto" w:fill="FAFAFA"/>
          </w:tcPr>
          <w:p>
            <w:pPr>
              <w:spacing w:after="0"/>
              <w:rPr>
                <w:sz w:val="14"/>
                <w:szCs w:val="14"/>
                <w:color w:val="auto"/>
              </w:rPr>
            </w:pPr>
          </w:p>
        </w:tc>
        <w:tc>
          <w:tcPr>
            <w:tcW w:w="3440" w:type="dxa"/>
            <w:vAlign w:val="bottom"/>
            <w:shd w:val="clear" w:color="auto" w:fill="FAFAFA"/>
          </w:tcPr>
          <w:p>
            <w:pPr>
              <w:spacing w:after="0"/>
              <w:rPr>
                <w:sz w:val="14"/>
                <w:szCs w:val="14"/>
                <w:color w:val="auto"/>
              </w:rPr>
            </w:pPr>
          </w:p>
        </w:tc>
        <w:tc>
          <w:tcPr>
            <w:tcW w:w="2100" w:type="dxa"/>
            <w:vAlign w:val="bottom"/>
            <w:shd w:val="clear" w:color="auto" w:fill="FAFAFA"/>
          </w:tcPr>
          <w:p>
            <w:pPr>
              <w:spacing w:after="0"/>
              <w:rPr>
                <w:sz w:val="14"/>
                <w:szCs w:val="14"/>
                <w:color w:val="auto"/>
              </w:rPr>
            </w:pPr>
          </w:p>
        </w:tc>
        <w:tc>
          <w:tcPr>
            <w:tcW w:w="520" w:type="dxa"/>
            <w:vAlign w:val="bottom"/>
            <w:shd w:val="clear" w:color="auto" w:fill="FAFAFA"/>
          </w:tcPr>
          <w:p>
            <w:pPr>
              <w:spacing w:after="0"/>
              <w:rPr>
                <w:sz w:val="14"/>
                <w:szCs w:val="14"/>
                <w:color w:val="auto"/>
              </w:rPr>
            </w:pPr>
          </w:p>
        </w:tc>
        <w:tc>
          <w:tcPr>
            <w:tcW w:w="160" w:type="dxa"/>
            <w:vAlign w:val="bottom"/>
            <w:shd w:val="clear" w:color="auto" w:fill="FAFAFA"/>
          </w:tcPr>
          <w:p>
            <w:pPr>
              <w:spacing w:after="0"/>
              <w:rPr>
                <w:sz w:val="14"/>
                <w:szCs w:val="14"/>
                <w:color w:val="auto"/>
              </w:rPr>
            </w:pPr>
          </w:p>
        </w:tc>
        <w:tc>
          <w:tcPr>
            <w:tcW w:w="420" w:type="dxa"/>
            <w:vAlign w:val="bottom"/>
            <w:shd w:val="clear" w:color="auto" w:fill="FAFAFA"/>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-1542415</wp:posOffset>
            </wp:positionV>
            <wp:extent cx="486918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86918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-2485390</wp:posOffset>
            </wp:positionV>
            <wp:extent cx="486918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86918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-3222625</wp:posOffset>
            </wp:positionV>
            <wp:extent cx="486918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869180" cy="34290"/>
                    </a:xfrm>
                    <a:prstGeom prst="rect">
                      <a:avLst/>
                    </a:prstGeom>
                    <a:noFill/>
                  </pic:spPr>
                </pic:pic>
              </a:graphicData>
            </a:graphic>
          </wp:anchor>
        </w:drawing>
      </w:r>
    </w:p>
    <w:p>
      <w:pPr>
        <w:spacing w:after="0" w:line="114"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The Notice of Internet Availability of Proxy Materials, or Notice of Internet Availability, containing instructions on how to access this proxy statement, the accompanying notice of annual meeting and form of proxy, and our annual report, is first being sent or given on or about April [•], 2024 to all stockholders of record as of March 26, 2024.</w:t>
      </w:r>
    </w:p>
    <w:p>
      <w:pPr>
        <w:spacing w:after="0" w:line="1084" w:lineRule="exact"/>
        <w:rPr>
          <w:sz w:val="20"/>
          <w:szCs w:val="20"/>
          <w:color w:val="auto"/>
        </w:rPr>
      </w:pPr>
    </w:p>
    <w:p>
      <w:pPr>
        <w:sectPr>
          <w:pgSz w:w="11900" w:h="16838" w:orient="portrait"/>
          <w:cols w:equalWidth="0" w:num="2">
            <w:col w:w="1520" w:space="220"/>
            <w:col w:w="7660"/>
          </w:cols>
          <w:pgMar w:left="1240" w:top="263" w:right="1259" w:bottom="1440" w:gutter="0" w:footer="0" w:header="0"/>
          <w:type w:val="continuous"/>
        </w:sectPr>
      </w:pPr>
    </w:p>
    <w:p>
      <w:pPr>
        <w:spacing w:after="0" w:line="111" w:lineRule="exact"/>
        <w:rPr>
          <w:sz w:val="20"/>
          <w:szCs w:val="20"/>
          <w:color w:val="auto"/>
        </w:rPr>
      </w:pPr>
    </w:p>
    <w:p>
      <w:pPr>
        <w:spacing w:after="0"/>
        <w:tabs>
          <w:tab w:leader="none" w:pos="464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1</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126365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4632960</wp:posOffset>
            </wp:positionH>
            <wp:positionV relativeFrom="paragraph">
              <wp:posOffset>93345</wp:posOffset>
            </wp:positionV>
            <wp:extent cx="1337310" cy="651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3731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F8991D"/>
        </w:rPr>
        <w:t>PROXY STATEMENT</w:t>
      </w:r>
    </w:p>
    <w:p>
      <w:pPr>
        <w:spacing w:after="0" w:line="45" w:lineRule="exact"/>
        <w:rPr>
          <w:sz w:val="20"/>
          <w:szCs w:val="20"/>
          <w:color w:val="auto"/>
        </w:rPr>
      </w:pPr>
    </w:p>
    <w:p>
      <w:pPr>
        <w:ind w:right="2280"/>
        <w:spacing w:after="0" w:line="269" w:lineRule="auto"/>
        <w:rPr>
          <w:sz w:val="20"/>
          <w:szCs w:val="20"/>
          <w:color w:val="auto"/>
        </w:rPr>
      </w:pPr>
      <w:r>
        <w:rPr>
          <w:rFonts w:ascii="Arial" w:cs="Arial" w:eastAsia="Arial" w:hAnsi="Arial"/>
          <w:sz w:val="58"/>
          <w:szCs w:val="58"/>
          <w:color w:val="255993"/>
        </w:rPr>
        <w:t>For 2024 Annual Meeting of Stockholders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 be Held at 8:00 a.m., Pacific Time, on May 23, 2024</w:t>
      </w:r>
    </w:p>
    <w:p>
      <w:pPr>
        <w:spacing w:after="0" w:line="154"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The board of directors of Athira Pharma, Inc., a Delaware corporation (“we,” “us,” “our,” the “Company” or “Athira”), is soliciting proxies to be used at our 2024 annual meeting of stockholders (together with any postponement, adjournment or continuation thereof, the “Annual Meeting”). The Annual Meeting will be held on May 23, 2024, at 8:00 a.m., Pacific Time. The annual meeting will be conducted virtually via live audio webcast. You will be able to attend the annual meeting virtually by visiting www.virtualshareholdermeeting.com/ATHA2024, where you will be able to listen to the meeting live, submit questions and vote online during the meeting.</w:t>
      </w:r>
    </w:p>
    <w:p>
      <w:pPr>
        <w:spacing w:after="0" w:line="101"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The Notice of Internet Availability of Proxy Materials, or Notice of Internet Availability, containing instructions on how to access this proxy statement, the accompanying notice of annual meeting and form of proxy, and our annual report, is first being sent or given on or about April [•], 2024 to all stockholders of record as of March 26, 2024. The proxy materials and our annual report can be accessed as of April [•], 2024 by visiting www.proxyvote.com. If you receive a Notice of Internet Availability, then you will not receive a printed copy of the proxy materials or our annual report in the mail unless you specifically request these materials. Instructions for requesting a printed copy of the proxy materials and our annual report are set forth in the Notice of Internet Availability.</w:t>
      </w:r>
    </w:p>
    <w:p>
      <w:pPr>
        <w:spacing w:after="0" w:line="11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information provided in the “question and answer” format below is for your convenience only and is merely a summary of the information contained in this proxy statement. You should read this entire proxy statement carefully.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QUESTIONS AND ANSWERS ABOUT THE PROXY MATERIALS AND OUR ANNUAL MEETING</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WHY AM I RECEIVING THESE MATERIALS?</w:t>
      </w:r>
    </w:p>
    <w:p>
      <w:pPr>
        <w:spacing w:after="0" w:line="113"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This proxy statement and the accompanying proxy card are furnished in connection with the solicitation of proxies by our board of directors for use at the Annual Meeting.</w:t>
      </w:r>
    </w:p>
    <w:p>
      <w:pPr>
        <w:spacing w:after="0" w:line="75"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b w:val="1"/>
          <w:bCs w:val="1"/>
          <w:color w:val="255993"/>
        </w:rPr>
        <w:t xml:space="preserve">Your vote is very important. </w:t>
      </w:r>
      <w:r>
        <w:rPr>
          <w:rFonts w:ascii="Arial" w:cs="Arial" w:eastAsia="Arial" w:hAnsi="Arial"/>
          <w:sz w:val="16"/>
          <w:szCs w:val="16"/>
          <w:color w:val="000000"/>
        </w:rPr>
        <w:t>Whether or not you attend the virtual annual meeting, it is important that your shares be represented</w:t>
      </w:r>
      <w:r>
        <w:rPr>
          <w:rFonts w:ascii="Arial" w:cs="Arial" w:eastAsia="Arial" w:hAnsi="Arial"/>
          <w:sz w:val="16"/>
          <w:szCs w:val="16"/>
          <w:b w:val="1"/>
          <w:bCs w:val="1"/>
          <w:color w:val="255993"/>
        </w:rPr>
        <w:t xml:space="preserve"> </w:t>
      </w:r>
      <w:r>
        <w:rPr>
          <w:rFonts w:ascii="Arial" w:cs="Arial" w:eastAsia="Arial" w:hAnsi="Arial"/>
          <w:sz w:val="16"/>
          <w:szCs w:val="16"/>
          <w:color w:val="000000"/>
        </w:rPr>
        <w:t>and voted at the annual meeting. Therefore, we urge you to vote and submit your proxy promptly via the internet, telephone or mail. Voting your shares by proxy ensures that if you are unable to attend the Annual Meeting, your shares will be voted at the Annual Meeting. Voting now will not limit your right to change your vote or to attend the Annual Meeting.</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WHAT PROPOSALS WILL BE VOTED ON AT THE ANNUAL MEETING?</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proposals will be voted on at the Annual Meeting:</w:t>
      </w:r>
    </w:p>
    <w:p>
      <w:pPr>
        <w:spacing w:after="0" w:line="167" w:lineRule="exact"/>
        <w:rPr>
          <w:sz w:val="20"/>
          <w:szCs w:val="20"/>
          <w:color w:val="auto"/>
        </w:rPr>
      </w:pPr>
    </w:p>
    <w:p>
      <w:pPr>
        <w:ind w:left="140" w:right="380" w:hanging="134"/>
        <w:spacing w:after="0" w:line="281" w:lineRule="auto"/>
        <w:tabs>
          <w:tab w:leader="none" w:pos="140" w:val="left"/>
        </w:tabs>
        <w:numPr>
          <w:ilvl w:val="0"/>
          <w:numId w:val="6"/>
        </w:numPr>
        <w:rPr>
          <w:rFonts w:ascii="Arial" w:cs="Arial" w:eastAsia="Arial" w:hAnsi="Arial"/>
          <w:sz w:val="16"/>
          <w:szCs w:val="16"/>
          <w:color w:val="255993"/>
        </w:rPr>
      </w:pPr>
      <w:r>
        <w:rPr>
          <w:rFonts w:ascii="Arial" w:cs="Arial" w:eastAsia="Arial" w:hAnsi="Arial"/>
          <w:sz w:val="16"/>
          <w:szCs w:val="16"/>
          <w:b w:val="1"/>
          <w:bCs w:val="1"/>
          <w:color w:val="255993"/>
        </w:rPr>
        <w:t>Proposal No. 1</w:t>
      </w:r>
      <w:r>
        <w:rPr>
          <w:rFonts w:ascii="Arial" w:cs="Arial" w:eastAsia="Arial" w:hAnsi="Arial"/>
          <w:sz w:val="16"/>
          <w:szCs w:val="16"/>
          <w:color w:val="255993"/>
        </w:rPr>
        <w:t>:</w:t>
      </w:r>
      <w:r>
        <w:rPr>
          <w:rFonts w:ascii="Arial" w:cs="Arial" w:eastAsia="Arial" w:hAnsi="Arial"/>
          <w:sz w:val="16"/>
          <w:szCs w:val="16"/>
          <w:b w:val="1"/>
          <w:bCs w:val="1"/>
          <w:color w:val="255993"/>
        </w:rPr>
        <w:t xml:space="preserve"> </w:t>
      </w:r>
      <w:r>
        <w:rPr>
          <w:rFonts w:ascii="Arial" w:cs="Arial" w:eastAsia="Arial" w:hAnsi="Arial"/>
          <w:sz w:val="16"/>
          <w:szCs w:val="16"/>
          <w:color w:val="000000"/>
        </w:rPr>
        <w:t>the election of three nominees as Class I directors of the Company, each to hold office until their respective</w:t>
      </w:r>
      <w:r>
        <w:rPr>
          <w:rFonts w:ascii="Arial" w:cs="Arial" w:eastAsia="Arial" w:hAnsi="Arial"/>
          <w:sz w:val="16"/>
          <w:szCs w:val="16"/>
          <w:b w:val="1"/>
          <w:bCs w:val="1"/>
          <w:color w:val="255993"/>
        </w:rPr>
        <w:t xml:space="preserve"> </w:t>
      </w:r>
      <w:r>
        <w:rPr>
          <w:rFonts w:ascii="Arial" w:cs="Arial" w:eastAsia="Arial" w:hAnsi="Arial"/>
          <w:sz w:val="16"/>
          <w:szCs w:val="16"/>
          <w:color w:val="000000"/>
        </w:rPr>
        <w:t>successors are elected and qualified, or until their earlier death, resignation or removal.</w:t>
      </w:r>
    </w:p>
    <w:p>
      <w:pPr>
        <w:spacing w:after="0" w:line="1" w:lineRule="exact"/>
        <w:rPr>
          <w:rFonts w:ascii="Arial" w:cs="Arial" w:eastAsia="Arial" w:hAnsi="Arial"/>
          <w:sz w:val="16"/>
          <w:szCs w:val="16"/>
          <w:color w:val="255993"/>
        </w:rPr>
      </w:pPr>
    </w:p>
    <w:p>
      <w:pPr>
        <w:ind w:left="140" w:right="540" w:hanging="134"/>
        <w:spacing w:after="0" w:line="281" w:lineRule="auto"/>
        <w:tabs>
          <w:tab w:leader="none" w:pos="140" w:val="left"/>
        </w:tabs>
        <w:numPr>
          <w:ilvl w:val="0"/>
          <w:numId w:val="6"/>
        </w:numPr>
        <w:rPr>
          <w:rFonts w:ascii="Arial" w:cs="Arial" w:eastAsia="Arial" w:hAnsi="Arial"/>
          <w:sz w:val="16"/>
          <w:szCs w:val="16"/>
          <w:color w:val="255993"/>
        </w:rPr>
      </w:pPr>
      <w:r>
        <w:rPr>
          <w:rFonts w:ascii="Arial" w:cs="Arial" w:eastAsia="Arial" w:hAnsi="Arial"/>
          <w:sz w:val="16"/>
          <w:szCs w:val="16"/>
          <w:b w:val="1"/>
          <w:bCs w:val="1"/>
          <w:color w:val="255993"/>
        </w:rPr>
        <w:t>Proposal No. 2</w:t>
      </w:r>
      <w:r>
        <w:rPr>
          <w:rFonts w:ascii="Arial" w:cs="Arial" w:eastAsia="Arial" w:hAnsi="Arial"/>
          <w:sz w:val="16"/>
          <w:szCs w:val="16"/>
          <w:color w:val="000000"/>
        </w:rPr>
        <w:t>: the ratification of the appointment of Ernst &amp; Young LLP as the Company’s independent registered public</w:t>
      </w:r>
      <w:r>
        <w:rPr>
          <w:rFonts w:ascii="Arial" w:cs="Arial" w:eastAsia="Arial" w:hAnsi="Arial"/>
          <w:sz w:val="16"/>
          <w:szCs w:val="16"/>
          <w:b w:val="1"/>
          <w:bCs w:val="1"/>
          <w:color w:val="255993"/>
        </w:rPr>
        <w:t xml:space="preserve"> </w:t>
      </w:r>
      <w:r>
        <w:rPr>
          <w:rFonts w:ascii="Arial" w:cs="Arial" w:eastAsia="Arial" w:hAnsi="Arial"/>
          <w:sz w:val="16"/>
          <w:szCs w:val="16"/>
          <w:color w:val="000000"/>
        </w:rPr>
        <w:t>accounting firm for its fiscal year ending December 31, 2024.</w:t>
      </w:r>
    </w:p>
    <w:p>
      <w:pPr>
        <w:spacing w:after="0" w:line="1" w:lineRule="exact"/>
        <w:rPr>
          <w:rFonts w:ascii="Arial" w:cs="Arial" w:eastAsia="Arial" w:hAnsi="Arial"/>
          <w:sz w:val="16"/>
          <w:szCs w:val="16"/>
          <w:color w:val="255993"/>
        </w:rPr>
      </w:pPr>
    </w:p>
    <w:p>
      <w:pPr>
        <w:ind w:left="140" w:right="180" w:hanging="134"/>
        <w:spacing w:after="0" w:line="281" w:lineRule="auto"/>
        <w:tabs>
          <w:tab w:leader="none" w:pos="140" w:val="left"/>
        </w:tabs>
        <w:numPr>
          <w:ilvl w:val="0"/>
          <w:numId w:val="6"/>
        </w:numPr>
        <w:rPr>
          <w:rFonts w:ascii="Arial" w:cs="Arial" w:eastAsia="Arial" w:hAnsi="Arial"/>
          <w:sz w:val="16"/>
          <w:szCs w:val="16"/>
          <w:color w:val="255993"/>
        </w:rPr>
      </w:pPr>
      <w:r>
        <w:rPr>
          <w:rFonts w:ascii="Arial" w:cs="Arial" w:eastAsia="Arial" w:hAnsi="Arial"/>
          <w:sz w:val="16"/>
          <w:szCs w:val="16"/>
          <w:b w:val="1"/>
          <w:bCs w:val="1"/>
          <w:color w:val="255993"/>
        </w:rPr>
        <w:t>Proposal No. 3</w:t>
      </w:r>
      <w:r>
        <w:rPr>
          <w:rFonts w:ascii="Arial" w:cs="Arial" w:eastAsia="Arial" w:hAnsi="Arial"/>
          <w:sz w:val="16"/>
          <w:szCs w:val="16"/>
          <w:color w:val="000000"/>
        </w:rPr>
        <w:t>: the approval of an amendment to the Company’s amended and restated certificate of incorporation to limit the</w:t>
      </w:r>
      <w:r>
        <w:rPr>
          <w:rFonts w:ascii="Arial" w:cs="Arial" w:eastAsia="Arial" w:hAnsi="Arial"/>
          <w:sz w:val="16"/>
          <w:szCs w:val="16"/>
          <w:b w:val="1"/>
          <w:bCs w:val="1"/>
          <w:color w:val="255993"/>
        </w:rPr>
        <w:t xml:space="preserve"> </w:t>
      </w:r>
      <w:r>
        <w:rPr>
          <w:rFonts w:ascii="Arial" w:cs="Arial" w:eastAsia="Arial" w:hAnsi="Arial"/>
          <w:sz w:val="16"/>
          <w:szCs w:val="16"/>
          <w:color w:val="000000"/>
        </w:rPr>
        <w:t>liability of officers as permitted by Delaware law.</w:t>
      </w:r>
    </w:p>
    <w:p>
      <w:pPr>
        <w:spacing w:after="0" w:line="1" w:lineRule="exact"/>
        <w:rPr>
          <w:rFonts w:ascii="Arial" w:cs="Arial" w:eastAsia="Arial" w:hAnsi="Arial"/>
          <w:sz w:val="16"/>
          <w:szCs w:val="16"/>
          <w:color w:val="255993"/>
        </w:rPr>
      </w:pPr>
    </w:p>
    <w:p>
      <w:pPr>
        <w:ind w:left="140" w:right="140" w:hanging="134"/>
        <w:spacing w:after="0" w:line="286" w:lineRule="auto"/>
        <w:tabs>
          <w:tab w:leader="none" w:pos="140" w:val="left"/>
        </w:tabs>
        <w:numPr>
          <w:ilvl w:val="0"/>
          <w:numId w:val="6"/>
        </w:numPr>
        <w:rPr>
          <w:rFonts w:ascii="Arial" w:cs="Arial" w:eastAsia="Arial" w:hAnsi="Arial"/>
          <w:sz w:val="16"/>
          <w:szCs w:val="16"/>
          <w:color w:val="255993"/>
        </w:rPr>
      </w:pPr>
      <w:r>
        <w:rPr>
          <w:rFonts w:ascii="Arial" w:cs="Arial" w:eastAsia="Arial" w:hAnsi="Arial"/>
          <w:sz w:val="16"/>
          <w:szCs w:val="16"/>
          <w:b w:val="1"/>
          <w:bCs w:val="1"/>
          <w:color w:val="255993"/>
        </w:rPr>
        <w:t>Proposal No. 4</w:t>
      </w:r>
      <w:r>
        <w:rPr>
          <w:rFonts w:ascii="Arial" w:cs="Arial" w:eastAsia="Arial" w:hAnsi="Arial"/>
          <w:sz w:val="16"/>
          <w:szCs w:val="16"/>
          <w:color w:val="000000"/>
        </w:rPr>
        <w:t>: any other business that may properly come before the annual meeting or any adjournments or postponements</w:t>
      </w:r>
      <w:r>
        <w:rPr>
          <w:rFonts w:ascii="Arial" w:cs="Arial" w:eastAsia="Arial" w:hAnsi="Arial"/>
          <w:sz w:val="16"/>
          <w:szCs w:val="16"/>
          <w:b w:val="1"/>
          <w:bCs w:val="1"/>
          <w:color w:val="255993"/>
        </w:rPr>
        <w:t xml:space="preserve"> </w:t>
      </w:r>
      <w:r>
        <w:rPr>
          <w:rFonts w:ascii="Arial" w:cs="Arial" w:eastAsia="Arial" w:hAnsi="Arial"/>
          <w:sz w:val="16"/>
          <w:szCs w:val="16"/>
          <w:color w:val="000000"/>
        </w:rPr>
        <w:t>thereof.</w:t>
      </w:r>
    </w:p>
    <w:p>
      <w:pPr>
        <w:spacing w:after="0" w:line="160" w:lineRule="exact"/>
        <w:rPr>
          <w:sz w:val="20"/>
          <w:szCs w:val="20"/>
          <w:color w:val="auto"/>
        </w:rPr>
      </w:pPr>
    </w:p>
    <w:p>
      <w:pPr>
        <w:spacing w:after="0"/>
        <w:tabs>
          <w:tab w:leader="none" w:pos="464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2</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6760"/>
        <w:spacing w:after="0"/>
        <w:rPr>
          <w:sz w:val="20"/>
          <w:szCs w:val="20"/>
          <w:color w:val="auto"/>
        </w:rPr>
      </w:pPr>
      <w:r>
        <w:rPr>
          <w:rFonts w:ascii="Arial" w:cs="Arial" w:eastAsia="Arial" w:hAnsi="Arial"/>
          <w:sz w:val="14"/>
          <w:szCs w:val="14"/>
          <w:color w:val="255993"/>
        </w:rPr>
        <w:t>For 2024 Annual Meeting of Stockholders</w:t>
      </w:r>
    </w:p>
    <w:p>
      <w:pPr>
        <w:spacing w:after="0" w:line="104" w:lineRule="exact"/>
        <w:rPr>
          <w:sz w:val="20"/>
          <w:szCs w:val="20"/>
          <w:color w:val="auto"/>
        </w:rPr>
      </w:pPr>
    </w:p>
    <w:p>
      <w:pPr>
        <w:ind w:right="740"/>
        <w:spacing w:after="0" w:line="286" w:lineRule="auto"/>
        <w:rPr>
          <w:sz w:val="20"/>
          <w:szCs w:val="20"/>
          <w:color w:val="auto"/>
        </w:rPr>
      </w:pPr>
      <w:r>
        <w:rPr>
          <w:rFonts w:ascii="Arial" w:cs="Arial" w:eastAsia="Arial" w:hAnsi="Arial"/>
          <w:sz w:val="16"/>
          <w:szCs w:val="16"/>
          <w:color w:val="auto"/>
        </w:rPr>
        <w:t>As of the date of this proxy statement, our management and board of directors were not aware of any other matters to be presented at the Annual Meeting.</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HOW DOES THE BOARD OF DIRECTORS RECOMMEND THAT I VOTE ON THESE PROPOSALS?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recommends that you vote your shares:</w:t>
      </w:r>
    </w:p>
    <w:p>
      <w:pPr>
        <w:spacing w:after="0" w:line="167" w:lineRule="exact"/>
        <w:rPr>
          <w:sz w:val="20"/>
          <w:szCs w:val="20"/>
          <w:color w:val="auto"/>
        </w:rPr>
      </w:pPr>
    </w:p>
    <w:p>
      <w:pPr>
        <w:ind w:left="140" w:right="540" w:hanging="134"/>
        <w:spacing w:after="0" w:line="281" w:lineRule="auto"/>
        <w:tabs>
          <w:tab w:leader="none" w:pos="140" w:val="left"/>
        </w:tabs>
        <w:numPr>
          <w:ilvl w:val="0"/>
          <w:numId w:val="7"/>
        </w:numPr>
        <w:rPr>
          <w:rFonts w:ascii="Arial" w:cs="Arial" w:eastAsia="Arial" w:hAnsi="Arial"/>
          <w:sz w:val="16"/>
          <w:szCs w:val="16"/>
          <w:color w:val="255993"/>
        </w:rPr>
      </w:pPr>
      <w:r>
        <w:rPr>
          <w:rFonts w:ascii="Arial" w:cs="Arial" w:eastAsia="Arial" w:hAnsi="Arial"/>
          <w:sz w:val="16"/>
          <w:szCs w:val="16"/>
          <w:b w:val="1"/>
          <w:bCs w:val="1"/>
          <w:color w:val="255993"/>
        </w:rPr>
        <w:t xml:space="preserve">“FOR” </w:t>
      </w:r>
      <w:r>
        <w:rPr>
          <w:rFonts w:ascii="Arial" w:cs="Arial" w:eastAsia="Arial" w:hAnsi="Arial"/>
          <w:sz w:val="16"/>
          <w:szCs w:val="16"/>
          <w:color w:val="000000"/>
        </w:rPr>
        <w:t>the election of each Class I director nominee named in this proxy statement (Proposal No. 1) (which nominees are</w:t>
      </w:r>
      <w:r>
        <w:rPr>
          <w:rFonts w:ascii="Arial" w:cs="Arial" w:eastAsia="Arial" w:hAnsi="Arial"/>
          <w:sz w:val="16"/>
          <w:szCs w:val="16"/>
          <w:b w:val="1"/>
          <w:bCs w:val="1"/>
          <w:color w:val="255993"/>
        </w:rPr>
        <w:t xml:space="preserve"> </w:t>
      </w:r>
      <w:r>
        <w:rPr>
          <w:rFonts w:ascii="Arial" w:cs="Arial" w:eastAsia="Arial" w:hAnsi="Arial"/>
          <w:sz w:val="16"/>
          <w:szCs w:val="16"/>
          <w:color w:val="000000"/>
        </w:rPr>
        <w:t>Barbara Kosacz, Mark Litton, and Michael Panzara).</w:t>
      </w:r>
    </w:p>
    <w:p>
      <w:pPr>
        <w:spacing w:after="0" w:line="1" w:lineRule="exact"/>
        <w:rPr>
          <w:rFonts w:ascii="Arial" w:cs="Arial" w:eastAsia="Arial" w:hAnsi="Arial"/>
          <w:sz w:val="16"/>
          <w:szCs w:val="16"/>
          <w:color w:val="255993"/>
        </w:rPr>
      </w:pPr>
    </w:p>
    <w:p>
      <w:pPr>
        <w:ind w:left="140" w:right="400" w:hanging="134"/>
        <w:spacing w:after="0" w:line="281" w:lineRule="auto"/>
        <w:tabs>
          <w:tab w:leader="none" w:pos="140" w:val="left"/>
        </w:tabs>
        <w:numPr>
          <w:ilvl w:val="0"/>
          <w:numId w:val="7"/>
        </w:numPr>
        <w:rPr>
          <w:rFonts w:ascii="Arial" w:cs="Arial" w:eastAsia="Arial" w:hAnsi="Arial"/>
          <w:sz w:val="16"/>
          <w:szCs w:val="16"/>
          <w:color w:val="255993"/>
        </w:rPr>
      </w:pPr>
      <w:r>
        <w:rPr>
          <w:rFonts w:ascii="Arial" w:cs="Arial" w:eastAsia="Arial" w:hAnsi="Arial"/>
          <w:sz w:val="16"/>
          <w:szCs w:val="16"/>
          <w:b w:val="1"/>
          <w:bCs w:val="1"/>
          <w:color w:val="255993"/>
        </w:rPr>
        <w:t xml:space="preserve">“FOR” </w:t>
      </w:r>
      <w:r>
        <w:rPr>
          <w:rFonts w:ascii="Arial" w:cs="Arial" w:eastAsia="Arial" w:hAnsi="Arial"/>
          <w:sz w:val="16"/>
          <w:szCs w:val="16"/>
          <w:color w:val="000000"/>
        </w:rPr>
        <w:t>the ratification of the appointment of Ernst &amp; Young LLP as our independent registered public accounting firm for our</w:t>
      </w:r>
      <w:r>
        <w:rPr>
          <w:rFonts w:ascii="Arial" w:cs="Arial" w:eastAsia="Arial" w:hAnsi="Arial"/>
          <w:sz w:val="16"/>
          <w:szCs w:val="16"/>
          <w:b w:val="1"/>
          <w:bCs w:val="1"/>
          <w:color w:val="255993"/>
        </w:rPr>
        <w:t xml:space="preserve"> </w:t>
      </w:r>
      <w:r>
        <w:rPr>
          <w:rFonts w:ascii="Arial" w:cs="Arial" w:eastAsia="Arial" w:hAnsi="Arial"/>
          <w:sz w:val="16"/>
          <w:szCs w:val="16"/>
          <w:color w:val="000000"/>
        </w:rPr>
        <w:t>fiscal year ending December 31, 2024 (Proposal No. 2).</w:t>
      </w:r>
    </w:p>
    <w:p>
      <w:pPr>
        <w:spacing w:after="0" w:line="1" w:lineRule="exact"/>
        <w:rPr>
          <w:rFonts w:ascii="Arial" w:cs="Arial" w:eastAsia="Arial" w:hAnsi="Arial"/>
          <w:sz w:val="16"/>
          <w:szCs w:val="16"/>
          <w:color w:val="255993"/>
        </w:rPr>
      </w:pPr>
    </w:p>
    <w:p>
      <w:pPr>
        <w:ind w:left="140" w:right="220" w:hanging="134"/>
        <w:spacing w:after="0" w:line="286" w:lineRule="auto"/>
        <w:tabs>
          <w:tab w:leader="none" w:pos="140" w:val="left"/>
        </w:tabs>
        <w:numPr>
          <w:ilvl w:val="0"/>
          <w:numId w:val="7"/>
        </w:numPr>
        <w:rPr>
          <w:rFonts w:ascii="Arial" w:cs="Arial" w:eastAsia="Arial" w:hAnsi="Arial"/>
          <w:sz w:val="16"/>
          <w:szCs w:val="16"/>
          <w:color w:val="255993"/>
        </w:rPr>
      </w:pPr>
      <w:r>
        <w:rPr>
          <w:rFonts w:ascii="Arial" w:cs="Arial" w:eastAsia="Arial" w:hAnsi="Arial"/>
          <w:sz w:val="16"/>
          <w:szCs w:val="16"/>
          <w:b w:val="1"/>
          <w:bCs w:val="1"/>
          <w:color w:val="255993"/>
        </w:rPr>
        <w:t xml:space="preserve">“FOR” </w:t>
      </w:r>
      <w:r>
        <w:rPr>
          <w:rFonts w:ascii="Arial" w:cs="Arial" w:eastAsia="Arial" w:hAnsi="Arial"/>
          <w:sz w:val="16"/>
          <w:szCs w:val="16"/>
          <w:color w:val="000000"/>
        </w:rPr>
        <w:t>the approval of an amendment to our amended and restated certificate of incorporation to limit the liability of officers as</w:t>
      </w:r>
      <w:r>
        <w:rPr>
          <w:rFonts w:ascii="Arial" w:cs="Arial" w:eastAsia="Arial" w:hAnsi="Arial"/>
          <w:sz w:val="16"/>
          <w:szCs w:val="16"/>
          <w:b w:val="1"/>
          <w:bCs w:val="1"/>
          <w:color w:val="255993"/>
        </w:rPr>
        <w:t xml:space="preserve"> </w:t>
      </w:r>
      <w:r>
        <w:rPr>
          <w:rFonts w:ascii="Arial" w:cs="Arial" w:eastAsia="Arial" w:hAnsi="Arial"/>
          <w:sz w:val="16"/>
          <w:szCs w:val="16"/>
          <w:color w:val="000000"/>
        </w:rPr>
        <w:t>permitted by Delaware law (Proposal No. 3).</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WHO IS ENTITLED TO VOTE AT THE ANNUAL MEETING?</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Holders of our common stock as of the close of business on March 26, 2024, the record date for the Annual Meeting, may vote at the Annual Meeting. As of the record date, there were 38,326,652 shares of our common stock outstanding. Each share of common stock is entitled to one vote on each matter properly brought before the Annual Meeting. Stockholders are not permitted to cumulate votes with respect to the election of directors. We do not have any outstanding shares of preferred stock.</w:t>
      </w:r>
    </w:p>
    <w:p>
      <w:pPr>
        <w:spacing w:after="0" w:line="110"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i w:val="1"/>
          <w:iCs w:val="1"/>
          <w:color w:val="auto"/>
        </w:rPr>
        <w:t>Stockholders of Record</w:t>
      </w:r>
      <w:r>
        <w:rPr>
          <w:rFonts w:ascii="Arial" w:cs="Arial" w:eastAsia="Arial" w:hAnsi="Arial"/>
          <w:sz w:val="16"/>
          <w:szCs w:val="16"/>
          <w:color w:val="auto"/>
        </w:rPr>
        <w:t>. If your shares are registered directly in your name with our transfer agent, Computershare Inc., then you</w:t>
      </w:r>
      <w:r>
        <w:rPr>
          <w:rFonts w:ascii="Arial" w:cs="Arial" w:eastAsia="Arial" w:hAnsi="Arial"/>
          <w:sz w:val="16"/>
          <w:szCs w:val="16"/>
          <w:i w:val="1"/>
          <w:iCs w:val="1"/>
          <w:color w:val="auto"/>
        </w:rPr>
        <w:t xml:space="preserve"> </w:t>
      </w:r>
      <w:r>
        <w:rPr>
          <w:rFonts w:ascii="Arial" w:cs="Arial" w:eastAsia="Arial" w:hAnsi="Arial"/>
          <w:sz w:val="16"/>
          <w:szCs w:val="16"/>
          <w:color w:val="auto"/>
        </w:rPr>
        <w:t>are considered the stockholder of record with respect to those shares, and this Notice of Internet Availability was sent directly to you by us. As a stockholder of record, you have the right to grant your proxy directly to the individuals listed on the proxy card or to vote by ballot at the Annual Meeting. Throughout this proxy statement, we refer to these holders as “stockholders of record.” Only stockholders of record as of March 26, 2024, are entitled to notice of and to vote at the Annual Meeting. For ten days prior to the Annual Meeting, a complete list of stockholders of record entitled to vote at the Annual Meeting will be available for examination by any stockholder for any purpose relevant to the Annual Meeting. If you would like to view the list, please contact our corporate secretary to schedule an appointment by calling (425) 620-8520 or writing to Athira Pharma, Inc., 18706 North Creek Parkway, Suite 104, Bothell, Washington 98011, Attention: Corporate Secretary.</w:t>
      </w:r>
    </w:p>
    <w:p>
      <w:pPr>
        <w:spacing w:after="0" w:line="104"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i w:val="1"/>
          <w:iCs w:val="1"/>
          <w:color w:val="auto"/>
        </w:rPr>
        <w:t>Street Name Stockholders</w:t>
      </w:r>
      <w:r>
        <w:rPr>
          <w:rFonts w:ascii="Arial" w:cs="Arial" w:eastAsia="Arial" w:hAnsi="Arial"/>
          <w:sz w:val="16"/>
          <w:szCs w:val="16"/>
          <w:color w:val="auto"/>
        </w:rPr>
        <w:t>. If your shares are held in a brokerage account or by a broker, bank or other nominee, then you are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considered the beneficial owner of shares held in street name, and the Notice was forwarded to you by your broker, bank or other nominee, which is considered the stockholder of record with respect to those shares. As a beneficial owner, you have the right to direct your broker, bank or other nominee on how to vote your shares. Beneficial owners are also invited to attend the virtual Annual Meeting. However, since a beneficial owner is not the stockholder of record, you may not vote your shares directly at the Annual Meeting unless you follow the procedures for obtaining a legal proxy from your broker, bank or other nominee. If you request a printed copy of the proxy materials by mail, your broker, bank or other nominee will provide a voting instruction card for you to use. Throughout this proxy statement, we refer to these holders as “street name stockholders.”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HOW MANY VOTES ARE NEEDED FOR APPROVAL OF EACH PROPOSAL?</w:t>
      </w:r>
    </w:p>
    <w:p>
      <w:pPr>
        <w:spacing w:after="0" w:line="208" w:lineRule="exact"/>
        <w:rPr>
          <w:sz w:val="20"/>
          <w:szCs w:val="20"/>
          <w:color w:val="auto"/>
        </w:rPr>
      </w:pPr>
    </w:p>
    <w:p>
      <w:pPr>
        <w:ind w:left="140" w:right="140" w:hanging="134"/>
        <w:spacing w:after="0" w:line="256" w:lineRule="auto"/>
        <w:tabs>
          <w:tab w:leader="none" w:pos="140" w:val="left"/>
        </w:tabs>
        <w:numPr>
          <w:ilvl w:val="0"/>
          <w:numId w:val="8"/>
        </w:numPr>
        <w:rPr>
          <w:rFonts w:ascii="Arial" w:cs="Arial" w:eastAsia="Arial" w:hAnsi="Arial"/>
          <w:sz w:val="16"/>
          <w:szCs w:val="16"/>
          <w:color w:val="255993"/>
        </w:rPr>
      </w:pPr>
      <w:r>
        <w:rPr>
          <w:rFonts w:ascii="Arial" w:cs="Arial" w:eastAsia="Arial" w:hAnsi="Arial"/>
          <w:sz w:val="16"/>
          <w:szCs w:val="16"/>
          <w:b w:val="1"/>
          <w:bCs w:val="1"/>
          <w:color w:val="255993"/>
        </w:rPr>
        <w:t>Proposal No. 1</w:t>
      </w:r>
      <w:r>
        <w:rPr>
          <w:rFonts w:ascii="Arial" w:cs="Arial" w:eastAsia="Arial" w:hAnsi="Arial"/>
          <w:sz w:val="16"/>
          <w:szCs w:val="16"/>
          <w:color w:val="000000"/>
        </w:rPr>
        <w:t>: Each director is elected by a plurality of the voting power of the shares present or represented by proxy at the</w:t>
      </w:r>
      <w:r>
        <w:rPr>
          <w:rFonts w:ascii="Arial" w:cs="Arial" w:eastAsia="Arial" w:hAnsi="Arial"/>
          <w:sz w:val="16"/>
          <w:szCs w:val="16"/>
          <w:b w:val="1"/>
          <w:bCs w:val="1"/>
          <w:color w:val="255993"/>
        </w:rPr>
        <w:t xml:space="preserve"> </w:t>
      </w:r>
      <w:r>
        <w:rPr>
          <w:rFonts w:ascii="Arial" w:cs="Arial" w:eastAsia="Arial" w:hAnsi="Arial"/>
          <w:sz w:val="16"/>
          <w:szCs w:val="16"/>
          <w:color w:val="000000"/>
        </w:rPr>
        <w:t xml:space="preserve">Annual Meeting and entitled to vote on the election of directors. A plurality means that the nominees with the largest number of </w:t>
      </w:r>
      <w:r>
        <w:rPr>
          <w:rFonts w:ascii="Arial" w:cs="Arial" w:eastAsia="Arial" w:hAnsi="Arial"/>
          <w:sz w:val="16"/>
          <w:szCs w:val="16"/>
          <w:b w:val="1"/>
          <w:bCs w:val="1"/>
          <w:color w:val="255993"/>
        </w:rPr>
        <w:t xml:space="preserve">FOR </w:t>
      </w:r>
      <w:r>
        <w:rPr>
          <w:rFonts w:ascii="Arial" w:cs="Arial" w:eastAsia="Arial" w:hAnsi="Arial"/>
          <w:sz w:val="16"/>
          <w:szCs w:val="16"/>
          <w:color w:val="000000"/>
        </w:rPr>
        <w:t>votes are elected as directors. Because the outcome of this proposal will be determined by a plurality vote, any shares not</w:t>
      </w:r>
      <w:r>
        <w:rPr>
          <w:rFonts w:ascii="Arial" w:cs="Arial" w:eastAsia="Arial" w:hAnsi="Arial"/>
          <w:sz w:val="16"/>
          <w:szCs w:val="16"/>
          <w:b w:val="1"/>
          <w:bCs w:val="1"/>
          <w:color w:val="255993"/>
        </w:rPr>
        <w:t xml:space="preserve"> </w:t>
      </w:r>
      <w:r>
        <w:rPr>
          <w:rFonts w:ascii="Arial" w:cs="Arial" w:eastAsia="Arial" w:hAnsi="Arial"/>
          <w:sz w:val="16"/>
          <w:szCs w:val="16"/>
          <w:color w:val="000000"/>
        </w:rPr>
        <w:t xml:space="preserve">voted </w:t>
      </w:r>
      <w:r>
        <w:rPr>
          <w:rFonts w:ascii="Arial" w:cs="Arial" w:eastAsia="Arial" w:hAnsi="Arial"/>
          <w:sz w:val="16"/>
          <w:szCs w:val="16"/>
          <w:b w:val="1"/>
          <w:bCs w:val="1"/>
          <w:color w:val="255993"/>
        </w:rPr>
        <w:t>FOR</w:t>
      </w:r>
      <w:r>
        <w:rPr>
          <w:rFonts w:ascii="Arial" w:cs="Arial" w:eastAsia="Arial" w:hAnsi="Arial"/>
          <w:sz w:val="16"/>
          <w:szCs w:val="16"/>
          <w:color w:val="000000"/>
        </w:rPr>
        <w:t xml:space="preserve"> a particular nominee, whether as a result of a </w:t>
      </w:r>
      <w:r>
        <w:rPr>
          <w:rFonts w:ascii="Arial" w:cs="Arial" w:eastAsia="Arial" w:hAnsi="Arial"/>
          <w:sz w:val="16"/>
          <w:szCs w:val="16"/>
          <w:b w:val="1"/>
          <w:bCs w:val="1"/>
          <w:color w:val="255993"/>
        </w:rPr>
        <w:t>WITHHOLD</w:t>
      </w:r>
      <w:r>
        <w:rPr>
          <w:rFonts w:ascii="Arial" w:cs="Arial" w:eastAsia="Arial" w:hAnsi="Arial"/>
          <w:sz w:val="16"/>
          <w:szCs w:val="16"/>
          <w:color w:val="000000"/>
        </w:rPr>
        <w:t xml:space="preserve"> vote or a broker non-vote, will have no effect on the outcome of the election.</w:t>
      </w:r>
    </w:p>
    <w:p>
      <w:pPr>
        <w:spacing w:after="0" w:line="17" w:lineRule="exact"/>
        <w:rPr>
          <w:rFonts w:ascii="Arial" w:cs="Arial" w:eastAsia="Arial" w:hAnsi="Arial"/>
          <w:sz w:val="16"/>
          <w:szCs w:val="16"/>
          <w:color w:val="255993"/>
        </w:rPr>
      </w:pPr>
    </w:p>
    <w:p>
      <w:pPr>
        <w:ind w:left="140" w:right="180" w:hanging="134"/>
        <w:spacing w:after="0" w:line="259" w:lineRule="auto"/>
        <w:tabs>
          <w:tab w:leader="none" w:pos="140" w:val="left"/>
        </w:tabs>
        <w:numPr>
          <w:ilvl w:val="0"/>
          <w:numId w:val="8"/>
        </w:numPr>
        <w:rPr>
          <w:rFonts w:ascii="Arial" w:cs="Arial" w:eastAsia="Arial" w:hAnsi="Arial"/>
          <w:sz w:val="16"/>
          <w:szCs w:val="16"/>
          <w:color w:val="255993"/>
        </w:rPr>
      </w:pPr>
      <w:r>
        <w:rPr>
          <w:rFonts w:ascii="Arial" w:cs="Arial" w:eastAsia="Arial" w:hAnsi="Arial"/>
          <w:sz w:val="16"/>
          <w:szCs w:val="16"/>
          <w:b w:val="1"/>
          <w:bCs w:val="1"/>
          <w:color w:val="255993"/>
        </w:rPr>
        <w:t>Proposal No. 2</w:t>
      </w:r>
      <w:r>
        <w:rPr>
          <w:rFonts w:ascii="Arial" w:cs="Arial" w:eastAsia="Arial" w:hAnsi="Arial"/>
          <w:sz w:val="16"/>
          <w:szCs w:val="16"/>
          <w:color w:val="000000"/>
        </w:rPr>
        <w:t>: The ratification of the appointment of Ernst &amp; Young LLP as our independent registered public accounting firm</w:t>
      </w:r>
      <w:r>
        <w:rPr>
          <w:rFonts w:ascii="Arial" w:cs="Arial" w:eastAsia="Arial" w:hAnsi="Arial"/>
          <w:sz w:val="16"/>
          <w:szCs w:val="16"/>
          <w:b w:val="1"/>
          <w:bCs w:val="1"/>
          <w:color w:val="255993"/>
        </w:rPr>
        <w:t xml:space="preserve"> </w:t>
      </w:r>
      <w:r>
        <w:rPr>
          <w:rFonts w:ascii="Arial" w:cs="Arial" w:eastAsia="Arial" w:hAnsi="Arial"/>
          <w:sz w:val="16"/>
          <w:szCs w:val="16"/>
          <w:color w:val="000000"/>
        </w:rPr>
        <w:t xml:space="preserve">for our fiscal year ending December 31, 2024, requires the affirmative vote of a majority of the voting power of the shares cast, affirmatively or negatively. You may vote </w:t>
      </w:r>
      <w:r>
        <w:rPr>
          <w:rFonts w:ascii="Arial" w:cs="Arial" w:eastAsia="Arial" w:hAnsi="Arial"/>
          <w:sz w:val="16"/>
          <w:szCs w:val="16"/>
          <w:b w:val="1"/>
          <w:bCs w:val="1"/>
          <w:color w:val="255993"/>
        </w:rPr>
        <w:t>FOR</w:t>
      </w:r>
      <w:r>
        <w:rPr>
          <w:rFonts w:ascii="Arial" w:cs="Arial" w:eastAsia="Arial" w:hAnsi="Arial"/>
          <w:sz w:val="16"/>
          <w:szCs w:val="16"/>
          <w:color w:val="000000"/>
        </w:rPr>
        <w:t xml:space="preserve"> or </w:t>
      </w:r>
      <w:r>
        <w:rPr>
          <w:rFonts w:ascii="Arial" w:cs="Arial" w:eastAsia="Arial" w:hAnsi="Arial"/>
          <w:sz w:val="16"/>
          <w:szCs w:val="16"/>
          <w:b w:val="1"/>
          <w:bCs w:val="1"/>
          <w:color w:val="255993"/>
        </w:rPr>
        <w:t>AGAINST</w:t>
      </w:r>
      <w:r>
        <w:rPr>
          <w:rFonts w:ascii="Arial" w:cs="Arial" w:eastAsia="Arial" w:hAnsi="Arial"/>
          <w:sz w:val="16"/>
          <w:szCs w:val="16"/>
          <w:color w:val="000000"/>
        </w:rPr>
        <w:t xml:space="preserve"> this proposal, or you may indicate that you wish to </w:t>
      </w:r>
      <w:r>
        <w:rPr>
          <w:rFonts w:ascii="Arial" w:cs="Arial" w:eastAsia="Arial" w:hAnsi="Arial"/>
          <w:sz w:val="16"/>
          <w:szCs w:val="16"/>
          <w:b w:val="1"/>
          <w:bCs w:val="1"/>
          <w:color w:val="255993"/>
        </w:rPr>
        <w:t>ABSTAIN</w:t>
      </w:r>
      <w:r>
        <w:rPr>
          <w:rFonts w:ascii="Arial" w:cs="Arial" w:eastAsia="Arial" w:hAnsi="Arial"/>
          <w:sz w:val="16"/>
          <w:szCs w:val="16"/>
          <w:color w:val="000000"/>
        </w:rPr>
        <w:t xml:space="preserve"> from voting</w:t>
      </w:r>
    </w:p>
    <w:p>
      <w:pPr>
        <w:spacing w:after="0" w:line="183" w:lineRule="exact"/>
        <w:rPr>
          <w:sz w:val="20"/>
          <w:szCs w:val="20"/>
          <w:color w:val="auto"/>
        </w:rPr>
      </w:pPr>
    </w:p>
    <w:p>
      <w:pPr>
        <w:spacing w:after="0"/>
        <w:tabs>
          <w:tab w:leader="none" w:pos="464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3</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255993"/>
        </w:rPr>
        <w:t>For 2024 Annual Meeting of Stockholders</w:t>
      </w:r>
    </w:p>
    <w:p>
      <w:pPr>
        <w:spacing w:after="0" w:line="104" w:lineRule="exact"/>
        <w:rPr>
          <w:sz w:val="20"/>
          <w:szCs w:val="20"/>
          <w:color w:val="auto"/>
        </w:rPr>
      </w:pPr>
    </w:p>
    <w:p>
      <w:pPr>
        <w:ind w:left="140" w:right="320"/>
        <w:spacing w:after="0" w:line="266" w:lineRule="auto"/>
        <w:rPr>
          <w:sz w:val="20"/>
          <w:szCs w:val="20"/>
          <w:color w:val="auto"/>
        </w:rPr>
      </w:pPr>
      <w:r>
        <w:rPr>
          <w:rFonts w:ascii="Arial" w:cs="Arial" w:eastAsia="Arial" w:hAnsi="Arial"/>
          <w:sz w:val="16"/>
          <w:szCs w:val="16"/>
          <w:color w:val="auto"/>
        </w:rPr>
        <w:t>on this proposal. Broker non-votes and abstentions will be counted for purposes of determining the presence or absence of a quorum. However, neither broker non-votes nor abstentions will be considered votes cast for or against this proposal. Accordingly, broker non-votes and abstentions will have no impact on the outcome of this proposal.</w:t>
      </w:r>
    </w:p>
    <w:p>
      <w:pPr>
        <w:spacing w:after="0" w:line="117" w:lineRule="exact"/>
        <w:rPr>
          <w:sz w:val="20"/>
          <w:szCs w:val="20"/>
          <w:color w:val="auto"/>
        </w:rPr>
      </w:pPr>
    </w:p>
    <w:p>
      <w:pPr>
        <w:ind w:left="140" w:right="100" w:hanging="134"/>
        <w:spacing w:after="0" w:line="256" w:lineRule="auto"/>
        <w:tabs>
          <w:tab w:leader="none" w:pos="140" w:val="left"/>
        </w:tabs>
        <w:numPr>
          <w:ilvl w:val="0"/>
          <w:numId w:val="9"/>
        </w:numPr>
        <w:rPr>
          <w:rFonts w:ascii="Arial" w:cs="Arial" w:eastAsia="Arial" w:hAnsi="Arial"/>
          <w:sz w:val="16"/>
          <w:szCs w:val="16"/>
          <w:color w:val="255993"/>
        </w:rPr>
      </w:pPr>
      <w:r>
        <w:rPr>
          <w:rFonts w:ascii="Arial" w:cs="Arial" w:eastAsia="Arial" w:hAnsi="Arial"/>
          <w:sz w:val="16"/>
          <w:szCs w:val="16"/>
          <w:b w:val="1"/>
          <w:bCs w:val="1"/>
          <w:color w:val="255993"/>
        </w:rPr>
        <w:t>Proposal No. 3</w:t>
      </w:r>
      <w:r>
        <w:rPr>
          <w:rFonts w:ascii="Arial" w:cs="Arial" w:eastAsia="Arial" w:hAnsi="Arial"/>
          <w:sz w:val="16"/>
          <w:szCs w:val="16"/>
          <w:color w:val="000000"/>
        </w:rPr>
        <w:t>: The approval of an amendment to our amended and restated certificate of incorporation to limit the liability of</w:t>
      </w:r>
      <w:r>
        <w:rPr>
          <w:rFonts w:ascii="Arial" w:cs="Arial" w:eastAsia="Arial" w:hAnsi="Arial"/>
          <w:sz w:val="16"/>
          <w:szCs w:val="16"/>
          <w:b w:val="1"/>
          <w:bCs w:val="1"/>
          <w:color w:val="255993"/>
        </w:rPr>
        <w:t xml:space="preserve"> </w:t>
      </w:r>
      <w:r>
        <w:rPr>
          <w:rFonts w:ascii="Arial" w:cs="Arial" w:eastAsia="Arial" w:hAnsi="Arial"/>
          <w:sz w:val="16"/>
          <w:szCs w:val="16"/>
          <w:color w:val="000000"/>
        </w:rPr>
        <w:t xml:space="preserve">officers as permitted by Delaware law requires the affirmative “FOR” vote of the holders of a majority of the voting power of all of the outstanding shares of our common stock entitled to vote thereon. You may vote </w:t>
      </w:r>
      <w:r>
        <w:rPr>
          <w:rFonts w:ascii="Arial" w:cs="Arial" w:eastAsia="Arial" w:hAnsi="Arial"/>
          <w:sz w:val="16"/>
          <w:szCs w:val="16"/>
          <w:b w:val="1"/>
          <w:bCs w:val="1"/>
          <w:color w:val="255993"/>
        </w:rPr>
        <w:t>FOR</w:t>
      </w:r>
      <w:r>
        <w:rPr>
          <w:rFonts w:ascii="Arial" w:cs="Arial" w:eastAsia="Arial" w:hAnsi="Arial"/>
          <w:sz w:val="16"/>
          <w:szCs w:val="16"/>
          <w:color w:val="000000"/>
        </w:rPr>
        <w:t xml:space="preserve"> or </w:t>
      </w:r>
      <w:r>
        <w:rPr>
          <w:rFonts w:ascii="Arial" w:cs="Arial" w:eastAsia="Arial" w:hAnsi="Arial"/>
          <w:sz w:val="16"/>
          <w:szCs w:val="16"/>
          <w:b w:val="1"/>
          <w:bCs w:val="1"/>
          <w:color w:val="255993"/>
        </w:rPr>
        <w:t>AGAINST</w:t>
      </w:r>
      <w:r>
        <w:rPr>
          <w:rFonts w:ascii="Arial" w:cs="Arial" w:eastAsia="Arial" w:hAnsi="Arial"/>
          <w:sz w:val="16"/>
          <w:szCs w:val="16"/>
          <w:color w:val="000000"/>
        </w:rPr>
        <w:t xml:space="preserve"> this proposal, or you may indicate that you wish to </w:t>
      </w:r>
      <w:r>
        <w:rPr>
          <w:rFonts w:ascii="Arial" w:cs="Arial" w:eastAsia="Arial" w:hAnsi="Arial"/>
          <w:sz w:val="16"/>
          <w:szCs w:val="16"/>
          <w:b w:val="1"/>
          <w:bCs w:val="1"/>
          <w:color w:val="255993"/>
        </w:rPr>
        <w:t>ABSTAIN</w:t>
      </w:r>
      <w:r>
        <w:rPr>
          <w:rFonts w:ascii="Arial" w:cs="Arial" w:eastAsia="Arial" w:hAnsi="Arial"/>
          <w:sz w:val="16"/>
          <w:szCs w:val="16"/>
          <w:color w:val="000000"/>
        </w:rPr>
        <w:t xml:space="preserve"> from voting on this proposal. Abstentions and broker non-votes will have the same effect as votes “AGAINST” this proposal.</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WHAT IS THE QUORUM REQUIREMENT FOR THE ANNUAL MEETING?</w:t>
      </w:r>
    </w:p>
    <w:p>
      <w:pPr>
        <w:spacing w:after="0" w:line="113"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A quorum is the minimum number of shares required to be present or represented at the Annual Meeting for the meeting to be properly held under the Bylaws and Delaware law. The presence, including virtually or by proxy, of a majority of the voting power of our capital stock issued and outstanding and entitled to vote will constitute a quorum to transact business at the Annual Meeting. Abstentions, withheld votes and broker non-votes, if any, are counted as present and entitled to vote for purposes of determining a quorum. Whether or not a quorum exists, the chairperson of the meeting may adjourn the meeting to another time or place.</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HOW DO I VOTE AND WHAT ARE THE VOTING DEADLINES?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Stockholder of Record</w:t>
      </w:r>
      <w:r>
        <w:rPr>
          <w:rFonts w:ascii="Arial" w:cs="Arial" w:eastAsia="Arial" w:hAnsi="Arial"/>
          <w:sz w:val="16"/>
          <w:szCs w:val="16"/>
          <w:color w:val="auto"/>
        </w:rPr>
        <w:t>. If you are a stockholder of record, you may vote in one of the following ways: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WAYS TO VOTE:</w:t>
      </w:r>
    </w:p>
    <w:p>
      <w:pPr>
        <w:spacing w:after="0" w:line="243" w:lineRule="exact"/>
        <w:rPr>
          <w:sz w:val="20"/>
          <w:szCs w:val="20"/>
          <w:color w:val="auto"/>
        </w:rPr>
      </w:pPr>
    </w:p>
    <w:p>
      <w:pPr>
        <w:spacing w:after="0"/>
        <w:tabs>
          <w:tab w:leader="none" w:pos="1560" w:val="left"/>
          <w:tab w:leader="none" w:pos="3160" w:val="left"/>
          <w:tab w:leader="none" w:pos="5420" w:val="left"/>
        </w:tabs>
        <w:rPr>
          <w:sz w:val="20"/>
          <w:szCs w:val="20"/>
          <w:color w:val="auto"/>
        </w:rPr>
      </w:pPr>
      <w:r>
        <w:rPr>
          <w:rFonts w:ascii="Arial" w:cs="Arial" w:eastAsia="Arial" w:hAnsi="Arial"/>
          <w:sz w:val="16"/>
          <w:szCs w:val="16"/>
          <w:color w:val="auto"/>
        </w:rPr>
        <w:t>Online</w:t>
      </w:r>
      <w:r>
        <w:rPr>
          <w:sz w:val="20"/>
          <w:szCs w:val="20"/>
          <w:color w:val="auto"/>
        </w:rPr>
        <w:tab/>
      </w:r>
      <w:r>
        <w:rPr>
          <w:rFonts w:ascii="Arial" w:cs="Arial" w:eastAsia="Arial" w:hAnsi="Arial"/>
          <w:sz w:val="16"/>
          <w:szCs w:val="16"/>
          <w:color w:val="auto"/>
        </w:rPr>
        <w:t>By Phone</w:t>
      </w:r>
      <w:r>
        <w:rPr>
          <w:sz w:val="20"/>
          <w:szCs w:val="20"/>
          <w:color w:val="auto"/>
        </w:rPr>
        <w:tab/>
      </w:r>
      <w:r>
        <w:rPr>
          <w:rFonts w:ascii="Arial" w:cs="Arial" w:eastAsia="Arial" w:hAnsi="Arial"/>
          <w:sz w:val="16"/>
          <w:szCs w:val="16"/>
          <w:color w:val="auto"/>
        </w:rPr>
        <w:t>Virtually</w:t>
      </w:r>
      <w:r>
        <w:rPr>
          <w:sz w:val="20"/>
          <w:szCs w:val="20"/>
          <w:color w:val="auto"/>
        </w:rPr>
        <w:tab/>
      </w:r>
      <w:r>
        <w:rPr>
          <w:rFonts w:ascii="Arial" w:cs="Arial" w:eastAsia="Arial" w:hAnsi="Arial"/>
          <w:sz w:val="16"/>
          <w:szCs w:val="16"/>
          <w:color w:val="auto"/>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2997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9720" cy="8890"/>
                    </a:xfrm>
                    <a:prstGeom prst="rect">
                      <a:avLst/>
                    </a:prstGeom>
                    <a:noFill/>
                  </pic:spPr>
                </pic:pic>
              </a:graphicData>
            </a:graphic>
          </wp:anchor>
        </w:drawing>
        <w:drawing>
          <wp:anchor simplePos="0" relativeHeight="251657728" behindDoc="1" locked="0" layoutInCell="0" allowOverlap="1">
            <wp:simplePos x="0" y="0"/>
            <wp:positionH relativeFrom="column">
              <wp:posOffset>1006475</wp:posOffset>
            </wp:positionH>
            <wp:positionV relativeFrom="paragraph">
              <wp:posOffset>12065</wp:posOffset>
            </wp:positionV>
            <wp:extent cx="4457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12065</wp:posOffset>
            </wp:positionV>
            <wp:extent cx="3600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3458210</wp:posOffset>
            </wp:positionH>
            <wp:positionV relativeFrom="paragraph">
              <wp:posOffset>12065</wp:posOffset>
            </wp:positionV>
            <wp:extent cx="3346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269240</wp:posOffset>
            </wp:positionV>
            <wp:extent cx="274320" cy="274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4320" cy="274320"/>
                    </a:xfrm>
                    <a:prstGeom prst="rect">
                      <a:avLst/>
                    </a:prstGeom>
                    <a:noFill/>
                  </pic:spPr>
                </pic:pic>
              </a:graphicData>
            </a:graphic>
          </wp:anchor>
        </w:drawing>
        <w:drawing>
          <wp:anchor simplePos="0" relativeHeight="251657728" behindDoc="1" locked="0" layoutInCell="0" allowOverlap="1">
            <wp:simplePos x="0" y="0"/>
            <wp:positionH relativeFrom="column">
              <wp:posOffset>1006475</wp:posOffset>
            </wp:positionH>
            <wp:positionV relativeFrom="paragraph">
              <wp:posOffset>269240</wp:posOffset>
            </wp:positionV>
            <wp:extent cx="274320" cy="274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4320" cy="274320"/>
                    </a:xfrm>
                    <a:prstGeom prst="rect">
                      <a:avLst/>
                    </a:prstGeom>
                    <a:noFill/>
                  </pic:spPr>
                </pic:pic>
              </a:graphicData>
            </a:graphic>
          </wp:anchor>
        </w:drawing>
        <w:drawing>
          <wp:anchor simplePos="0" relativeHeight="251657728" behindDoc="1" locked="0" layoutInCell="0" allowOverlap="1">
            <wp:simplePos x="0" y="0"/>
            <wp:positionH relativeFrom="column">
              <wp:posOffset>2018030</wp:posOffset>
            </wp:positionH>
            <wp:positionV relativeFrom="paragraph">
              <wp:posOffset>269240</wp:posOffset>
            </wp:positionV>
            <wp:extent cx="282575" cy="274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2575" cy="274320"/>
                    </a:xfrm>
                    <a:prstGeom prst="rect">
                      <a:avLst/>
                    </a:prstGeom>
                    <a:noFill/>
                  </pic:spPr>
                </pic:pic>
              </a:graphicData>
            </a:graphic>
          </wp:anchor>
        </w:drawing>
        <w:drawing>
          <wp:anchor simplePos="0" relativeHeight="251657728" behindDoc="1" locked="0" layoutInCell="0" allowOverlap="1">
            <wp:simplePos x="0" y="0"/>
            <wp:positionH relativeFrom="column">
              <wp:posOffset>3458210</wp:posOffset>
            </wp:positionH>
            <wp:positionV relativeFrom="paragraph">
              <wp:posOffset>269240</wp:posOffset>
            </wp:positionV>
            <wp:extent cx="308610" cy="1974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08610" cy="19748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80" w:type="dxa"/>
            <w:vAlign w:val="bottom"/>
          </w:tcPr>
          <w:p>
            <w:pPr>
              <w:spacing w:after="0"/>
              <w:rPr>
                <w:sz w:val="20"/>
                <w:szCs w:val="20"/>
                <w:color w:val="auto"/>
              </w:rPr>
            </w:pPr>
            <w:r>
              <w:rPr>
                <w:rFonts w:ascii="Arial" w:cs="Arial" w:eastAsia="Arial" w:hAnsi="Arial"/>
                <w:sz w:val="14"/>
                <w:szCs w:val="14"/>
                <w:color w:val="auto"/>
              </w:rPr>
              <w:t> </w:t>
            </w:r>
          </w:p>
        </w:tc>
        <w:tc>
          <w:tcPr>
            <w:tcW w:w="1520" w:type="dxa"/>
            <w:vAlign w:val="bottom"/>
          </w:tcPr>
          <w:p>
            <w:pPr>
              <w:ind w:left="100"/>
              <w:spacing w:after="0"/>
              <w:rPr>
                <w:sz w:val="20"/>
                <w:szCs w:val="20"/>
                <w:color w:val="auto"/>
              </w:rPr>
            </w:pPr>
            <w:r>
              <w:rPr>
                <w:rFonts w:ascii="Arial" w:cs="Arial" w:eastAsia="Arial" w:hAnsi="Arial"/>
                <w:sz w:val="14"/>
                <w:szCs w:val="14"/>
                <w:color w:val="auto"/>
              </w:rPr>
              <w:t> </w:t>
            </w:r>
          </w:p>
        </w:tc>
        <w:tc>
          <w:tcPr>
            <w:tcW w:w="2220" w:type="dxa"/>
            <w:vAlign w:val="bottom"/>
          </w:tcPr>
          <w:p>
            <w:pPr>
              <w:ind w:left="180"/>
              <w:spacing w:after="0"/>
              <w:rPr>
                <w:sz w:val="20"/>
                <w:szCs w:val="20"/>
                <w:color w:val="auto"/>
              </w:rPr>
            </w:pPr>
            <w:r>
              <w:rPr>
                <w:rFonts w:ascii="Arial" w:cs="Arial" w:eastAsia="Arial" w:hAnsi="Arial"/>
                <w:sz w:val="14"/>
                <w:szCs w:val="14"/>
                <w:color w:val="auto"/>
              </w:rPr>
              <w:t> </w:t>
            </w:r>
          </w:p>
        </w:tc>
      </w:tr>
      <w:tr>
        <w:trPr>
          <w:trHeight w:val="201"/>
        </w:trPr>
        <w:tc>
          <w:tcPr>
            <w:tcW w:w="1480" w:type="dxa"/>
            <w:vAlign w:val="bottom"/>
          </w:tcPr>
          <w:p>
            <w:pPr>
              <w:spacing w:after="0"/>
              <w:rPr>
                <w:sz w:val="20"/>
                <w:szCs w:val="20"/>
                <w:color w:val="auto"/>
              </w:rPr>
            </w:pPr>
            <w:r>
              <w:rPr>
                <w:rFonts w:ascii="Arial" w:cs="Arial" w:eastAsia="Arial" w:hAnsi="Arial"/>
                <w:sz w:val="14"/>
                <w:szCs w:val="14"/>
                <w:color w:val="auto"/>
              </w:rPr>
              <w:t>By internet following</w:t>
            </w:r>
          </w:p>
        </w:tc>
        <w:tc>
          <w:tcPr>
            <w:tcW w:w="1520" w:type="dxa"/>
            <w:vAlign w:val="bottom"/>
          </w:tcPr>
          <w:p>
            <w:pPr>
              <w:ind w:left="100"/>
              <w:spacing w:after="0"/>
              <w:rPr>
                <w:sz w:val="20"/>
                <w:szCs w:val="20"/>
                <w:color w:val="auto"/>
              </w:rPr>
            </w:pPr>
            <w:r>
              <w:rPr>
                <w:rFonts w:ascii="Arial" w:cs="Arial" w:eastAsia="Arial" w:hAnsi="Arial"/>
                <w:sz w:val="14"/>
                <w:szCs w:val="14"/>
                <w:color w:val="auto"/>
              </w:rPr>
              <w:t>By telephone using</w:t>
            </w:r>
          </w:p>
        </w:tc>
        <w:tc>
          <w:tcPr>
            <w:tcW w:w="2220" w:type="dxa"/>
            <w:vAlign w:val="bottom"/>
          </w:tcPr>
          <w:p>
            <w:pPr>
              <w:ind w:left="180"/>
              <w:spacing w:after="0"/>
              <w:rPr>
                <w:sz w:val="20"/>
                <w:szCs w:val="20"/>
                <w:color w:val="auto"/>
              </w:rPr>
            </w:pPr>
            <w:r>
              <w:rPr>
                <w:rFonts w:ascii="Arial" w:cs="Arial" w:eastAsia="Arial" w:hAnsi="Arial"/>
                <w:sz w:val="14"/>
                <w:szCs w:val="14"/>
                <w:color w:val="auto"/>
              </w:rPr>
              <w:t>By attending the Annual</w:t>
            </w:r>
          </w:p>
        </w:tc>
      </w:tr>
      <w:tr>
        <w:trPr>
          <w:trHeight w:val="162"/>
        </w:trPr>
        <w:tc>
          <w:tcPr>
            <w:tcW w:w="1480" w:type="dxa"/>
            <w:vAlign w:val="bottom"/>
          </w:tcPr>
          <w:p>
            <w:pPr>
              <w:spacing w:after="0"/>
              <w:rPr>
                <w:sz w:val="20"/>
                <w:szCs w:val="20"/>
                <w:color w:val="auto"/>
              </w:rPr>
            </w:pPr>
            <w:r>
              <w:rPr>
                <w:rFonts w:ascii="Arial" w:cs="Arial" w:eastAsia="Arial" w:hAnsi="Arial"/>
                <w:sz w:val="14"/>
                <w:szCs w:val="14"/>
                <w:color w:val="auto"/>
              </w:rPr>
              <w:t>the instructions using</w:t>
            </w:r>
          </w:p>
        </w:tc>
        <w:tc>
          <w:tcPr>
            <w:tcW w:w="1520" w:type="dxa"/>
            <w:vAlign w:val="bottom"/>
          </w:tcPr>
          <w:p>
            <w:pPr>
              <w:ind w:left="100"/>
              <w:spacing w:after="0"/>
              <w:rPr>
                <w:sz w:val="20"/>
                <w:szCs w:val="20"/>
                <w:color w:val="auto"/>
              </w:rPr>
            </w:pPr>
            <w:r>
              <w:rPr>
                <w:rFonts w:ascii="Arial" w:cs="Arial" w:eastAsia="Arial" w:hAnsi="Arial"/>
                <w:sz w:val="14"/>
                <w:szCs w:val="14"/>
                <w:color w:val="auto"/>
              </w:rPr>
              <w:t>the numbers</w:t>
            </w:r>
          </w:p>
        </w:tc>
        <w:tc>
          <w:tcPr>
            <w:tcW w:w="2220" w:type="dxa"/>
            <w:vAlign w:val="bottom"/>
          </w:tcPr>
          <w:p>
            <w:pPr>
              <w:ind w:left="180"/>
              <w:spacing w:after="0"/>
              <w:rPr>
                <w:sz w:val="20"/>
                <w:szCs w:val="20"/>
                <w:color w:val="auto"/>
              </w:rPr>
            </w:pPr>
            <w:r>
              <w:rPr>
                <w:rFonts w:ascii="Arial" w:cs="Arial" w:eastAsia="Arial" w:hAnsi="Arial"/>
                <w:sz w:val="14"/>
                <w:szCs w:val="14"/>
                <w:color w:val="auto"/>
              </w:rPr>
              <w:t>Meeting virtually by visiting</w:t>
            </w:r>
          </w:p>
        </w:tc>
      </w:tr>
      <w:tr>
        <w:trPr>
          <w:trHeight w:val="162"/>
        </w:trPr>
        <w:tc>
          <w:tcPr>
            <w:tcW w:w="1480" w:type="dxa"/>
            <w:vAlign w:val="bottom"/>
          </w:tcPr>
          <w:p>
            <w:pPr>
              <w:spacing w:after="0"/>
              <w:rPr>
                <w:sz w:val="20"/>
                <w:szCs w:val="20"/>
                <w:color w:val="auto"/>
              </w:rPr>
            </w:pPr>
            <w:r>
              <w:rPr>
                <w:rFonts w:ascii="Arial" w:cs="Arial" w:eastAsia="Arial" w:hAnsi="Arial"/>
                <w:sz w:val="14"/>
                <w:szCs w:val="14"/>
                <w:color w:val="auto"/>
              </w:rPr>
              <w:t>the control number</w:t>
            </w:r>
          </w:p>
        </w:tc>
        <w:tc>
          <w:tcPr>
            <w:tcW w:w="1520" w:type="dxa"/>
            <w:vAlign w:val="bottom"/>
          </w:tcPr>
          <w:p>
            <w:pPr>
              <w:ind w:left="100"/>
              <w:spacing w:after="0"/>
              <w:rPr>
                <w:sz w:val="20"/>
                <w:szCs w:val="20"/>
                <w:color w:val="auto"/>
              </w:rPr>
            </w:pPr>
            <w:r>
              <w:rPr>
                <w:rFonts w:ascii="Arial" w:cs="Arial" w:eastAsia="Arial" w:hAnsi="Arial"/>
                <w:sz w:val="14"/>
                <w:szCs w:val="14"/>
                <w:color w:val="auto"/>
              </w:rPr>
              <w:t>provided on your</w:t>
            </w:r>
          </w:p>
        </w:tc>
        <w:tc>
          <w:tcPr>
            <w:tcW w:w="2220" w:type="dxa"/>
            <w:vAlign w:val="bottom"/>
          </w:tcPr>
          <w:p>
            <w:pPr>
              <w:ind w:left="180"/>
              <w:spacing w:after="0"/>
              <w:rPr>
                <w:sz w:val="20"/>
                <w:szCs w:val="20"/>
                <w:color w:val="auto"/>
              </w:rPr>
            </w:pPr>
            <w:r>
              <w:rPr>
                <w:rFonts w:ascii="Arial" w:cs="Arial" w:eastAsia="Arial" w:hAnsi="Arial"/>
                <w:sz w:val="14"/>
                <w:szCs w:val="14"/>
                <w:color w:val="auto"/>
              </w:rPr>
              <w:t>www.virtualshareholdermeeting.</w:t>
            </w:r>
          </w:p>
        </w:tc>
      </w:tr>
      <w:tr>
        <w:trPr>
          <w:trHeight w:val="162"/>
        </w:trPr>
        <w:tc>
          <w:tcPr>
            <w:tcW w:w="1480" w:type="dxa"/>
            <w:vAlign w:val="bottom"/>
          </w:tcPr>
          <w:p>
            <w:pPr>
              <w:spacing w:after="0"/>
              <w:rPr>
                <w:sz w:val="20"/>
                <w:szCs w:val="20"/>
                <w:color w:val="auto"/>
              </w:rPr>
            </w:pPr>
            <w:r>
              <w:rPr>
                <w:rFonts w:ascii="Arial" w:cs="Arial" w:eastAsia="Arial" w:hAnsi="Arial"/>
                <w:sz w:val="14"/>
                <w:szCs w:val="14"/>
                <w:color w:val="auto"/>
              </w:rPr>
              <w:t>provided on your</w:t>
            </w:r>
          </w:p>
        </w:tc>
        <w:tc>
          <w:tcPr>
            <w:tcW w:w="1520" w:type="dxa"/>
            <w:vAlign w:val="bottom"/>
          </w:tcPr>
          <w:p>
            <w:pPr>
              <w:ind w:left="100"/>
              <w:spacing w:after="0"/>
              <w:rPr>
                <w:sz w:val="20"/>
                <w:szCs w:val="20"/>
                <w:color w:val="auto"/>
              </w:rPr>
            </w:pPr>
            <w:r>
              <w:rPr>
                <w:rFonts w:ascii="Arial" w:cs="Arial" w:eastAsia="Arial" w:hAnsi="Arial"/>
                <w:sz w:val="14"/>
                <w:szCs w:val="14"/>
                <w:color w:val="auto"/>
              </w:rPr>
              <w:t>proxy card.</w:t>
            </w:r>
          </w:p>
        </w:tc>
        <w:tc>
          <w:tcPr>
            <w:tcW w:w="2220" w:type="dxa"/>
            <w:vAlign w:val="bottom"/>
          </w:tcPr>
          <w:p>
            <w:pPr>
              <w:ind w:left="180"/>
              <w:spacing w:after="0"/>
              <w:rPr>
                <w:sz w:val="20"/>
                <w:szCs w:val="20"/>
                <w:color w:val="auto"/>
              </w:rPr>
            </w:pPr>
            <w:r>
              <w:rPr>
                <w:rFonts w:ascii="Arial" w:cs="Arial" w:eastAsia="Arial" w:hAnsi="Arial"/>
                <w:sz w:val="14"/>
                <w:szCs w:val="14"/>
                <w:color w:val="auto"/>
              </w:rPr>
              <w:t>com/ATHA2024, where you can</w:t>
            </w:r>
          </w:p>
        </w:tc>
      </w:tr>
      <w:tr>
        <w:trPr>
          <w:trHeight w:val="190"/>
        </w:trPr>
        <w:tc>
          <w:tcPr>
            <w:tcW w:w="1480" w:type="dxa"/>
            <w:vAlign w:val="bottom"/>
          </w:tcPr>
          <w:p>
            <w:pPr>
              <w:spacing w:after="0"/>
              <w:rPr>
                <w:sz w:val="20"/>
                <w:szCs w:val="20"/>
                <w:color w:val="auto"/>
              </w:rPr>
            </w:pPr>
            <w:r>
              <w:rPr>
                <w:rFonts w:ascii="Arial" w:cs="Arial" w:eastAsia="Arial" w:hAnsi="Arial"/>
                <w:sz w:val="14"/>
                <w:szCs w:val="14"/>
                <w:color w:val="auto"/>
              </w:rPr>
              <w:t>proxy card.</w:t>
            </w:r>
          </w:p>
        </w:tc>
        <w:tc>
          <w:tcPr>
            <w:tcW w:w="1520" w:type="dxa"/>
            <w:vAlign w:val="bottom"/>
          </w:tcPr>
          <w:p>
            <w:pPr>
              <w:spacing w:after="0"/>
              <w:rPr>
                <w:sz w:val="16"/>
                <w:szCs w:val="16"/>
                <w:color w:val="auto"/>
              </w:rPr>
            </w:pPr>
          </w:p>
        </w:tc>
        <w:tc>
          <w:tcPr>
            <w:tcW w:w="2220" w:type="dxa"/>
            <w:vAlign w:val="bottom"/>
          </w:tcPr>
          <w:p>
            <w:pPr>
              <w:ind w:left="180"/>
              <w:spacing w:after="0"/>
              <w:rPr>
                <w:sz w:val="20"/>
                <w:szCs w:val="20"/>
                <w:color w:val="auto"/>
              </w:rPr>
            </w:pPr>
            <w:r>
              <w:rPr>
                <w:rFonts w:ascii="Arial" w:cs="Arial" w:eastAsia="Arial" w:hAnsi="Arial"/>
                <w:sz w:val="14"/>
                <w:szCs w:val="14"/>
                <w:color w:val="auto"/>
              </w:rPr>
              <w:t>vote during the meeting.</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177" w:lineRule="exact"/>
        <w:rPr>
          <w:sz w:val="20"/>
          <w:szCs w:val="20"/>
          <w:color w:val="auto"/>
        </w:rPr>
      </w:pPr>
    </w:p>
    <w:p>
      <w:pPr>
        <w:ind w:right="120"/>
        <w:spacing w:after="0" w:line="263" w:lineRule="auto"/>
        <w:rPr>
          <w:sz w:val="20"/>
          <w:szCs w:val="20"/>
          <w:color w:val="auto"/>
        </w:rPr>
      </w:pPr>
      <w:r>
        <w:rPr>
          <w:rFonts w:ascii="Arial" w:cs="Arial" w:eastAsia="Arial" w:hAnsi="Arial"/>
          <w:sz w:val="14"/>
          <w:szCs w:val="14"/>
          <w:color w:val="auto"/>
        </w:rPr>
        <w:t>By signing, dating and returning your proxy card following the instructions on your proxy card. Your proxy card must be received prior to the Annual Meeting.</w:t>
      </w:r>
    </w:p>
    <w:p>
      <w:pPr>
        <w:spacing w:after="0" w:line="522" w:lineRule="exact"/>
        <w:rPr>
          <w:sz w:val="20"/>
          <w:szCs w:val="20"/>
          <w:color w:val="auto"/>
        </w:rPr>
      </w:pPr>
    </w:p>
    <w:p>
      <w:pPr>
        <w:sectPr>
          <w:pgSz w:w="11900" w:h="16838" w:orient="portrait"/>
          <w:cols w:equalWidth="0" w:num="2">
            <w:col w:w="5220" w:space="220"/>
            <w:col w:w="3960"/>
          </w:cols>
          <w:pgMar w:left="1240" w:top="263" w:right="1259" w:bottom="1440" w:gutter="0" w:footer="0" w:header="0"/>
          <w:type w:val="continuous"/>
        </w:sectPr>
      </w:pPr>
    </w:p>
    <w:p>
      <w:pPr>
        <w:spacing w:after="0" w:line="10"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i w:val="1"/>
          <w:iCs w:val="1"/>
          <w:color w:val="auto"/>
        </w:rPr>
        <w:t>Street Name Stockholders</w:t>
      </w:r>
      <w:r>
        <w:rPr>
          <w:rFonts w:ascii="Arial" w:cs="Arial" w:eastAsia="Arial" w:hAnsi="Arial"/>
          <w:sz w:val="16"/>
          <w:szCs w:val="16"/>
          <w:color w:val="auto"/>
        </w:rPr>
        <w:t>. If you are a street name stockholder, then you will receive voting instructions from your broker, bank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other nominee. You must follow the instructions provided by your broker, bank or other nominee in order to instruct them on how to vote your shares. The availability of internet and telephone voting options will depend on the voting process of your broker, bank or other nominee. </w:t>
      </w:r>
      <w:r>
        <w:rPr>
          <w:rFonts w:ascii="Arial" w:cs="Arial" w:eastAsia="Arial" w:hAnsi="Arial"/>
          <w:sz w:val="16"/>
          <w:szCs w:val="16"/>
          <w:b w:val="1"/>
          <w:bCs w:val="1"/>
          <w:color w:val="255993"/>
        </w:rPr>
        <w:t>As discussed above, if you are a street name stockholder, then you may not vote your shares by ballot at</w:t>
      </w:r>
      <w:r>
        <w:rPr>
          <w:rFonts w:ascii="Arial" w:cs="Arial" w:eastAsia="Arial" w:hAnsi="Arial"/>
          <w:sz w:val="16"/>
          <w:szCs w:val="16"/>
          <w:color w:val="auto"/>
        </w:rPr>
        <w:t xml:space="preserve"> </w:t>
      </w:r>
      <w:r>
        <w:rPr>
          <w:rFonts w:ascii="Arial" w:cs="Arial" w:eastAsia="Arial" w:hAnsi="Arial"/>
          <w:sz w:val="16"/>
          <w:szCs w:val="16"/>
          <w:b w:val="1"/>
          <w:bCs w:val="1"/>
          <w:color w:val="255993"/>
        </w:rPr>
        <w:t>the Annual Meeting unless you obtain a “legal proxy” from your broker, bank or other nominee.</w:t>
      </w:r>
    </w:p>
    <w:p>
      <w:pPr>
        <w:spacing w:after="0" w:line="168"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b w:val="1"/>
          <w:bCs w:val="1"/>
          <w:color w:val="255993"/>
        </w:rPr>
        <w:t>WHAT IF I DO NOT SPECIFY HOW MY SHARES ARE TO BE VOTED OR FAIL TO PROVIDE TIMELY DIRECTIONS TO MY BROKER, BANK OR OTHER NOMINEE?</w:t>
      </w:r>
    </w:p>
    <w:p>
      <w:pPr>
        <w:spacing w:after="0" w:line="32"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i w:val="1"/>
          <w:iCs w:val="1"/>
          <w:color w:val="auto"/>
        </w:rPr>
        <w:t>Stockholder of Record</w:t>
      </w:r>
      <w:r>
        <w:rPr>
          <w:rFonts w:ascii="Arial" w:cs="Arial" w:eastAsia="Arial" w:hAnsi="Arial"/>
          <w:sz w:val="16"/>
          <w:szCs w:val="16"/>
          <w:color w:val="auto"/>
        </w:rPr>
        <w:t>. If you are a stockholder of record and you submit a proxy but you do not provide voting instructions, your</w:t>
      </w:r>
      <w:r>
        <w:rPr>
          <w:rFonts w:ascii="Arial" w:cs="Arial" w:eastAsia="Arial" w:hAnsi="Arial"/>
          <w:sz w:val="16"/>
          <w:szCs w:val="16"/>
          <w:i w:val="1"/>
          <w:iCs w:val="1"/>
          <w:color w:val="auto"/>
        </w:rPr>
        <w:t xml:space="preserve"> </w:t>
      </w:r>
      <w:r>
        <w:rPr>
          <w:rFonts w:ascii="Arial" w:cs="Arial" w:eastAsia="Arial" w:hAnsi="Arial"/>
          <w:sz w:val="16"/>
          <w:szCs w:val="16"/>
          <w:color w:val="auto"/>
        </w:rPr>
        <w:t>shares will be voted:</w:t>
      </w:r>
    </w:p>
    <w:p>
      <w:pPr>
        <w:spacing w:after="0" w:line="102" w:lineRule="exact"/>
        <w:rPr>
          <w:sz w:val="20"/>
          <w:szCs w:val="20"/>
          <w:color w:val="auto"/>
        </w:rPr>
      </w:pPr>
    </w:p>
    <w:p>
      <w:pPr>
        <w:ind w:left="140" w:hanging="134"/>
        <w:spacing w:after="0"/>
        <w:tabs>
          <w:tab w:leader="none" w:pos="140" w:val="left"/>
        </w:tabs>
        <w:numPr>
          <w:ilvl w:val="0"/>
          <w:numId w:val="10"/>
        </w:numPr>
        <w:rPr>
          <w:rFonts w:ascii="Arial" w:cs="Arial" w:eastAsia="Arial" w:hAnsi="Arial"/>
          <w:sz w:val="16"/>
          <w:szCs w:val="16"/>
          <w:color w:val="255993"/>
        </w:rPr>
      </w:pPr>
      <w:r>
        <w:rPr>
          <w:rFonts w:ascii="Arial" w:cs="Arial" w:eastAsia="Arial" w:hAnsi="Arial"/>
          <w:sz w:val="16"/>
          <w:szCs w:val="16"/>
          <w:color w:val="auto"/>
        </w:rPr>
        <w:t>“</w:t>
      </w:r>
      <w:r>
        <w:rPr>
          <w:rFonts w:ascii="Arial" w:cs="Arial" w:eastAsia="Arial" w:hAnsi="Arial"/>
          <w:sz w:val="16"/>
          <w:szCs w:val="16"/>
          <w:b w:val="1"/>
          <w:bCs w:val="1"/>
          <w:color w:val="255993"/>
        </w:rPr>
        <w:t>FOR</w:t>
      </w:r>
      <w:r>
        <w:rPr>
          <w:rFonts w:ascii="Arial" w:cs="Arial" w:eastAsia="Arial" w:hAnsi="Arial"/>
          <w:sz w:val="16"/>
          <w:szCs w:val="16"/>
          <w:color w:val="auto"/>
        </w:rPr>
        <w:t>” the election of each Class I director nominee named in this proxy statement;</w:t>
      </w:r>
    </w:p>
    <w:p>
      <w:pPr>
        <w:spacing w:after="0" w:line="59" w:lineRule="exact"/>
        <w:rPr>
          <w:rFonts w:ascii="Arial" w:cs="Arial" w:eastAsia="Arial" w:hAnsi="Arial"/>
          <w:sz w:val="16"/>
          <w:szCs w:val="16"/>
          <w:color w:val="255993"/>
        </w:rPr>
      </w:pPr>
    </w:p>
    <w:p>
      <w:pPr>
        <w:ind w:left="140" w:right="460" w:hanging="134"/>
        <w:spacing w:after="0" w:line="281" w:lineRule="auto"/>
        <w:tabs>
          <w:tab w:leader="none" w:pos="140" w:val="left"/>
        </w:tabs>
        <w:numPr>
          <w:ilvl w:val="0"/>
          <w:numId w:val="10"/>
        </w:numPr>
        <w:rPr>
          <w:rFonts w:ascii="Arial" w:cs="Arial" w:eastAsia="Arial" w:hAnsi="Arial"/>
          <w:sz w:val="16"/>
          <w:szCs w:val="16"/>
          <w:color w:val="255993"/>
        </w:rPr>
      </w:pPr>
      <w:r>
        <w:rPr>
          <w:rFonts w:ascii="Arial" w:cs="Arial" w:eastAsia="Arial" w:hAnsi="Arial"/>
          <w:sz w:val="16"/>
          <w:szCs w:val="16"/>
          <w:color w:val="auto"/>
        </w:rPr>
        <w:t>“</w:t>
      </w:r>
      <w:r>
        <w:rPr>
          <w:rFonts w:ascii="Arial" w:cs="Arial" w:eastAsia="Arial" w:hAnsi="Arial"/>
          <w:sz w:val="16"/>
          <w:szCs w:val="16"/>
          <w:b w:val="1"/>
          <w:bCs w:val="1"/>
          <w:color w:val="255993"/>
        </w:rPr>
        <w:t>FOR</w:t>
      </w:r>
      <w:r>
        <w:rPr>
          <w:rFonts w:ascii="Arial" w:cs="Arial" w:eastAsia="Arial" w:hAnsi="Arial"/>
          <w:sz w:val="16"/>
          <w:szCs w:val="16"/>
          <w:color w:val="auto"/>
        </w:rPr>
        <w:t>” the ratification of the appointment of Ernst &amp; Young LLP as our independent registered public accounting firm for our fiscal year ending December 31, 2024; and</w:t>
      </w:r>
    </w:p>
    <w:p>
      <w:pPr>
        <w:spacing w:after="0" w:line="1" w:lineRule="exact"/>
        <w:rPr>
          <w:rFonts w:ascii="Arial" w:cs="Arial" w:eastAsia="Arial" w:hAnsi="Arial"/>
          <w:sz w:val="16"/>
          <w:szCs w:val="16"/>
          <w:color w:val="255993"/>
        </w:rPr>
      </w:pPr>
    </w:p>
    <w:p>
      <w:pPr>
        <w:ind w:left="140" w:right="260" w:hanging="134"/>
        <w:spacing w:after="0" w:line="286" w:lineRule="auto"/>
        <w:tabs>
          <w:tab w:leader="none" w:pos="140" w:val="left"/>
        </w:tabs>
        <w:numPr>
          <w:ilvl w:val="0"/>
          <w:numId w:val="10"/>
        </w:numPr>
        <w:rPr>
          <w:rFonts w:ascii="Arial" w:cs="Arial" w:eastAsia="Arial" w:hAnsi="Arial"/>
          <w:sz w:val="16"/>
          <w:szCs w:val="16"/>
          <w:color w:val="255993"/>
        </w:rPr>
      </w:pPr>
      <w:r>
        <w:rPr>
          <w:rFonts w:ascii="Arial" w:cs="Arial" w:eastAsia="Arial" w:hAnsi="Arial"/>
          <w:sz w:val="16"/>
          <w:szCs w:val="16"/>
          <w:color w:val="auto"/>
        </w:rPr>
        <w:t>“</w:t>
      </w:r>
      <w:r>
        <w:rPr>
          <w:rFonts w:ascii="Arial" w:cs="Arial" w:eastAsia="Arial" w:hAnsi="Arial"/>
          <w:sz w:val="16"/>
          <w:szCs w:val="16"/>
          <w:b w:val="1"/>
          <w:bCs w:val="1"/>
          <w:color w:val="255993"/>
        </w:rPr>
        <w:t>FOR</w:t>
      </w:r>
      <w:r>
        <w:rPr>
          <w:rFonts w:ascii="Arial" w:cs="Arial" w:eastAsia="Arial" w:hAnsi="Arial"/>
          <w:sz w:val="16"/>
          <w:szCs w:val="16"/>
          <w:color w:val="auto"/>
        </w:rPr>
        <w:t>” the approval of an amendment to our amended and restated certificate of incorporation to limit the liability of officers as permitted by Delaware law.</w:t>
      </w:r>
    </w:p>
    <w:p>
      <w:pPr>
        <w:spacing w:after="0" w:line="160" w:lineRule="exact"/>
        <w:rPr>
          <w:sz w:val="20"/>
          <w:szCs w:val="20"/>
          <w:color w:val="auto"/>
        </w:rPr>
      </w:pPr>
    </w:p>
    <w:p>
      <w:pPr>
        <w:spacing w:after="0"/>
        <w:tabs>
          <w:tab w:leader="none" w:pos="464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4</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126365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6760"/>
        <w:spacing w:after="0"/>
        <w:rPr>
          <w:sz w:val="20"/>
          <w:szCs w:val="20"/>
          <w:color w:val="auto"/>
        </w:rPr>
      </w:pPr>
      <w:r>
        <w:rPr>
          <w:rFonts w:ascii="Arial" w:cs="Arial" w:eastAsia="Arial" w:hAnsi="Arial"/>
          <w:sz w:val="14"/>
          <w:szCs w:val="14"/>
          <w:color w:val="255993"/>
        </w:rPr>
        <w:t>For 2024 Annual Meeting of Stockholders</w:t>
      </w:r>
    </w:p>
    <w:p>
      <w:pPr>
        <w:spacing w:after="0" w:line="10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if any other matters are properly brought before the annual meeting, the persons named as proxies will be authorized to vote or otherwise act on those matters in accordance with their judgment.</w:t>
      </w:r>
    </w:p>
    <w:p>
      <w:pPr>
        <w:spacing w:after="0" w:line="8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i w:val="1"/>
          <w:iCs w:val="1"/>
          <w:color w:val="auto"/>
        </w:rPr>
        <w:t>Street Name Stockholders</w:t>
      </w:r>
      <w:r>
        <w:rPr>
          <w:rFonts w:ascii="Arial" w:cs="Arial" w:eastAsia="Arial" w:hAnsi="Arial"/>
          <w:sz w:val="16"/>
          <w:szCs w:val="16"/>
          <w:color w:val="auto"/>
        </w:rPr>
        <w:t>. Brokers, banks and other nominees holding shares of common stock in street name for customers are</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required to vote such shares in the manner directed by their customers. In the absence of timely directions, your broker, bank or other nominee will have discretion to vote your shares on our sole routine matter: the proposal to ratify the appointment of Ernst &amp; Young LLP as our independent registered public accounting firm for our fiscal year ending December 31, 2024. Your broker, bank or other nominee will not have discretion to vote on any other proposals, which are considered non-routine matters, absent direction from you. In the event that your broker, bank or other nominee votes your shares on our sole routine matter, but is not able to vote your shares on the non-routine matters, then those shares will be treated as broker non-votes with respect to the non-routine proposals. Accordingly, if you own shares through a nominee, such as a broker or bank, please be sure to instruct your nominee how to vote to ensure that your shares are counted on each of the proposals.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CAN I CHANGE MY VOTE OR REVOKE MY PROXY?</w:t>
      </w:r>
    </w:p>
    <w:p>
      <w:pPr>
        <w:spacing w:after="0" w:line="154"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i w:val="1"/>
          <w:iCs w:val="1"/>
          <w:color w:val="auto"/>
        </w:rPr>
        <w:t>Stockholder of Record</w:t>
      </w:r>
      <w:r>
        <w:rPr>
          <w:rFonts w:ascii="Arial" w:cs="Arial" w:eastAsia="Arial" w:hAnsi="Arial"/>
          <w:sz w:val="16"/>
          <w:szCs w:val="16"/>
          <w:color w:val="auto"/>
        </w:rPr>
        <w:t>. If you are a stockholder of record, you can change your vote or revoke your proxy before the Annual</w:t>
      </w:r>
      <w:r>
        <w:rPr>
          <w:rFonts w:ascii="Arial" w:cs="Arial" w:eastAsia="Arial" w:hAnsi="Arial"/>
          <w:sz w:val="16"/>
          <w:szCs w:val="16"/>
          <w:i w:val="1"/>
          <w:iCs w:val="1"/>
          <w:color w:val="auto"/>
        </w:rPr>
        <w:t xml:space="preserve"> </w:t>
      </w:r>
      <w:r>
        <w:rPr>
          <w:rFonts w:ascii="Arial" w:cs="Arial" w:eastAsia="Arial" w:hAnsi="Arial"/>
          <w:sz w:val="16"/>
          <w:szCs w:val="16"/>
          <w:color w:val="auto"/>
        </w:rPr>
        <w:t>Meeting by:</w:t>
      </w:r>
    </w:p>
    <w:p>
      <w:pPr>
        <w:spacing w:after="0" w:line="102" w:lineRule="exact"/>
        <w:rPr>
          <w:sz w:val="20"/>
          <w:szCs w:val="20"/>
          <w:color w:val="auto"/>
        </w:rPr>
      </w:pPr>
    </w:p>
    <w:p>
      <w:pPr>
        <w:ind w:left="140" w:hanging="134"/>
        <w:spacing w:after="0"/>
        <w:tabs>
          <w:tab w:leader="none" w:pos="140" w:val="left"/>
        </w:tabs>
        <w:numPr>
          <w:ilvl w:val="0"/>
          <w:numId w:val="11"/>
        </w:numPr>
        <w:rPr>
          <w:rFonts w:ascii="Arial" w:cs="Arial" w:eastAsia="Arial" w:hAnsi="Arial"/>
          <w:sz w:val="16"/>
          <w:szCs w:val="16"/>
          <w:color w:val="255993"/>
        </w:rPr>
      </w:pPr>
      <w:r>
        <w:rPr>
          <w:rFonts w:ascii="Arial" w:cs="Arial" w:eastAsia="Arial" w:hAnsi="Arial"/>
          <w:sz w:val="16"/>
          <w:szCs w:val="16"/>
          <w:color w:val="auto"/>
        </w:rPr>
        <w:t>entering a new vote by internet or telephone (subject to the applicable deadlines for each method as set forth above);</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11"/>
        </w:numPr>
        <w:rPr>
          <w:rFonts w:ascii="Arial" w:cs="Arial" w:eastAsia="Arial" w:hAnsi="Arial"/>
          <w:sz w:val="16"/>
          <w:szCs w:val="16"/>
          <w:color w:val="255993"/>
        </w:rPr>
      </w:pPr>
      <w:r>
        <w:rPr>
          <w:rFonts w:ascii="Arial" w:cs="Arial" w:eastAsia="Arial" w:hAnsi="Arial"/>
          <w:sz w:val="16"/>
          <w:szCs w:val="16"/>
          <w:color w:val="auto"/>
        </w:rPr>
        <w:t>completing and returning a later-dated proxy card, which must be received prior to the Annual Meeting;</w:t>
      </w:r>
    </w:p>
    <w:p>
      <w:pPr>
        <w:spacing w:after="0" w:line="59" w:lineRule="exact"/>
        <w:rPr>
          <w:rFonts w:ascii="Arial" w:cs="Arial" w:eastAsia="Arial" w:hAnsi="Arial"/>
          <w:sz w:val="16"/>
          <w:szCs w:val="16"/>
          <w:color w:val="255993"/>
        </w:rPr>
      </w:pPr>
    </w:p>
    <w:p>
      <w:pPr>
        <w:ind w:left="140" w:right="20" w:hanging="134"/>
        <w:spacing w:after="0" w:line="281" w:lineRule="auto"/>
        <w:tabs>
          <w:tab w:leader="none" w:pos="140" w:val="left"/>
        </w:tabs>
        <w:numPr>
          <w:ilvl w:val="0"/>
          <w:numId w:val="11"/>
        </w:numPr>
        <w:rPr>
          <w:rFonts w:ascii="Arial" w:cs="Arial" w:eastAsia="Arial" w:hAnsi="Arial"/>
          <w:sz w:val="16"/>
          <w:szCs w:val="16"/>
          <w:color w:val="255993"/>
        </w:rPr>
      </w:pPr>
      <w:r>
        <w:rPr>
          <w:rFonts w:ascii="Arial" w:cs="Arial" w:eastAsia="Arial" w:hAnsi="Arial"/>
          <w:sz w:val="16"/>
          <w:szCs w:val="16"/>
          <w:color w:val="auto"/>
        </w:rPr>
        <w:t>delivering a written notice of revocation to our corporate secretary at Athira Pharma, Inc., 18706 North Creek Parkway, Suite 104, Bothell, Washington 98011, Attention: Corporate Secretary, which must be received prior to the Annual Meeting; or</w:t>
      </w:r>
    </w:p>
    <w:p>
      <w:pPr>
        <w:spacing w:after="0" w:line="1" w:lineRule="exact"/>
        <w:rPr>
          <w:rFonts w:ascii="Arial" w:cs="Arial" w:eastAsia="Arial" w:hAnsi="Arial"/>
          <w:sz w:val="16"/>
          <w:szCs w:val="16"/>
          <w:color w:val="255993"/>
        </w:rPr>
      </w:pPr>
    </w:p>
    <w:p>
      <w:pPr>
        <w:ind w:left="140" w:hanging="134"/>
        <w:spacing w:after="0"/>
        <w:tabs>
          <w:tab w:leader="none" w:pos="140" w:val="left"/>
        </w:tabs>
        <w:numPr>
          <w:ilvl w:val="0"/>
          <w:numId w:val="11"/>
        </w:numPr>
        <w:rPr>
          <w:rFonts w:ascii="Arial" w:cs="Arial" w:eastAsia="Arial" w:hAnsi="Arial"/>
          <w:sz w:val="16"/>
          <w:szCs w:val="16"/>
          <w:color w:val="255993"/>
        </w:rPr>
      </w:pPr>
      <w:r>
        <w:rPr>
          <w:rFonts w:ascii="Arial" w:cs="Arial" w:eastAsia="Arial" w:hAnsi="Arial"/>
          <w:sz w:val="16"/>
          <w:szCs w:val="16"/>
          <w:color w:val="auto"/>
        </w:rPr>
        <w:t>attending and voting at the Annual Meeting (although attendance at the Annual Meeting will not, by itself, revoke a proxy).</w:t>
      </w:r>
    </w:p>
    <w:p>
      <w:pPr>
        <w:spacing w:after="0" w:line="140"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i w:val="1"/>
          <w:iCs w:val="1"/>
          <w:color w:val="auto"/>
        </w:rPr>
        <w:t>Street Name Stockholders</w:t>
      </w:r>
      <w:r>
        <w:rPr>
          <w:rFonts w:ascii="Arial" w:cs="Arial" w:eastAsia="Arial" w:hAnsi="Arial"/>
          <w:sz w:val="16"/>
          <w:szCs w:val="16"/>
          <w:color w:val="auto"/>
        </w:rPr>
        <w:t>. If you are a street name stockholder, then your broker, bank or other nominee can provide you with</w:t>
      </w:r>
      <w:r>
        <w:rPr>
          <w:rFonts w:ascii="Arial" w:cs="Arial" w:eastAsia="Arial" w:hAnsi="Arial"/>
          <w:sz w:val="16"/>
          <w:szCs w:val="16"/>
          <w:i w:val="1"/>
          <w:iCs w:val="1"/>
          <w:color w:val="auto"/>
        </w:rPr>
        <w:t xml:space="preserve"> </w:t>
      </w:r>
      <w:r>
        <w:rPr>
          <w:rFonts w:ascii="Arial" w:cs="Arial" w:eastAsia="Arial" w:hAnsi="Arial"/>
          <w:sz w:val="16"/>
          <w:szCs w:val="16"/>
          <w:color w:val="auto"/>
        </w:rPr>
        <w:t>instructions on how to change or revoke your proxy.</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WHAT DO I NEED TO DO TO ATTEND THE ANNUAL MEETING?</w:t>
      </w:r>
    </w:p>
    <w:p>
      <w:pPr>
        <w:spacing w:after="0" w:line="113"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We will be hosting the annual meeting via live webcast only. You will be able to attend the annual meeting virtually, submit your questions during the meeting and vote your shares electronically during the meeting by visiting www.virtualshareholdermeeting.com/ATHA2024. To participate in the annual meeting, you will need the control number included on your proxy card. The annual meeting webcast will begin promptly at 8:00 a.m., Pacific Time. We encourage you to access the meeting prior to the start time. Online check-in will begin at 7:45 a.m., Pacific Time, and you should allow ample time for the check-in procedures.</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HOW CAN I GET HELP IF I HAVE TROUBLE CHECKING IN OR LISTENING TO THE ANNUAL MEETING ONLINE?</w:t>
      </w:r>
    </w:p>
    <w:p>
      <w:pPr>
        <w:spacing w:after="0" w:line="113"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If you encounter difficulties accessing the virtual meeting during the check-in or meeting time, please call the technical support number that will be posted on the virtual meeting log-in page.</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WHAT IS THE EFFECT OF GIVING A PROXY?</w:t>
      </w:r>
    </w:p>
    <w:p>
      <w:pPr>
        <w:spacing w:after="0" w:line="11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Proxies are being solicited by and on behalf of our board of directors. Andrew Gengos, our chief financial officer and chief business officer, Rachel Lenington, our chief operating officer and chief development officer, and Mark Worthington, our general counsel and corporate secretary, have been designated as proxy holders for the Annual Meeting by our board of directors. When proxies are properly dated, executed and returned, the shares represented by such proxies will be voted at the Annual Meeting in accordance with the instructions of the stockholder. If the proxy card is dated and signed but no specific instructions are given, then the shares will be voted in accordance with the recommendation of our board of directors. If any other matters are properly brought before the Annual Meeting, then the proxy holders will use their own judgment to determine how to vote your shares.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WHO WILL COUNT THE VOTES?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 representative of Broadridge Financial Solutions, Inc. will tabulate the votes and act as inspector of election.</w:t>
      </w:r>
    </w:p>
    <w:p>
      <w:pPr>
        <w:spacing w:after="0" w:line="226" w:lineRule="exact"/>
        <w:rPr>
          <w:sz w:val="20"/>
          <w:szCs w:val="20"/>
          <w:color w:val="auto"/>
        </w:rPr>
      </w:pPr>
    </w:p>
    <w:p>
      <w:pPr>
        <w:spacing w:after="0"/>
        <w:tabs>
          <w:tab w:leader="none" w:pos="464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5</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255993"/>
        </w:rPr>
        <w:t>For 2024 Annual Meeting of Stockholders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HOW CAN I CONTACT ATHIRA’S TRANSFER AGENT?</w:t>
      </w:r>
    </w:p>
    <w:p>
      <w:pPr>
        <w:spacing w:after="0" w:line="154"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You may contact our transfer agent, Computershare Inc., by telephone at (800) 736-3001, or by writing Computershare Inc., P.O. Box 43006, Providence, RI 02940-3078. You may also access instructions with respect to certain stockholder matters (e.g., change of address) via the internet at www.computershare.com/investor.</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HOW ARE PROXIES SOLICITED FOR THE ANNUAL MEETING AND WHO IS PAYING FOR SUCH SOLICITATION?</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Our board of directors is soliciting proxies for use at the Annual Meeting by means of these proxy materials. By signing, dating and returning the proxy card, or by submitting your proxy over the internet or by telephone using the instructions found on the proxy card, you are authorizing the persons named as proxies to vote your shares at the Annual Meeting as you have instructed. Proxies will be solicited on behalf of the board of directors by the Company’s directors, director nominees, and certain executive officers and other employees of the Company.</w:t>
      </w:r>
    </w:p>
    <w:p>
      <w:pPr>
        <w:spacing w:after="0" w:line="112"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The Company will bear the cost of soliciting proxies and will reimburse brokerage firms and other custodians, nominees and fiduciaries for their reasonable out-of-pocket expenses for sending proxy materials to stockholders and obtaining their proxies. The Company has retained the services of Broadridge Financial Solutions, Inc. to assist in soliciting proxies from the Company’s stockholders for a fee of approximately $16,000 plus reimbursement of reasonable expenses. In addition to soliciting the proxies by mail and the internet, certain of the Company’s directors, officers and employees, without compensation, may solicit proxies personally or by telephone, facsimile and e-mail.</w:t>
      </w:r>
    </w:p>
    <w:p>
      <w:pPr>
        <w:spacing w:after="0" w:line="101"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We will bear the entire cost of proxy solicitation, including the preparation, assembly, printing, mailing and distribution of Athira’s proxy materials. Copies of our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communications or other means by our directors, officers or employees. No additional compensation will be paid to these individuals for any such services, although we may reimburse such individuals for their reasonable out-of-pocket expenses in connection with such solicitation.</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WHERE CAN I FIND THE VOTING RESULTS OF THE ANNUAL MEETING?</w:t>
      </w:r>
    </w:p>
    <w:p>
      <w:pPr>
        <w:spacing w:after="0" w:line="113"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color w:val="auto"/>
        </w:rPr>
        <w:t>We will disclose voting results on a Current Report on Form 8-K that we will file with the SEC within four business days after the meeting. If final voting results are not available to us in time to file a Form 8-K, then we will file a Form 8-K to publish preliminary results and will provide the final results in an amendment to the Form 8-K as soon as they become available.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WHY DID I RECEIVE A NOTICE OF INTERNET AVAILABILITY INSTEAD OF A FULL SET OF PROXY MATERIALS?</w:t>
      </w:r>
    </w:p>
    <w:p>
      <w:pPr>
        <w:spacing w:after="0" w:line="113"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In accordance with the rules of the SEC we have elected to furnish our proxy materials, including this proxy statement and our annual report, primarily via the internet. As a result, we are mailing to our stockholders a Notice of Internet Availability instead of a paper copy of the proxy materials. The Notice of Internet Availability contains instructions on how to access our proxy materials on the internet, how to vote on the proposals, how to request printed copies of the proxy materials and our annual report, and how to request to receive all future proxy materials in printed form by mail or electronically by e-mail. We encourage stockholders to take advantage of the availability of the proxy materials on the internet to help reduce our costs and the environmental impact of our annual meetings.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WHAT DOES IT MEAN IF I RECEIVE MORE THAN ONE NOTICE OF INTERNET AVAILABILITY?</w:t>
      </w:r>
    </w:p>
    <w:p>
      <w:pPr>
        <w:spacing w:after="0" w:line="11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If you receive more than one Notice of Internet Availability, then your shares may be registered in more than one name and/or are registered in different accounts. Please follow the voting instructions on each Notice of Internet Availability to ensure that all of your shares are voted.</w:t>
      </w:r>
    </w:p>
    <w:p>
      <w:pPr>
        <w:spacing w:after="0" w:line="171"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b w:val="1"/>
          <w:bCs w:val="1"/>
          <w:color w:val="255993"/>
        </w:rPr>
        <w:t>I SHARE AN ADDRESS WITH ANOTHER STOCKHOLDER, AND WE RECEIVED ONLY ONE PAPER COPY OF THE PROXY MATERIALS. HOW MAY I OBTAIN AN ADDITIONAL COPY OF THE PROXY MATERIALS?</w:t>
      </w:r>
    </w:p>
    <w:p>
      <w:pPr>
        <w:spacing w:after="0" w:line="32"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We have adopted a procedure called “householding,” which the SEC has approved. Under this procedure, we can deliver a single copy of the Notice of Internet Availability to multiple stockholders who share the same address unless we received contrary instructions from one or more of the stockholders. This procedure reduces our printing costs, mailing costs and fees. Stockholders who participate in householding will continue to be able to access and receive separate proxy cards. Upon written or oral request, we will</w:t>
      </w:r>
    </w:p>
    <w:p>
      <w:pPr>
        <w:spacing w:after="0" w:line="185" w:lineRule="exact"/>
        <w:rPr>
          <w:sz w:val="20"/>
          <w:szCs w:val="20"/>
          <w:color w:val="auto"/>
        </w:rPr>
      </w:pPr>
    </w:p>
    <w:p>
      <w:pPr>
        <w:spacing w:after="0"/>
        <w:tabs>
          <w:tab w:leader="none" w:pos="464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6</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126365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6760"/>
        <w:spacing w:after="0"/>
        <w:rPr>
          <w:sz w:val="20"/>
          <w:szCs w:val="20"/>
          <w:color w:val="auto"/>
        </w:rPr>
      </w:pPr>
      <w:r>
        <w:rPr>
          <w:rFonts w:ascii="Arial" w:cs="Arial" w:eastAsia="Arial" w:hAnsi="Arial"/>
          <w:sz w:val="14"/>
          <w:szCs w:val="14"/>
          <w:color w:val="255993"/>
        </w:rPr>
        <w:t>For 2024 Annual Meeting of Stockholders</w:t>
      </w:r>
    </w:p>
    <w:p>
      <w:pPr>
        <w:spacing w:after="0" w:line="104"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deliver promptly a separate copy of the Notice of Internet Availability to any stockholder at a shared address to which we delivered a single copy of any of these documents. To receive a separate copy, or, if a stockholder is receiving multiple copies, to request that we only send a single copy of next year’s Notice of Internet Availability or proxy statement and annual report, as applicable, stockholders may contact us at the following address and telephone number:</w:t>
      </w:r>
    </w:p>
    <w:p>
      <w:pPr>
        <w:spacing w:after="0" w:line="191" w:lineRule="exact"/>
        <w:rPr>
          <w:sz w:val="20"/>
          <w:szCs w:val="20"/>
          <w:color w:val="auto"/>
        </w:rPr>
      </w:pPr>
    </w:p>
    <w:p>
      <w:pPr>
        <w:ind w:left="3980"/>
        <w:spacing w:after="0"/>
        <w:rPr>
          <w:sz w:val="20"/>
          <w:szCs w:val="20"/>
          <w:color w:val="auto"/>
        </w:rPr>
      </w:pPr>
      <w:r>
        <w:rPr>
          <w:rFonts w:ascii="Arial" w:cs="Arial" w:eastAsia="Arial" w:hAnsi="Arial"/>
          <w:sz w:val="16"/>
          <w:szCs w:val="16"/>
          <w:color w:val="auto"/>
        </w:rPr>
        <w:t>Athira Pharma, Inc.</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6"/>
          <w:szCs w:val="16"/>
          <w:color w:val="auto"/>
        </w:rPr>
        <w:t>Attention: Investor Relations</w:t>
      </w:r>
    </w:p>
    <w:p>
      <w:pPr>
        <w:spacing w:after="0" w:line="5" w:lineRule="exact"/>
        <w:rPr>
          <w:sz w:val="20"/>
          <w:szCs w:val="20"/>
          <w:color w:val="auto"/>
        </w:rPr>
      </w:pPr>
    </w:p>
    <w:p>
      <w:pPr>
        <w:ind w:left="3280"/>
        <w:spacing w:after="0"/>
        <w:rPr>
          <w:sz w:val="20"/>
          <w:szCs w:val="20"/>
          <w:color w:val="auto"/>
        </w:rPr>
      </w:pPr>
      <w:r>
        <w:rPr>
          <w:rFonts w:ascii="Arial" w:cs="Arial" w:eastAsia="Arial" w:hAnsi="Arial"/>
          <w:sz w:val="16"/>
          <w:szCs w:val="16"/>
          <w:color w:val="auto"/>
        </w:rPr>
        <w:t>18706 North Creek Parkway, Suite 104</w:t>
      </w:r>
    </w:p>
    <w:p>
      <w:pPr>
        <w:spacing w:after="0" w:line="5"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Bothell, Washington 98011</w:t>
      </w:r>
    </w:p>
    <w:p>
      <w:pPr>
        <w:spacing w:after="0" w:line="5"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Tel: (425) 620-8501</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Street name stockholders may contact their broker, bank or other nominee to request information about householding.</w:t>
      </w:r>
    </w:p>
    <w:p>
      <w:pPr>
        <w:spacing w:after="0" w:line="221" w:lineRule="exact"/>
        <w:rPr>
          <w:sz w:val="20"/>
          <w:szCs w:val="20"/>
          <w:color w:val="auto"/>
        </w:rPr>
      </w:pPr>
    </w:p>
    <w:p>
      <w:pPr>
        <w:ind w:right="660"/>
        <w:spacing w:after="0" w:line="296" w:lineRule="auto"/>
        <w:rPr>
          <w:sz w:val="20"/>
          <w:szCs w:val="20"/>
          <w:color w:val="auto"/>
        </w:rPr>
      </w:pPr>
      <w:r>
        <w:rPr>
          <w:rFonts w:ascii="Arial" w:cs="Arial" w:eastAsia="Arial" w:hAnsi="Arial"/>
          <w:sz w:val="16"/>
          <w:szCs w:val="16"/>
          <w:b w:val="1"/>
          <w:bCs w:val="1"/>
          <w:color w:val="255993"/>
        </w:rPr>
        <w:t>WHAT IS THE DEADLINE TO PROPOSE ACTIONS FOR CONSIDERATION AT NEXT YEAR’S ANNUAL MEETING OF STOCKHOLDERS OR TO NOMINATE INDIVIDUALS TO SERVE AS DIRECTORS?</w:t>
      </w:r>
    </w:p>
    <w:p>
      <w:pPr>
        <w:spacing w:after="0" w:line="3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If a stockholder would like us to consider including a proposal in our proxy statement for next year’s annual meeting of stockholders pursuant to Rule 14a-8 of the Securities Exchange Act of 1934, as amended (the “Exchange Act”), then the proposal must be received by our corporate secretary at our principal executive offices on or before [•]. In addition, stockholder proposals must comply with the requirements of Rule 14a-8 regarding the inclusion of stockholder proposals in company-sponsored proxy materials. Proposals should be addressed to:</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Athira Pharma,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Attention: Corporate Secretary</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18706 North Creek Parkway, Suite 104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Bothell, Washington 98011</w:t>
      </w:r>
    </w:p>
    <w:p>
      <w:pPr>
        <w:spacing w:after="0" w:line="138"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The Bylaws also establish an advance notice procedure for stockholders who wish to present a proposal or nominate a director at an annual meeting, but do not seek to include the proposal or director nominee in our proxy statement. In order to be properly brought before next year’s annual meeting, the stockholder must provide timely written notice to our corporate secretary, at our principal executive offices, and any such proposal or nomination must constitute a proper matter for stockholder action. The written notice must contain the information specified in the Bylaws. To be timely, a stockholder’s written notice must be received by our corporate secretary at our principal executive offices:</w:t>
      </w:r>
    </w:p>
    <w:p>
      <w:pPr>
        <w:spacing w:after="0" w:line="128" w:lineRule="exact"/>
        <w:rPr>
          <w:sz w:val="20"/>
          <w:szCs w:val="20"/>
          <w:color w:val="auto"/>
        </w:rPr>
      </w:pPr>
    </w:p>
    <w:p>
      <w:pPr>
        <w:ind w:left="140" w:hanging="134"/>
        <w:spacing w:after="0"/>
        <w:tabs>
          <w:tab w:leader="none" w:pos="140" w:val="left"/>
        </w:tabs>
        <w:numPr>
          <w:ilvl w:val="0"/>
          <w:numId w:val="12"/>
        </w:numPr>
        <w:rPr>
          <w:rFonts w:ascii="Arial" w:cs="Arial" w:eastAsia="Arial" w:hAnsi="Arial"/>
          <w:sz w:val="16"/>
          <w:szCs w:val="16"/>
          <w:color w:val="255993"/>
        </w:rPr>
      </w:pPr>
      <w:r>
        <w:rPr>
          <w:rFonts w:ascii="Arial" w:cs="Arial" w:eastAsia="Arial" w:hAnsi="Arial"/>
          <w:sz w:val="16"/>
          <w:szCs w:val="16"/>
          <w:color w:val="auto"/>
        </w:rPr>
        <w:t>no earlier than 8:00 a.m., Eastern time, on [•]; and</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12"/>
        </w:numPr>
        <w:rPr>
          <w:rFonts w:ascii="Arial" w:cs="Arial" w:eastAsia="Arial" w:hAnsi="Arial"/>
          <w:sz w:val="16"/>
          <w:szCs w:val="16"/>
          <w:color w:val="255993"/>
        </w:rPr>
      </w:pPr>
      <w:r>
        <w:rPr>
          <w:rFonts w:ascii="Arial" w:cs="Arial" w:eastAsia="Arial" w:hAnsi="Arial"/>
          <w:sz w:val="16"/>
          <w:szCs w:val="16"/>
          <w:color w:val="auto"/>
        </w:rPr>
        <w:t>no later than 5:00 p.m., Eastern time, on [•].</w:t>
      </w:r>
    </w:p>
    <w:p>
      <w:pPr>
        <w:spacing w:after="0" w:line="15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If we hold our 2025 annual meeting more than 25 days before or after the one-year anniversary of this year’s Annual Meeting, then such written notice must be received by our corporate secretary at our principal executive offices:</w:t>
      </w:r>
    </w:p>
    <w:p>
      <w:pPr>
        <w:spacing w:after="0" w:line="74" w:lineRule="exact"/>
        <w:rPr>
          <w:sz w:val="20"/>
          <w:szCs w:val="20"/>
          <w:color w:val="auto"/>
        </w:rPr>
      </w:pPr>
    </w:p>
    <w:p>
      <w:pPr>
        <w:ind w:left="140" w:hanging="134"/>
        <w:spacing w:after="0"/>
        <w:tabs>
          <w:tab w:leader="none" w:pos="140" w:val="left"/>
        </w:tabs>
        <w:numPr>
          <w:ilvl w:val="0"/>
          <w:numId w:val="13"/>
        </w:numPr>
        <w:rPr>
          <w:rFonts w:ascii="Arial" w:cs="Arial" w:eastAsia="Arial" w:hAnsi="Arial"/>
          <w:sz w:val="32"/>
          <w:szCs w:val="32"/>
          <w:color w:val="255993"/>
          <w:vertAlign w:val="superscript"/>
        </w:rPr>
      </w:pPr>
      <w:r>
        <w:rPr>
          <w:rFonts w:ascii="Arial" w:cs="Arial" w:eastAsia="Arial" w:hAnsi="Arial"/>
          <w:sz w:val="16"/>
          <w:szCs w:val="16"/>
          <w:color w:val="auto"/>
        </w:rPr>
        <w:t>no earlier than 8:00 a.m., Eastern time, on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the day of our 2025 annual meeting, and</w:t>
      </w:r>
    </w:p>
    <w:p>
      <w:pPr>
        <w:ind w:left="140" w:right="80" w:hanging="134"/>
        <w:spacing w:after="0" w:line="181" w:lineRule="auto"/>
        <w:tabs>
          <w:tab w:leader="none" w:pos="140" w:val="left"/>
        </w:tabs>
        <w:numPr>
          <w:ilvl w:val="0"/>
          <w:numId w:val="13"/>
        </w:numPr>
        <w:rPr>
          <w:rFonts w:ascii="Arial" w:cs="Arial" w:eastAsia="Arial" w:hAnsi="Arial"/>
          <w:sz w:val="30"/>
          <w:szCs w:val="30"/>
          <w:color w:val="255993"/>
          <w:vertAlign w:val="superscript"/>
        </w:rPr>
      </w:pPr>
      <w:r>
        <w:rPr>
          <w:rFonts w:ascii="Arial" w:cs="Arial" w:eastAsia="Arial" w:hAnsi="Arial"/>
          <w:sz w:val="16"/>
          <w:szCs w:val="16"/>
          <w:color w:val="auto"/>
        </w:rPr>
        <w:t>no later than 5:00 p.m., Eastern time, on the later of the 90</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day prior to the day of the 2025 annual meeting and, if the first public announcement of the date of such annual meeting is less than 100 days prior to the date of such annual meeting, the 10</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day following the day on which public announcement of the date of the annual meeting is first made by us.</w:t>
      </w:r>
    </w:p>
    <w:p>
      <w:pPr>
        <w:spacing w:after="0" w:line="111"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In addition, stockholders who intend to solicit proxies in support of director nominees other than the Company’s nominees must also comply with the additional requirements of Rule 14a-19(b) of the Exchange Act.</w:t>
      </w:r>
    </w:p>
    <w:p>
      <w:pPr>
        <w:spacing w:after="0" w:line="88"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If a stockholder who has notified us of his, her or its intention to present a proposal at an annual meeting of stockholders does not appear to present his, her or its proposal at such annual meeting, then we are not required to present the proposal for a vote at such annual meeting.</w:t>
      </w:r>
    </w:p>
    <w:p>
      <w:pPr>
        <w:spacing w:after="0" w:line="176" w:lineRule="exact"/>
        <w:rPr>
          <w:sz w:val="20"/>
          <w:szCs w:val="20"/>
          <w:color w:val="auto"/>
        </w:rPr>
      </w:pPr>
    </w:p>
    <w:p>
      <w:pPr>
        <w:spacing w:after="0"/>
        <w:tabs>
          <w:tab w:leader="none" w:pos="464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7</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255993"/>
        </w:rPr>
        <w:t>For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57785</wp:posOffset>
            </wp:positionV>
            <wp:extent cx="5966460" cy="12515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6460" cy="1251585"/>
                    </a:xfrm>
                    <a:prstGeom prst="rect">
                      <a:avLst/>
                    </a:prstGeom>
                    <a:noFill/>
                  </pic:spPr>
                </pic:pic>
              </a:graphicData>
            </a:graphic>
          </wp:anchor>
        </w:drawing>
      </w:r>
    </w:p>
    <w:p>
      <w:pPr>
        <w:spacing w:after="0" w:line="395"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Board Recommendation</w:t>
      </w:r>
    </w:p>
    <w:p>
      <w:pPr>
        <w:spacing w:after="0" w:line="307" w:lineRule="exact"/>
        <w:rPr>
          <w:sz w:val="20"/>
          <w:szCs w:val="20"/>
          <w:color w:val="auto"/>
        </w:rPr>
      </w:pPr>
    </w:p>
    <w:p>
      <w:pPr>
        <w:ind w:left="1640" w:right="40"/>
        <w:spacing w:after="0" w:line="251" w:lineRule="auto"/>
        <w:rPr>
          <w:sz w:val="20"/>
          <w:szCs w:val="20"/>
          <w:color w:val="auto"/>
        </w:rPr>
      </w:pPr>
      <w:r>
        <w:rPr>
          <w:rFonts w:ascii="Arial" w:cs="Arial" w:eastAsia="Arial" w:hAnsi="Arial"/>
          <w:sz w:val="14"/>
          <w:szCs w:val="14"/>
          <w:color w:val="255993"/>
        </w:rPr>
        <w:t xml:space="preserve">The Board of Directors unanimously recommends voting </w:t>
      </w:r>
      <w:r>
        <w:rPr>
          <w:rFonts w:ascii="Arial" w:cs="Arial" w:eastAsia="Arial" w:hAnsi="Arial"/>
          <w:sz w:val="14"/>
          <w:szCs w:val="14"/>
          <w:b w:val="1"/>
          <w:bCs w:val="1"/>
          <w:color w:val="255993"/>
        </w:rPr>
        <w:t>“FOR”</w:t>
      </w:r>
      <w:r>
        <w:rPr>
          <w:rFonts w:ascii="Arial" w:cs="Arial" w:eastAsia="Arial" w:hAnsi="Arial"/>
          <w:sz w:val="14"/>
          <w:szCs w:val="14"/>
          <w:color w:val="255993"/>
        </w:rPr>
        <w:t xml:space="preserve"> the election of each of the Board of Directors’ nominees on Proposal No. 1 (which nominees are Barbara Kosacz, Mark Litton, and Michael Panzara), </w:t>
      </w:r>
      <w:r>
        <w:rPr>
          <w:rFonts w:ascii="Arial" w:cs="Arial" w:eastAsia="Arial" w:hAnsi="Arial"/>
          <w:sz w:val="14"/>
          <w:szCs w:val="14"/>
          <w:b w:val="1"/>
          <w:bCs w:val="1"/>
          <w:color w:val="255993"/>
        </w:rPr>
        <w:t>“FOR”</w:t>
      </w:r>
      <w:r>
        <w:rPr>
          <w:rFonts w:ascii="Arial" w:cs="Arial" w:eastAsia="Arial" w:hAnsi="Arial"/>
          <w:sz w:val="14"/>
          <w:szCs w:val="14"/>
          <w:color w:val="255993"/>
        </w:rPr>
        <w:t xml:space="preserve"> the ratification of the</w:t>
      </w:r>
    </w:p>
    <w:p>
      <w:pPr>
        <w:spacing w:after="0" w:line="1" w:lineRule="exact"/>
        <w:rPr>
          <w:sz w:val="20"/>
          <w:szCs w:val="20"/>
          <w:color w:val="auto"/>
        </w:rPr>
      </w:pPr>
    </w:p>
    <w:p>
      <w:pPr>
        <w:ind w:left="1640" w:right="560" w:hanging="1639"/>
        <w:spacing w:after="0" w:line="180" w:lineRule="auto"/>
        <w:tabs>
          <w:tab w:leader="none" w:pos="1620" w:val="left"/>
        </w:tabs>
        <w:rPr>
          <w:sz w:val="20"/>
          <w:szCs w:val="20"/>
          <w:color w:val="auto"/>
        </w:rPr>
      </w:pPr>
      <w:r>
        <w:rPr>
          <w:rFonts w:ascii="Arial" w:cs="Arial" w:eastAsia="Arial" w:hAnsi="Arial"/>
          <w:sz w:val="30"/>
          <w:szCs w:val="30"/>
          <w:b w:val="1"/>
          <w:bCs w:val="1"/>
          <w:color w:val="auto"/>
          <w:vertAlign w:val="subscript"/>
        </w:rPr>
        <w:t> </w:t>
      </w:r>
      <w:r>
        <w:rPr>
          <w:sz w:val="20"/>
          <w:szCs w:val="20"/>
          <w:color w:val="auto"/>
        </w:rPr>
        <w:tab/>
      </w:r>
      <w:r>
        <w:rPr>
          <w:rFonts w:ascii="Arial" w:cs="Arial" w:eastAsia="Arial" w:hAnsi="Arial"/>
          <w:sz w:val="14"/>
          <w:szCs w:val="14"/>
          <w:color w:val="255993"/>
        </w:rPr>
        <w:t xml:space="preserve">appointment of Ernst &amp; Young LLP as our independent registered public accounting firm for our fiscal year ending December 31, 2024 on Proposal No. 2, and </w:t>
      </w:r>
      <w:r>
        <w:rPr>
          <w:rFonts w:ascii="Arial" w:cs="Arial" w:eastAsia="Arial" w:hAnsi="Arial"/>
          <w:sz w:val="14"/>
          <w:szCs w:val="14"/>
          <w:b w:val="1"/>
          <w:bCs w:val="1"/>
          <w:color w:val="255993"/>
        </w:rPr>
        <w:t>“FOR”</w:t>
      </w:r>
      <w:r>
        <w:rPr>
          <w:rFonts w:ascii="Arial" w:cs="Arial" w:eastAsia="Arial" w:hAnsi="Arial"/>
          <w:sz w:val="14"/>
          <w:szCs w:val="14"/>
          <w:color w:val="255993"/>
        </w:rPr>
        <w:t xml:space="preserve"> an amendment to our amended and restated certificate of incorporation to limit the liability of officers on Proposal No. 3.</w:t>
      </w:r>
    </w:p>
    <w:p>
      <w:pPr>
        <w:spacing w:after="0" w:line="200" w:lineRule="exact"/>
        <w:rPr>
          <w:sz w:val="20"/>
          <w:szCs w:val="20"/>
          <w:color w:val="auto"/>
        </w:rPr>
      </w:pPr>
    </w:p>
    <w:p>
      <w:pPr>
        <w:spacing w:after="0" w:line="325" w:lineRule="exact"/>
        <w:rPr>
          <w:sz w:val="20"/>
          <w:szCs w:val="20"/>
          <w:color w:val="auto"/>
        </w:rPr>
      </w:pPr>
    </w:p>
    <w:p>
      <w:pPr>
        <w:spacing w:after="0"/>
        <w:tabs>
          <w:tab w:leader="none" w:pos="464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8</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38" w:lineRule="exact"/>
        <w:rPr>
          <w:sz w:val="20"/>
          <w:szCs w:val="20"/>
          <w:color w:val="auto"/>
        </w:rPr>
      </w:pPr>
    </w:p>
    <w:p>
      <w:pPr>
        <w:spacing w:after="0"/>
        <w:rPr>
          <w:sz w:val="20"/>
          <w:szCs w:val="20"/>
          <w:color w:val="auto"/>
        </w:rPr>
      </w:pPr>
      <w:r>
        <w:rPr>
          <w:rFonts w:ascii="Arial" w:cs="Arial" w:eastAsia="Arial" w:hAnsi="Arial"/>
          <w:sz w:val="58"/>
          <w:szCs w:val="58"/>
          <w:color w:val="255993"/>
        </w:rPr>
        <w:t>Board of Directors and</w:t>
      </w:r>
    </w:p>
    <w:p>
      <w:pPr>
        <w:spacing w:after="0" w:line="53" w:lineRule="exact"/>
        <w:rPr>
          <w:sz w:val="20"/>
          <w:szCs w:val="20"/>
          <w:color w:val="auto"/>
        </w:rPr>
      </w:pPr>
    </w:p>
    <w:p>
      <w:pPr>
        <w:spacing w:after="0"/>
        <w:rPr>
          <w:sz w:val="20"/>
          <w:szCs w:val="20"/>
          <w:color w:val="auto"/>
        </w:rPr>
      </w:pPr>
      <w:r>
        <w:rPr>
          <w:rFonts w:ascii="Arial" w:cs="Arial" w:eastAsia="Arial" w:hAnsi="Arial"/>
          <w:sz w:val="58"/>
          <w:szCs w:val="58"/>
          <w:color w:val="255993"/>
        </w:rPr>
        <w:t>Corporate Governance</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COMPOSITION OF THE BOARD OF DIRECTORS</w:t>
      </w:r>
    </w:p>
    <w:p>
      <w:pPr>
        <w:spacing w:after="0" w:line="149"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Our board of directors currently consists of eight directors, seven of whom are independent under the listing standards of The Nasdaq Stock Market LLC (“Nasdaq”). Our board of directors is divided into three classes with staggered three-year terms. Thus, at each annual meeting of stockholders, a class of directors will be elected for a three-year term to succeed the class whose term is then expiring.</w:t>
      </w:r>
    </w:p>
    <w:p>
      <w:pPr>
        <w:spacing w:after="0" w:line="97"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The following table sets forth the names, ages as of March 26, 2024, and certain other information for each of our directors and director nominees: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337"/>
        </w:trPr>
        <w:tc>
          <w:tcPr>
            <w:tcW w:w="2440" w:type="dxa"/>
            <w:vAlign w:val="bottom"/>
            <w:shd w:val="clear" w:color="auto" w:fill="255993"/>
          </w:tcPr>
          <w:p>
            <w:pPr>
              <w:spacing w:after="0"/>
              <w:rPr>
                <w:sz w:val="24"/>
                <w:szCs w:val="24"/>
                <w:color w:val="auto"/>
              </w:rPr>
            </w:pPr>
          </w:p>
        </w:tc>
        <w:tc>
          <w:tcPr>
            <w:tcW w:w="900" w:type="dxa"/>
            <w:vAlign w:val="bottom"/>
            <w:shd w:val="clear" w:color="auto" w:fill="255993"/>
          </w:tcPr>
          <w:p>
            <w:pPr>
              <w:spacing w:after="0"/>
              <w:rPr>
                <w:sz w:val="24"/>
                <w:szCs w:val="24"/>
                <w:color w:val="auto"/>
              </w:rPr>
            </w:pPr>
          </w:p>
        </w:tc>
        <w:tc>
          <w:tcPr>
            <w:tcW w:w="760" w:type="dxa"/>
            <w:vAlign w:val="bottom"/>
            <w:shd w:val="clear" w:color="auto" w:fill="255993"/>
          </w:tcPr>
          <w:p>
            <w:pPr>
              <w:spacing w:after="0"/>
              <w:rPr>
                <w:sz w:val="24"/>
                <w:szCs w:val="24"/>
                <w:color w:val="auto"/>
              </w:rPr>
            </w:pPr>
          </w:p>
        </w:tc>
        <w:tc>
          <w:tcPr>
            <w:tcW w:w="2080" w:type="dxa"/>
            <w:vAlign w:val="bottom"/>
            <w:shd w:val="clear" w:color="auto" w:fill="255993"/>
          </w:tcPr>
          <w:p>
            <w:pPr>
              <w:spacing w:after="0"/>
              <w:rPr>
                <w:sz w:val="24"/>
                <w:szCs w:val="24"/>
                <w:color w:val="auto"/>
              </w:rPr>
            </w:pPr>
          </w:p>
        </w:tc>
        <w:tc>
          <w:tcPr>
            <w:tcW w:w="940" w:type="dxa"/>
            <w:vAlign w:val="bottom"/>
            <w:shd w:val="clear" w:color="auto" w:fill="255993"/>
          </w:tcPr>
          <w:p>
            <w:pPr>
              <w:spacing w:after="0"/>
              <w:rPr>
                <w:sz w:val="24"/>
                <w:szCs w:val="24"/>
                <w:color w:val="auto"/>
              </w:rPr>
            </w:pPr>
          </w:p>
        </w:tc>
        <w:tc>
          <w:tcPr>
            <w:tcW w:w="1020" w:type="dxa"/>
            <w:vAlign w:val="bottom"/>
            <w:shd w:val="clear" w:color="auto" w:fill="255993"/>
          </w:tcPr>
          <w:p>
            <w:pPr>
              <w:spacing w:after="0"/>
              <w:rPr>
                <w:sz w:val="24"/>
                <w:szCs w:val="24"/>
                <w:color w:val="auto"/>
              </w:rPr>
            </w:pPr>
          </w:p>
        </w:tc>
        <w:tc>
          <w:tcPr>
            <w:tcW w:w="1260" w:type="dxa"/>
            <w:vAlign w:val="bottom"/>
            <w:shd w:val="clear" w:color="auto" w:fill="255993"/>
          </w:tcPr>
          <w:p>
            <w:pPr>
              <w:jc w:val="center"/>
              <w:spacing w:after="0"/>
              <w:rPr>
                <w:sz w:val="20"/>
                <w:szCs w:val="20"/>
                <w:color w:val="auto"/>
              </w:rPr>
            </w:pPr>
            <w:r>
              <w:rPr>
                <w:rFonts w:ascii="Arial" w:cs="Arial" w:eastAsia="Arial" w:hAnsi="Arial"/>
                <w:sz w:val="16"/>
                <w:szCs w:val="16"/>
                <w:b w:val="1"/>
                <w:bCs w:val="1"/>
                <w:color w:val="FFFFFF"/>
              </w:rPr>
              <w:t>Expiration</w:t>
            </w:r>
          </w:p>
        </w:tc>
        <w:tc>
          <w:tcPr>
            <w:tcW w:w="0" w:type="dxa"/>
            <w:vAlign w:val="bottom"/>
          </w:tcPr>
          <w:p>
            <w:pPr>
              <w:spacing w:after="0"/>
              <w:rPr>
                <w:sz w:val="1"/>
                <w:szCs w:val="1"/>
                <w:color w:val="auto"/>
              </w:rPr>
            </w:pPr>
          </w:p>
        </w:tc>
      </w:tr>
      <w:tr>
        <w:trPr>
          <w:trHeight w:val="189"/>
        </w:trPr>
        <w:tc>
          <w:tcPr>
            <w:tcW w:w="2440" w:type="dxa"/>
            <w:vAlign w:val="bottom"/>
            <w:shd w:val="clear" w:color="auto" w:fill="255993"/>
          </w:tcPr>
          <w:p>
            <w:pPr>
              <w:spacing w:after="0"/>
              <w:rPr>
                <w:sz w:val="16"/>
                <w:szCs w:val="16"/>
                <w:color w:val="auto"/>
              </w:rPr>
            </w:pPr>
          </w:p>
        </w:tc>
        <w:tc>
          <w:tcPr>
            <w:tcW w:w="900" w:type="dxa"/>
            <w:vAlign w:val="bottom"/>
            <w:shd w:val="clear" w:color="auto" w:fill="255993"/>
          </w:tcPr>
          <w:p>
            <w:pPr>
              <w:spacing w:after="0"/>
              <w:rPr>
                <w:sz w:val="16"/>
                <w:szCs w:val="16"/>
                <w:color w:val="auto"/>
              </w:rPr>
            </w:pPr>
          </w:p>
        </w:tc>
        <w:tc>
          <w:tcPr>
            <w:tcW w:w="760" w:type="dxa"/>
            <w:vAlign w:val="bottom"/>
            <w:shd w:val="clear" w:color="auto" w:fill="255993"/>
          </w:tcPr>
          <w:p>
            <w:pPr>
              <w:spacing w:after="0"/>
              <w:rPr>
                <w:sz w:val="16"/>
                <w:szCs w:val="16"/>
                <w:color w:val="auto"/>
              </w:rPr>
            </w:pPr>
          </w:p>
        </w:tc>
        <w:tc>
          <w:tcPr>
            <w:tcW w:w="2080" w:type="dxa"/>
            <w:vAlign w:val="bottom"/>
            <w:shd w:val="clear" w:color="auto" w:fill="255993"/>
          </w:tcPr>
          <w:p>
            <w:pPr>
              <w:spacing w:after="0"/>
              <w:rPr>
                <w:sz w:val="16"/>
                <w:szCs w:val="16"/>
                <w:color w:val="auto"/>
              </w:rPr>
            </w:pPr>
          </w:p>
        </w:tc>
        <w:tc>
          <w:tcPr>
            <w:tcW w:w="940" w:type="dxa"/>
            <w:vAlign w:val="bottom"/>
            <w:shd w:val="clear" w:color="auto" w:fill="255993"/>
          </w:tcPr>
          <w:p>
            <w:pPr>
              <w:spacing w:after="0"/>
              <w:rPr>
                <w:sz w:val="16"/>
                <w:szCs w:val="16"/>
                <w:color w:val="auto"/>
              </w:rPr>
            </w:pPr>
          </w:p>
        </w:tc>
        <w:tc>
          <w:tcPr>
            <w:tcW w:w="1020" w:type="dxa"/>
            <w:vAlign w:val="bottom"/>
            <w:shd w:val="clear" w:color="auto" w:fill="255993"/>
          </w:tcPr>
          <w:p>
            <w:pPr>
              <w:jc w:val="center"/>
              <w:ind w:right="46"/>
              <w:spacing w:after="0"/>
              <w:rPr>
                <w:sz w:val="20"/>
                <w:szCs w:val="20"/>
                <w:color w:val="auto"/>
              </w:rPr>
            </w:pPr>
            <w:r>
              <w:rPr>
                <w:rFonts w:ascii="Arial" w:cs="Arial" w:eastAsia="Arial" w:hAnsi="Arial"/>
                <w:sz w:val="16"/>
                <w:szCs w:val="16"/>
                <w:b w:val="1"/>
                <w:bCs w:val="1"/>
                <w:color w:val="FFFFFF"/>
              </w:rPr>
              <w:t>Current</w:t>
            </w:r>
          </w:p>
        </w:tc>
        <w:tc>
          <w:tcPr>
            <w:tcW w:w="1260" w:type="dxa"/>
            <w:vAlign w:val="bottom"/>
            <w:shd w:val="clear" w:color="auto" w:fill="255993"/>
          </w:tcPr>
          <w:p>
            <w:pPr>
              <w:jc w:val="center"/>
              <w:spacing w:after="0"/>
              <w:rPr>
                <w:sz w:val="20"/>
                <w:szCs w:val="20"/>
                <w:color w:val="auto"/>
              </w:rPr>
            </w:pPr>
            <w:r>
              <w:rPr>
                <w:rFonts w:ascii="Arial" w:cs="Arial" w:eastAsia="Arial" w:hAnsi="Arial"/>
                <w:sz w:val="16"/>
                <w:szCs w:val="16"/>
                <w:b w:val="1"/>
                <w:bCs w:val="1"/>
                <w:color w:val="FFFFFF"/>
              </w:rPr>
              <w:t>of Term</w:t>
            </w:r>
          </w:p>
        </w:tc>
        <w:tc>
          <w:tcPr>
            <w:tcW w:w="0" w:type="dxa"/>
            <w:vAlign w:val="bottom"/>
          </w:tcPr>
          <w:p>
            <w:pPr>
              <w:spacing w:after="0"/>
              <w:rPr>
                <w:sz w:val="1"/>
                <w:szCs w:val="1"/>
                <w:color w:val="auto"/>
              </w:rPr>
            </w:pPr>
          </w:p>
        </w:tc>
      </w:tr>
      <w:tr>
        <w:trPr>
          <w:trHeight w:val="189"/>
        </w:trPr>
        <w:tc>
          <w:tcPr>
            <w:tcW w:w="2440" w:type="dxa"/>
            <w:vAlign w:val="bottom"/>
            <w:shd w:val="clear" w:color="auto" w:fill="255993"/>
          </w:tcPr>
          <w:p>
            <w:pPr>
              <w:spacing w:after="0"/>
              <w:rPr>
                <w:sz w:val="16"/>
                <w:szCs w:val="16"/>
                <w:color w:val="auto"/>
              </w:rPr>
            </w:pPr>
          </w:p>
        </w:tc>
        <w:tc>
          <w:tcPr>
            <w:tcW w:w="900" w:type="dxa"/>
            <w:vAlign w:val="bottom"/>
            <w:shd w:val="clear" w:color="auto" w:fill="255993"/>
          </w:tcPr>
          <w:p>
            <w:pPr>
              <w:spacing w:after="0"/>
              <w:rPr>
                <w:sz w:val="16"/>
                <w:szCs w:val="16"/>
                <w:color w:val="auto"/>
              </w:rPr>
            </w:pPr>
          </w:p>
        </w:tc>
        <w:tc>
          <w:tcPr>
            <w:tcW w:w="760" w:type="dxa"/>
            <w:vAlign w:val="bottom"/>
            <w:shd w:val="clear" w:color="auto" w:fill="255993"/>
          </w:tcPr>
          <w:p>
            <w:pPr>
              <w:spacing w:after="0"/>
              <w:rPr>
                <w:sz w:val="16"/>
                <w:szCs w:val="16"/>
                <w:color w:val="auto"/>
              </w:rPr>
            </w:pPr>
          </w:p>
        </w:tc>
        <w:tc>
          <w:tcPr>
            <w:tcW w:w="2080" w:type="dxa"/>
            <w:vAlign w:val="bottom"/>
            <w:shd w:val="clear" w:color="auto" w:fill="255993"/>
          </w:tcPr>
          <w:p>
            <w:pPr>
              <w:spacing w:after="0"/>
              <w:rPr>
                <w:sz w:val="16"/>
                <w:szCs w:val="16"/>
                <w:color w:val="auto"/>
              </w:rPr>
            </w:pPr>
          </w:p>
        </w:tc>
        <w:tc>
          <w:tcPr>
            <w:tcW w:w="940" w:type="dxa"/>
            <w:vAlign w:val="bottom"/>
            <w:shd w:val="clear" w:color="auto" w:fill="255993"/>
          </w:tcPr>
          <w:p>
            <w:pPr>
              <w:jc w:val="center"/>
              <w:spacing w:after="0"/>
              <w:rPr>
                <w:sz w:val="20"/>
                <w:szCs w:val="20"/>
                <w:color w:val="auto"/>
              </w:rPr>
            </w:pPr>
            <w:r>
              <w:rPr>
                <w:rFonts w:ascii="Arial" w:cs="Arial" w:eastAsia="Arial" w:hAnsi="Arial"/>
                <w:sz w:val="16"/>
                <w:szCs w:val="16"/>
                <w:b w:val="1"/>
                <w:bCs w:val="1"/>
                <w:color w:val="FFFFFF"/>
              </w:rPr>
              <w:t>Director</w:t>
            </w:r>
          </w:p>
        </w:tc>
        <w:tc>
          <w:tcPr>
            <w:tcW w:w="1020" w:type="dxa"/>
            <w:vAlign w:val="bottom"/>
            <w:shd w:val="clear" w:color="auto" w:fill="255993"/>
          </w:tcPr>
          <w:p>
            <w:pPr>
              <w:jc w:val="center"/>
              <w:ind w:right="46"/>
              <w:spacing w:after="0"/>
              <w:rPr>
                <w:sz w:val="20"/>
                <w:szCs w:val="20"/>
                <w:color w:val="auto"/>
              </w:rPr>
            </w:pPr>
            <w:r>
              <w:rPr>
                <w:rFonts w:ascii="Arial" w:cs="Arial" w:eastAsia="Arial" w:hAnsi="Arial"/>
                <w:sz w:val="16"/>
                <w:szCs w:val="16"/>
                <w:b w:val="1"/>
                <w:bCs w:val="1"/>
                <w:color w:val="FFFFFF"/>
                <w:w w:val="97"/>
              </w:rPr>
              <w:t>Term</w:t>
            </w:r>
          </w:p>
        </w:tc>
        <w:tc>
          <w:tcPr>
            <w:tcW w:w="1260" w:type="dxa"/>
            <w:vAlign w:val="bottom"/>
            <w:shd w:val="clear" w:color="auto" w:fill="255993"/>
          </w:tcPr>
          <w:p>
            <w:pPr>
              <w:jc w:val="center"/>
              <w:spacing w:after="0"/>
              <w:rPr>
                <w:sz w:val="20"/>
                <w:szCs w:val="20"/>
                <w:color w:val="auto"/>
              </w:rPr>
            </w:pPr>
            <w:r>
              <w:rPr>
                <w:rFonts w:ascii="Arial" w:cs="Arial" w:eastAsia="Arial" w:hAnsi="Arial"/>
                <w:sz w:val="16"/>
                <w:szCs w:val="16"/>
                <w:b w:val="1"/>
                <w:bCs w:val="1"/>
                <w:color w:val="FFFFFF"/>
              </w:rPr>
              <w:t>for Which</w:t>
            </w:r>
          </w:p>
        </w:tc>
        <w:tc>
          <w:tcPr>
            <w:tcW w:w="0" w:type="dxa"/>
            <w:vAlign w:val="bottom"/>
          </w:tcPr>
          <w:p>
            <w:pPr>
              <w:spacing w:after="0"/>
              <w:rPr>
                <w:sz w:val="1"/>
                <w:szCs w:val="1"/>
                <w:color w:val="auto"/>
              </w:rPr>
            </w:pPr>
          </w:p>
        </w:tc>
      </w:tr>
      <w:tr>
        <w:trPr>
          <w:trHeight w:val="223"/>
        </w:trPr>
        <w:tc>
          <w:tcPr>
            <w:tcW w:w="2440" w:type="dxa"/>
            <w:vAlign w:val="bottom"/>
            <w:shd w:val="clear" w:color="auto" w:fill="255993"/>
          </w:tcPr>
          <w:p>
            <w:pPr>
              <w:ind w:left="80"/>
              <w:spacing w:after="0"/>
              <w:rPr>
                <w:sz w:val="20"/>
                <w:szCs w:val="20"/>
                <w:color w:val="auto"/>
              </w:rPr>
            </w:pPr>
            <w:r>
              <w:rPr>
                <w:rFonts w:ascii="Arial" w:cs="Arial" w:eastAsia="Arial" w:hAnsi="Arial"/>
                <w:sz w:val="16"/>
                <w:szCs w:val="16"/>
                <w:b w:val="1"/>
                <w:bCs w:val="1"/>
                <w:color w:val="FFFFFF"/>
              </w:rPr>
              <w:t>Name</w:t>
            </w:r>
          </w:p>
        </w:tc>
        <w:tc>
          <w:tcPr>
            <w:tcW w:w="900" w:type="dxa"/>
            <w:vAlign w:val="bottom"/>
            <w:shd w:val="clear" w:color="auto" w:fill="255993"/>
          </w:tcPr>
          <w:p>
            <w:pPr>
              <w:jc w:val="center"/>
              <w:spacing w:after="0"/>
              <w:rPr>
                <w:sz w:val="20"/>
                <w:szCs w:val="20"/>
                <w:color w:val="auto"/>
              </w:rPr>
            </w:pPr>
            <w:r>
              <w:rPr>
                <w:rFonts w:ascii="Arial" w:cs="Arial" w:eastAsia="Arial" w:hAnsi="Arial"/>
                <w:sz w:val="16"/>
                <w:szCs w:val="16"/>
                <w:b w:val="1"/>
                <w:bCs w:val="1"/>
                <w:color w:val="FFFFFF"/>
              </w:rPr>
              <w:t>Class</w:t>
            </w:r>
          </w:p>
        </w:tc>
        <w:tc>
          <w:tcPr>
            <w:tcW w:w="760" w:type="dxa"/>
            <w:vAlign w:val="bottom"/>
            <w:shd w:val="clear" w:color="auto" w:fill="255993"/>
          </w:tcPr>
          <w:p>
            <w:pPr>
              <w:jc w:val="center"/>
              <w:spacing w:after="0"/>
              <w:rPr>
                <w:sz w:val="20"/>
                <w:szCs w:val="20"/>
                <w:color w:val="auto"/>
              </w:rPr>
            </w:pPr>
            <w:r>
              <w:rPr>
                <w:rFonts w:ascii="Arial" w:cs="Arial" w:eastAsia="Arial" w:hAnsi="Arial"/>
                <w:sz w:val="16"/>
                <w:szCs w:val="16"/>
                <w:b w:val="1"/>
                <w:bCs w:val="1"/>
                <w:color w:val="FFFFFF"/>
              </w:rPr>
              <w:t>Age</w:t>
            </w:r>
          </w:p>
        </w:tc>
        <w:tc>
          <w:tcPr>
            <w:tcW w:w="2080" w:type="dxa"/>
            <w:vAlign w:val="bottom"/>
            <w:shd w:val="clear" w:color="auto" w:fill="255993"/>
          </w:tcPr>
          <w:p>
            <w:pPr>
              <w:ind w:left="220"/>
              <w:spacing w:after="0"/>
              <w:rPr>
                <w:sz w:val="20"/>
                <w:szCs w:val="20"/>
                <w:color w:val="auto"/>
              </w:rPr>
            </w:pPr>
            <w:r>
              <w:rPr>
                <w:rFonts w:ascii="Arial" w:cs="Arial" w:eastAsia="Arial" w:hAnsi="Arial"/>
                <w:sz w:val="16"/>
                <w:szCs w:val="16"/>
                <w:b w:val="1"/>
                <w:bCs w:val="1"/>
                <w:color w:val="FFFFFF"/>
              </w:rPr>
              <w:t>Position</w:t>
            </w:r>
          </w:p>
        </w:tc>
        <w:tc>
          <w:tcPr>
            <w:tcW w:w="940" w:type="dxa"/>
            <w:vAlign w:val="bottom"/>
            <w:shd w:val="clear" w:color="auto" w:fill="255993"/>
          </w:tcPr>
          <w:p>
            <w:pPr>
              <w:jc w:val="center"/>
              <w:spacing w:after="0"/>
              <w:rPr>
                <w:sz w:val="20"/>
                <w:szCs w:val="20"/>
                <w:color w:val="auto"/>
              </w:rPr>
            </w:pPr>
            <w:r>
              <w:rPr>
                <w:rFonts w:ascii="Arial" w:cs="Arial" w:eastAsia="Arial" w:hAnsi="Arial"/>
                <w:sz w:val="16"/>
                <w:szCs w:val="16"/>
                <w:b w:val="1"/>
                <w:bCs w:val="1"/>
                <w:color w:val="FFFFFF"/>
              </w:rPr>
              <w:t>Since</w:t>
            </w:r>
          </w:p>
        </w:tc>
        <w:tc>
          <w:tcPr>
            <w:tcW w:w="1020" w:type="dxa"/>
            <w:vAlign w:val="bottom"/>
            <w:shd w:val="clear" w:color="auto" w:fill="255993"/>
          </w:tcPr>
          <w:p>
            <w:pPr>
              <w:jc w:val="center"/>
              <w:spacing w:after="0"/>
              <w:rPr>
                <w:sz w:val="20"/>
                <w:szCs w:val="20"/>
                <w:color w:val="auto"/>
              </w:rPr>
            </w:pPr>
            <w:r>
              <w:rPr>
                <w:rFonts w:ascii="Arial" w:cs="Arial" w:eastAsia="Arial" w:hAnsi="Arial"/>
                <w:sz w:val="16"/>
                <w:szCs w:val="16"/>
                <w:b w:val="1"/>
                <w:bCs w:val="1"/>
                <w:color w:val="FFFFFF"/>
              </w:rPr>
              <w:t>Expires</w:t>
            </w:r>
          </w:p>
        </w:tc>
        <w:tc>
          <w:tcPr>
            <w:tcW w:w="1260" w:type="dxa"/>
            <w:vAlign w:val="bottom"/>
            <w:shd w:val="clear" w:color="auto" w:fill="255993"/>
          </w:tcPr>
          <w:p>
            <w:pPr>
              <w:jc w:val="center"/>
              <w:ind w:left="25"/>
              <w:spacing w:after="0"/>
              <w:rPr>
                <w:sz w:val="20"/>
                <w:szCs w:val="20"/>
                <w:color w:val="auto"/>
              </w:rPr>
            </w:pPr>
            <w:r>
              <w:rPr>
                <w:rFonts w:ascii="Arial" w:cs="Arial" w:eastAsia="Arial" w:hAnsi="Arial"/>
                <w:sz w:val="16"/>
                <w:szCs w:val="16"/>
                <w:b w:val="1"/>
                <w:bCs w:val="1"/>
                <w:color w:val="FFFFFF"/>
              </w:rPr>
              <w:t>Nominated</w:t>
            </w:r>
          </w:p>
        </w:tc>
        <w:tc>
          <w:tcPr>
            <w:tcW w:w="0" w:type="dxa"/>
            <w:vAlign w:val="bottom"/>
          </w:tcPr>
          <w:p>
            <w:pPr>
              <w:spacing w:after="0"/>
              <w:rPr>
                <w:sz w:val="1"/>
                <w:szCs w:val="1"/>
                <w:color w:val="auto"/>
              </w:rPr>
            </w:pPr>
          </w:p>
        </w:tc>
      </w:tr>
      <w:tr>
        <w:trPr>
          <w:trHeight w:val="224"/>
        </w:trPr>
        <w:tc>
          <w:tcPr>
            <w:tcW w:w="2440" w:type="dxa"/>
            <w:vAlign w:val="bottom"/>
            <w:shd w:val="clear" w:color="auto" w:fill="255993"/>
          </w:tcPr>
          <w:p>
            <w:pPr>
              <w:spacing w:after="0"/>
              <w:rPr>
                <w:sz w:val="19"/>
                <w:szCs w:val="19"/>
                <w:color w:val="auto"/>
              </w:rPr>
            </w:pPr>
          </w:p>
        </w:tc>
        <w:tc>
          <w:tcPr>
            <w:tcW w:w="900" w:type="dxa"/>
            <w:vAlign w:val="bottom"/>
            <w:shd w:val="clear" w:color="auto" w:fill="255993"/>
          </w:tcPr>
          <w:p>
            <w:pPr>
              <w:spacing w:after="0"/>
              <w:rPr>
                <w:sz w:val="19"/>
                <w:szCs w:val="19"/>
                <w:color w:val="auto"/>
              </w:rPr>
            </w:pPr>
          </w:p>
        </w:tc>
        <w:tc>
          <w:tcPr>
            <w:tcW w:w="760" w:type="dxa"/>
            <w:vAlign w:val="bottom"/>
            <w:shd w:val="clear" w:color="auto" w:fill="255993"/>
          </w:tcPr>
          <w:p>
            <w:pPr>
              <w:spacing w:after="0"/>
              <w:rPr>
                <w:sz w:val="19"/>
                <w:szCs w:val="19"/>
                <w:color w:val="auto"/>
              </w:rPr>
            </w:pPr>
          </w:p>
        </w:tc>
        <w:tc>
          <w:tcPr>
            <w:tcW w:w="2080" w:type="dxa"/>
            <w:vAlign w:val="bottom"/>
            <w:shd w:val="clear" w:color="auto" w:fill="255993"/>
          </w:tcPr>
          <w:p>
            <w:pPr>
              <w:spacing w:after="0"/>
              <w:rPr>
                <w:sz w:val="19"/>
                <w:szCs w:val="19"/>
                <w:color w:val="auto"/>
              </w:rPr>
            </w:pPr>
          </w:p>
        </w:tc>
        <w:tc>
          <w:tcPr>
            <w:tcW w:w="940" w:type="dxa"/>
            <w:vAlign w:val="bottom"/>
            <w:shd w:val="clear" w:color="auto" w:fill="255993"/>
          </w:tcPr>
          <w:p>
            <w:pPr>
              <w:spacing w:after="0"/>
              <w:rPr>
                <w:sz w:val="19"/>
                <w:szCs w:val="19"/>
                <w:color w:val="auto"/>
              </w:rPr>
            </w:pPr>
          </w:p>
        </w:tc>
        <w:tc>
          <w:tcPr>
            <w:tcW w:w="1020" w:type="dxa"/>
            <w:vAlign w:val="bottom"/>
            <w:shd w:val="clear" w:color="auto" w:fill="255993"/>
          </w:tcPr>
          <w:p>
            <w:pPr>
              <w:spacing w:after="0"/>
              <w:rPr>
                <w:sz w:val="19"/>
                <w:szCs w:val="19"/>
                <w:color w:val="auto"/>
              </w:rPr>
            </w:pPr>
          </w:p>
        </w:tc>
        <w:tc>
          <w:tcPr>
            <w:tcW w:w="1260" w:type="dxa"/>
            <w:vAlign w:val="bottom"/>
            <w:shd w:val="clear" w:color="auto" w:fill="255993"/>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2440" w:type="dxa"/>
            <w:vAlign w:val="bottom"/>
            <w:shd w:val="clear" w:color="auto" w:fill="F8991D"/>
          </w:tcPr>
          <w:p>
            <w:pPr>
              <w:ind w:left="80"/>
              <w:spacing w:after="0"/>
              <w:rPr>
                <w:sz w:val="20"/>
                <w:szCs w:val="20"/>
                <w:color w:val="auto"/>
              </w:rPr>
            </w:pPr>
            <w:r>
              <w:rPr>
                <w:rFonts w:ascii="Arial" w:cs="Arial" w:eastAsia="Arial" w:hAnsi="Arial"/>
                <w:sz w:val="14"/>
                <w:szCs w:val="14"/>
                <w:b w:val="1"/>
                <w:bCs w:val="1"/>
                <w:color w:val="FFFFFF"/>
              </w:rPr>
              <w:t>NOMINEES FOR DIRECTOR</w:t>
            </w:r>
          </w:p>
        </w:tc>
        <w:tc>
          <w:tcPr>
            <w:tcW w:w="900" w:type="dxa"/>
            <w:vAlign w:val="bottom"/>
            <w:shd w:val="clear" w:color="auto" w:fill="F8991D"/>
          </w:tcPr>
          <w:p>
            <w:pPr>
              <w:spacing w:after="0"/>
              <w:rPr>
                <w:sz w:val="24"/>
                <w:szCs w:val="24"/>
                <w:color w:val="auto"/>
              </w:rPr>
            </w:pPr>
          </w:p>
        </w:tc>
        <w:tc>
          <w:tcPr>
            <w:tcW w:w="760" w:type="dxa"/>
            <w:vAlign w:val="bottom"/>
            <w:shd w:val="clear" w:color="auto" w:fill="F8991D"/>
          </w:tcPr>
          <w:p>
            <w:pPr>
              <w:spacing w:after="0"/>
              <w:rPr>
                <w:sz w:val="24"/>
                <w:szCs w:val="24"/>
                <w:color w:val="auto"/>
              </w:rPr>
            </w:pPr>
          </w:p>
        </w:tc>
        <w:tc>
          <w:tcPr>
            <w:tcW w:w="2080" w:type="dxa"/>
            <w:vAlign w:val="bottom"/>
            <w:shd w:val="clear" w:color="auto" w:fill="F8991D"/>
          </w:tcPr>
          <w:p>
            <w:pPr>
              <w:spacing w:after="0"/>
              <w:rPr>
                <w:sz w:val="24"/>
                <w:szCs w:val="24"/>
                <w:color w:val="auto"/>
              </w:rPr>
            </w:pPr>
          </w:p>
        </w:tc>
        <w:tc>
          <w:tcPr>
            <w:tcW w:w="940" w:type="dxa"/>
            <w:vAlign w:val="bottom"/>
            <w:shd w:val="clear" w:color="auto" w:fill="F8991D"/>
          </w:tcPr>
          <w:p>
            <w:pPr>
              <w:spacing w:after="0"/>
              <w:rPr>
                <w:sz w:val="24"/>
                <w:szCs w:val="24"/>
                <w:color w:val="auto"/>
              </w:rPr>
            </w:pPr>
          </w:p>
        </w:tc>
        <w:tc>
          <w:tcPr>
            <w:tcW w:w="1020" w:type="dxa"/>
            <w:vAlign w:val="bottom"/>
            <w:shd w:val="clear" w:color="auto" w:fill="F8991D"/>
          </w:tcPr>
          <w:p>
            <w:pPr>
              <w:spacing w:after="0"/>
              <w:rPr>
                <w:sz w:val="24"/>
                <w:szCs w:val="24"/>
                <w:color w:val="auto"/>
              </w:rPr>
            </w:pPr>
          </w:p>
        </w:tc>
        <w:tc>
          <w:tcPr>
            <w:tcW w:w="1260" w:type="dxa"/>
            <w:vAlign w:val="bottom"/>
            <w:shd w:val="clear" w:color="auto" w:fill="F8991D"/>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440" w:type="dxa"/>
            <w:vAlign w:val="bottom"/>
            <w:shd w:val="clear" w:color="auto" w:fill="F8991D"/>
          </w:tcPr>
          <w:p>
            <w:pPr>
              <w:spacing w:after="0"/>
              <w:rPr>
                <w:sz w:val="18"/>
                <w:szCs w:val="18"/>
                <w:color w:val="auto"/>
              </w:rPr>
            </w:pPr>
          </w:p>
        </w:tc>
        <w:tc>
          <w:tcPr>
            <w:tcW w:w="900" w:type="dxa"/>
            <w:vAlign w:val="bottom"/>
            <w:shd w:val="clear" w:color="auto" w:fill="F8991D"/>
          </w:tcPr>
          <w:p>
            <w:pPr>
              <w:spacing w:after="0"/>
              <w:rPr>
                <w:sz w:val="18"/>
                <w:szCs w:val="18"/>
                <w:color w:val="auto"/>
              </w:rPr>
            </w:pPr>
          </w:p>
        </w:tc>
        <w:tc>
          <w:tcPr>
            <w:tcW w:w="760" w:type="dxa"/>
            <w:vAlign w:val="bottom"/>
            <w:shd w:val="clear" w:color="auto" w:fill="F8991D"/>
          </w:tcPr>
          <w:p>
            <w:pPr>
              <w:spacing w:after="0"/>
              <w:rPr>
                <w:sz w:val="18"/>
                <w:szCs w:val="18"/>
                <w:color w:val="auto"/>
              </w:rPr>
            </w:pPr>
          </w:p>
        </w:tc>
        <w:tc>
          <w:tcPr>
            <w:tcW w:w="2080" w:type="dxa"/>
            <w:vAlign w:val="bottom"/>
            <w:shd w:val="clear" w:color="auto" w:fill="F8991D"/>
          </w:tcPr>
          <w:p>
            <w:pPr>
              <w:spacing w:after="0"/>
              <w:rPr>
                <w:sz w:val="18"/>
                <w:szCs w:val="18"/>
                <w:color w:val="auto"/>
              </w:rPr>
            </w:pPr>
          </w:p>
        </w:tc>
        <w:tc>
          <w:tcPr>
            <w:tcW w:w="940" w:type="dxa"/>
            <w:vAlign w:val="bottom"/>
            <w:shd w:val="clear" w:color="auto" w:fill="F8991D"/>
          </w:tcPr>
          <w:p>
            <w:pPr>
              <w:spacing w:after="0"/>
              <w:rPr>
                <w:sz w:val="18"/>
                <w:szCs w:val="18"/>
                <w:color w:val="auto"/>
              </w:rPr>
            </w:pPr>
          </w:p>
        </w:tc>
        <w:tc>
          <w:tcPr>
            <w:tcW w:w="1020" w:type="dxa"/>
            <w:vAlign w:val="bottom"/>
            <w:shd w:val="clear" w:color="auto" w:fill="F8991D"/>
          </w:tcPr>
          <w:p>
            <w:pPr>
              <w:spacing w:after="0"/>
              <w:rPr>
                <w:sz w:val="18"/>
                <w:szCs w:val="18"/>
                <w:color w:val="auto"/>
              </w:rPr>
            </w:pPr>
          </w:p>
        </w:tc>
        <w:tc>
          <w:tcPr>
            <w:tcW w:w="1260" w:type="dxa"/>
            <w:vAlign w:val="bottom"/>
            <w:shd w:val="clear" w:color="auto" w:fill="F8991D"/>
          </w:tcPr>
          <w:p>
            <w:pPr>
              <w:spacing w:after="0"/>
              <w:rPr>
                <w:sz w:val="18"/>
                <w:szCs w:val="18"/>
                <w:color w:val="auto"/>
              </w:rPr>
            </w:pPr>
          </w:p>
        </w:tc>
        <w:tc>
          <w:tcPr>
            <w:tcW w:w="0" w:type="dxa"/>
            <w:vAlign w:val="bottom"/>
          </w:tcPr>
          <w:p>
            <w:pPr>
              <w:spacing w:after="0"/>
              <w:rPr>
                <w:sz w:val="1"/>
                <w:szCs w:val="1"/>
                <w:color w:val="auto"/>
              </w:rPr>
            </w:pPr>
          </w:p>
        </w:tc>
      </w:tr>
      <w:tr>
        <w:trPr>
          <w:trHeight w:val="552"/>
        </w:trPr>
        <w:tc>
          <w:tcPr>
            <w:tcW w:w="2440" w:type="dxa"/>
            <w:vAlign w:val="bottom"/>
            <w:shd w:val="clear" w:color="auto" w:fill="EBEBEB"/>
          </w:tcPr>
          <w:p>
            <w:pPr>
              <w:ind w:left="80"/>
              <w:spacing w:after="0"/>
              <w:rPr>
                <w:sz w:val="20"/>
                <w:szCs w:val="20"/>
                <w:color w:val="auto"/>
              </w:rPr>
            </w:pPr>
            <w:r>
              <w:rPr>
                <w:rFonts w:ascii="Arial" w:cs="Arial" w:eastAsia="Arial" w:hAnsi="Arial"/>
                <w:sz w:val="14"/>
                <w:szCs w:val="14"/>
                <w:b w:val="1"/>
                <w:bCs w:val="1"/>
                <w:color w:val="auto"/>
              </w:rPr>
              <w:t>Barbara Kosacz</w:t>
            </w:r>
            <w:r>
              <w:rPr>
                <w:rFonts w:ascii="Arial" w:cs="Arial" w:eastAsia="Arial" w:hAnsi="Arial"/>
                <w:sz w:val="23"/>
                <w:szCs w:val="23"/>
                <w:color w:val="auto"/>
                <w:vertAlign w:val="superscript"/>
              </w:rPr>
              <w:t>(1)(2)</w:t>
            </w:r>
          </w:p>
        </w:tc>
        <w:tc>
          <w:tcPr>
            <w:tcW w:w="90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I</w:t>
            </w:r>
          </w:p>
        </w:tc>
        <w:tc>
          <w:tcPr>
            <w:tcW w:w="76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66</w:t>
            </w:r>
          </w:p>
        </w:tc>
        <w:tc>
          <w:tcPr>
            <w:tcW w:w="2080" w:type="dxa"/>
            <w:vAlign w:val="bottom"/>
            <w:shd w:val="clear" w:color="auto" w:fill="EBEBEB"/>
          </w:tcPr>
          <w:p>
            <w:pPr>
              <w:ind w:left="220"/>
              <w:spacing w:after="0"/>
              <w:rPr>
                <w:sz w:val="20"/>
                <w:szCs w:val="20"/>
                <w:color w:val="auto"/>
              </w:rPr>
            </w:pPr>
            <w:r>
              <w:rPr>
                <w:rFonts w:ascii="Arial" w:cs="Arial" w:eastAsia="Arial" w:hAnsi="Arial"/>
                <w:sz w:val="14"/>
                <w:szCs w:val="14"/>
                <w:color w:val="auto"/>
              </w:rPr>
              <w:t>Director</w:t>
            </w:r>
          </w:p>
        </w:tc>
        <w:tc>
          <w:tcPr>
            <w:tcW w:w="94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2021</w:t>
            </w:r>
          </w:p>
        </w:tc>
        <w:tc>
          <w:tcPr>
            <w:tcW w:w="102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2024</w:t>
            </w:r>
          </w:p>
        </w:tc>
        <w:tc>
          <w:tcPr>
            <w:tcW w:w="1260" w:type="dxa"/>
            <w:vAlign w:val="bottom"/>
            <w:shd w:val="clear" w:color="auto" w:fill="EBEBEB"/>
          </w:tcPr>
          <w:p>
            <w:pPr>
              <w:jc w:val="center"/>
              <w:ind w:left="25"/>
              <w:spacing w:after="0"/>
              <w:rPr>
                <w:sz w:val="20"/>
                <w:szCs w:val="20"/>
                <w:color w:val="auto"/>
              </w:rPr>
            </w:pPr>
            <w:r>
              <w:rPr>
                <w:rFonts w:ascii="Arial" w:cs="Arial" w:eastAsia="Arial" w:hAnsi="Arial"/>
                <w:sz w:val="14"/>
                <w:szCs w:val="14"/>
                <w:color w:val="auto"/>
              </w:rPr>
              <w:t>2027</w:t>
            </w:r>
          </w:p>
        </w:tc>
        <w:tc>
          <w:tcPr>
            <w:tcW w:w="0" w:type="dxa"/>
            <w:vAlign w:val="bottom"/>
          </w:tcPr>
          <w:p>
            <w:pPr>
              <w:spacing w:after="0"/>
              <w:rPr>
                <w:sz w:val="1"/>
                <w:szCs w:val="1"/>
                <w:color w:val="auto"/>
              </w:rPr>
            </w:pPr>
          </w:p>
        </w:tc>
      </w:tr>
      <w:tr>
        <w:trPr>
          <w:trHeight w:val="123"/>
        </w:trPr>
        <w:tc>
          <w:tcPr>
            <w:tcW w:w="2440" w:type="dxa"/>
            <w:vAlign w:val="bottom"/>
            <w:shd w:val="clear" w:color="auto" w:fill="EBEBEB"/>
          </w:tcPr>
          <w:p>
            <w:pPr>
              <w:spacing w:after="0"/>
              <w:rPr>
                <w:sz w:val="10"/>
                <w:szCs w:val="10"/>
                <w:color w:val="auto"/>
              </w:rPr>
            </w:pPr>
          </w:p>
        </w:tc>
        <w:tc>
          <w:tcPr>
            <w:tcW w:w="900" w:type="dxa"/>
            <w:vAlign w:val="bottom"/>
            <w:shd w:val="clear" w:color="auto" w:fill="EBEBEB"/>
          </w:tcPr>
          <w:p>
            <w:pPr>
              <w:spacing w:after="0"/>
              <w:rPr>
                <w:sz w:val="10"/>
                <w:szCs w:val="10"/>
                <w:color w:val="auto"/>
              </w:rPr>
            </w:pPr>
          </w:p>
        </w:tc>
        <w:tc>
          <w:tcPr>
            <w:tcW w:w="760" w:type="dxa"/>
            <w:vAlign w:val="bottom"/>
            <w:shd w:val="clear" w:color="auto" w:fill="EBEBEB"/>
          </w:tcPr>
          <w:p>
            <w:pPr>
              <w:spacing w:after="0"/>
              <w:rPr>
                <w:sz w:val="10"/>
                <w:szCs w:val="10"/>
                <w:color w:val="auto"/>
              </w:rPr>
            </w:pPr>
          </w:p>
        </w:tc>
        <w:tc>
          <w:tcPr>
            <w:tcW w:w="2080" w:type="dxa"/>
            <w:vAlign w:val="bottom"/>
            <w:shd w:val="clear" w:color="auto" w:fill="EBEBEB"/>
          </w:tcPr>
          <w:p>
            <w:pPr>
              <w:spacing w:after="0"/>
              <w:rPr>
                <w:sz w:val="10"/>
                <w:szCs w:val="10"/>
                <w:color w:val="auto"/>
              </w:rPr>
            </w:pPr>
          </w:p>
        </w:tc>
        <w:tc>
          <w:tcPr>
            <w:tcW w:w="940" w:type="dxa"/>
            <w:vAlign w:val="bottom"/>
            <w:shd w:val="clear" w:color="auto" w:fill="EBEBEB"/>
          </w:tcPr>
          <w:p>
            <w:pPr>
              <w:spacing w:after="0"/>
              <w:rPr>
                <w:sz w:val="10"/>
                <w:szCs w:val="10"/>
                <w:color w:val="auto"/>
              </w:rPr>
            </w:pPr>
          </w:p>
        </w:tc>
        <w:tc>
          <w:tcPr>
            <w:tcW w:w="1020" w:type="dxa"/>
            <w:vAlign w:val="bottom"/>
            <w:shd w:val="clear" w:color="auto" w:fill="EBEBEB"/>
          </w:tcPr>
          <w:p>
            <w:pPr>
              <w:spacing w:after="0"/>
              <w:rPr>
                <w:sz w:val="10"/>
                <w:szCs w:val="10"/>
                <w:color w:val="auto"/>
              </w:rPr>
            </w:pPr>
          </w:p>
        </w:tc>
        <w:tc>
          <w:tcPr>
            <w:tcW w:w="1260" w:type="dxa"/>
            <w:vAlign w:val="bottom"/>
            <w:shd w:val="clear" w:color="auto" w:fill="EBEBEB"/>
          </w:tcPr>
          <w:p>
            <w:pPr>
              <w:spacing w:after="0"/>
              <w:rPr>
                <w:sz w:val="10"/>
                <w:szCs w:val="10"/>
                <w:color w:val="auto"/>
              </w:rPr>
            </w:pPr>
          </w:p>
        </w:tc>
        <w:tc>
          <w:tcPr>
            <w:tcW w:w="0" w:type="dxa"/>
            <w:vAlign w:val="bottom"/>
          </w:tcPr>
          <w:p>
            <w:pPr>
              <w:spacing w:after="0"/>
              <w:rPr>
                <w:sz w:val="1"/>
                <w:szCs w:val="1"/>
                <w:color w:val="auto"/>
              </w:rPr>
            </w:pPr>
          </w:p>
        </w:tc>
      </w:tr>
      <w:tr>
        <w:trPr>
          <w:trHeight w:val="396"/>
        </w:trPr>
        <w:tc>
          <w:tcPr>
            <w:tcW w:w="2440" w:type="dxa"/>
            <w:vAlign w:val="bottom"/>
            <w:vMerge w:val="restart"/>
            <w:shd w:val="clear" w:color="auto" w:fill="FAFAFA"/>
          </w:tcPr>
          <w:p>
            <w:pPr>
              <w:ind w:left="80"/>
              <w:spacing w:after="0"/>
              <w:rPr>
                <w:sz w:val="20"/>
                <w:szCs w:val="20"/>
                <w:color w:val="auto"/>
              </w:rPr>
            </w:pPr>
            <w:r>
              <w:rPr>
                <w:rFonts w:ascii="Arial" w:cs="Arial" w:eastAsia="Arial" w:hAnsi="Arial"/>
                <w:sz w:val="14"/>
                <w:szCs w:val="14"/>
                <w:b w:val="1"/>
                <w:bCs w:val="1"/>
                <w:color w:val="auto"/>
              </w:rPr>
              <w:t>Mark Litton, Ph.D.</w:t>
            </w:r>
          </w:p>
        </w:tc>
        <w:tc>
          <w:tcPr>
            <w:tcW w:w="900" w:type="dxa"/>
            <w:vAlign w:val="bottom"/>
            <w:vMerge w:val="restart"/>
            <w:shd w:val="clear" w:color="auto" w:fill="FAFAFA"/>
          </w:tcPr>
          <w:p>
            <w:pPr>
              <w:jc w:val="center"/>
              <w:spacing w:after="0"/>
              <w:rPr>
                <w:sz w:val="20"/>
                <w:szCs w:val="20"/>
                <w:color w:val="auto"/>
              </w:rPr>
            </w:pPr>
            <w:r>
              <w:rPr>
                <w:rFonts w:ascii="Arial" w:cs="Arial" w:eastAsia="Arial" w:hAnsi="Arial"/>
                <w:sz w:val="14"/>
                <w:szCs w:val="14"/>
                <w:color w:val="auto"/>
              </w:rPr>
              <w:t>I</w:t>
            </w:r>
          </w:p>
        </w:tc>
        <w:tc>
          <w:tcPr>
            <w:tcW w:w="760" w:type="dxa"/>
            <w:vAlign w:val="bottom"/>
            <w:vMerge w:val="restart"/>
            <w:shd w:val="clear" w:color="auto" w:fill="FAFAFA"/>
          </w:tcPr>
          <w:p>
            <w:pPr>
              <w:jc w:val="center"/>
              <w:spacing w:after="0"/>
              <w:rPr>
                <w:sz w:val="20"/>
                <w:szCs w:val="20"/>
                <w:color w:val="auto"/>
              </w:rPr>
            </w:pPr>
            <w:r>
              <w:rPr>
                <w:rFonts w:ascii="Arial" w:cs="Arial" w:eastAsia="Arial" w:hAnsi="Arial"/>
                <w:sz w:val="14"/>
                <w:szCs w:val="14"/>
                <w:color w:val="auto"/>
              </w:rPr>
              <w:t>56</w:t>
            </w:r>
          </w:p>
        </w:tc>
        <w:tc>
          <w:tcPr>
            <w:tcW w:w="2080" w:type="dxa"/>
            <w:vAlign w:val="bottom"/>
            <w:shd w:val="clear" w:color="auto" w:fill="FAFAFA"/>
          </w:tcPr>
          <w:p>
            <w:pPr>
              <w:ind w:left="220"/>
              <w:spacing w:after="0"/>
              <w:rPr>
                <w:sz w:val="20"/>
                <w:szCs w:val="20"/>
                <w:color w:val="auto"/>
              </w:rPr>
            </w:pPr>
            <w:r>
              <w:rPr>
                <w:rFonts w:ascii="Arial" w:cs="Arial" w:eastAsia="Arial" w:hAnsi="Arial"/>
                <w:sz w:val="14"/>
                <w:szCs w:val="14"/>
                <w:color w:val="auto"/>
              </w:rPr>
              <w:t>President, Chief Executive</w:t>
            </w:r>
          </w:p>
        </w:tc>
        <w:tc>
          <w:tcPr>
            <w:tcW w:w="940" w:type="dxa"/>
            <w:vAlign w:val="bottom"/>
            <w:vMerge w:val="restart"/>
            <w:shd w:val="clear" w:color="auto" w:fill="FAFAFA"/>
          </w:tcPr>
          <w:p>
            <w:pPr>
              <w:jc w:val="center"/>
              <w:spacing w:after="0"/>
              <w:rPr>
                <w:sz w:val="20"/>
                <w:szCs w:val="20"/>
                <w:color w:val="auto"/>
              </w:rPr>
            </w:pPr>
            <w:r>
              <w:rPr>
                <w:rFonts w:ascii="Arial" w:cs="Arial" w:eastAsia="Arial" w:hAnsi="Arial"/>
                <w:sz w:val="14"/>
                <w:szCs w:val="14"/>
                <w:color w:val="auto"/>
              </w:rPr>
              <w:t>2021</w:t>
            </w:r>
          </w:p>
        </w:tc>
        <w:tc>
          <w:tcPr>
            <w:tcW w:w="1020" w:type="dxa"/>
            <w:vAlign w:val="bottom"/>
            <w:vMerge w:val="restart"/>
            <w:shd w:val="clear" w:color="auto" w:fill="FAFAFA"/>
          </w:tcPr>
          <w:p>
            <w:pPr>
              <w:jc w:val="center"/>
              <w:spacing w:after="0"/>
              <w:rPr>
                <w:sz w:val="20"/>
                <w:szCs w:val="20"/>
                <w:color w:val="auto"/>
              </w:rPr>
            </w:pPr>
            <w:r>
              <w:rPr>
                <w:rFonts w:ascii="Arial" w:cs="Arial" w:eastAsia="Arial" w:hAnsi="Arial"/>
                <w:sz w:val="14"/>
                <w:szCs w:val="14"/>
                <w:color w:val="auto"/>
              </w:rPr>
              <w:t>2024</w:t>
            </w:r>
          </w:p>
        </w:tc>
        <w:tc>
          <w:tcPr>
            <w:tcW w:w="1260" w:type="dxa"/>
            <w:vAlign w:val="bottom"/>
            <w:vMerge w:val="restart"/>
            <w:shd w:val="clear" w:color="auto" w:fill="FAFAFA"/>
          </w:tcPr>
          <w:p>
            <w:pPr>
              <w:jc w:val="center"/>
              <w:ind w:left="25"/>
              <w:spacing w:after="0"/>
              <w:rPr>
                <w:sz w:val="20"/>
                <w:szCs w:val="20"/>
                <w:color w:val="auto"/>
              </w:rPr>
            </w:pPr>
            <w:r>
              <w:rPr>
                <w:rFonts w:ascii="Arial" w:cs="Arial" w:eastAsia="Arial" w:hAnsi="Arial"/>
                <w:sz w:val="14"/>
                <w:szCs w:val="14"/>
                <w:color w:val="auto"/>
              </w:rPr>
              <w:t>2027</w:t>
            </w:r>
          </w:p>
        </w:tc>
        <w:tc>
          <w:tcPr>
            <w:tcW w:w="0" w:type="dxa"/>
            <w:vAlign w:val="bottom"/>
          </w:tcPr>
          <w:p>
            <w:pPr>
              <w:spacing w:after="0"/>
              <w:rPr>
                <w:sz w:val="1"/>
                <w:szCs w:val="1"/>
                <w:color w:val="auto"/>
              </w:rPr>
            </w:pPr>
          </w:p>
        </w:tc>
      </w:tr>
      <w:tr>
        <w:trPr>
          <w:trHeight w:val="115"/>
        </w:trPr>
        <w:tc>
          <w:tcPr>
            <w:tcW w:w="2440" w:type="dxa"/>
            <w:vAlign w:val="bottom"/>
            <w:vMerge w:val="continue"/>
            <w:shd w:val="clear" w:color="auto" w:fill="FAFAFA"/>
          </w:tcPr>
          <w:p>
            <w:pPr>
              <w:spacing w:after="0"/>
              <w:rPr>
                <w:sz w:val="10"/>
                <w:szCs w:val="10"/>
                <w:color w:val="auto"/>
              </w:rPr>
            </w:pPr>
          </w:p>
        </w:tc>
        <w:tc>
          <w:tcPr>
            <w:tcW w:w="900" w:type="dxa"/>
            <w:vAlign w:val="bottom"/>
            <w:vMerge w:val="continue"/>
            <w:shd w:val="clear" w:color="auto" w:fill="FAFAFA"/>
          </w:tcPr>
          <w:p>
            <w:pPr>
              <w:spacing w:after="0"/>
              <w:rPr>
                <w:sz w:val="10"/>
                <w:szCs w:val="10"/>
                <w:color w:val="auto"/>
              </w:rPr>
            </w:pPr>
          </w:p>
        </w:tc>
        <w:tc>
          <w:tcPr>
            <w:tcW w:w="760" w:type="dxa"/>
            <w:vAlign w:val="bottom"/>
            <w:vMerge w:val="continue"/>
            <w:shd w:val="clear" w:color="auto" w:fill="FAFAFA"/>
          </w:tcPr>
          <w:p>
            <w:pPr>
              <w:spacing w:after="0"/>
              <w:rPr>
                <w:sz w:val="10"/>
                <w:szCs w:val="10"/>
                <w:color w:val="auto"/>
              </w:rPr>
            </w:pPr>
          </w:p>
        </w:tc>
        <w:tc>
          <w:tcPr>
            <w:tcW w:w="2080" w:type="dxa"/>
            <w:vAlign w:val="bottom"/>
            <w:vMerge w:val="restart"/>
            <w:shd w:val="clear" w:color="auto" w:fill="FAFAFA"/>
          </w:tcPr>
          <w:p>
            <w:pPr>
              <w:ind w:left="220"/>
              <w:spacing w:after="0"/>
              <w:rPr>
                <w:sz w:val="20"/>
                <w:szCs w:val="20"/>
                <w:color w:val="auto"/>
              </w:rPr>
            </w:pPr>
            <w:r>
              <w:rPr>
                <w:rFonts w:ascii="Arial" w:cs="Arial" w:eastAsia="Arial" w:hAnsi="Arial"/>
                <w:sz w:val="14"/>
                <w:szCs w:val="14"/>
                <w:color w:val="auto"/>
              </w:rPr>
              <w:t>Officer and Director</w:t>
            </w:r>
          </w:p>
        </w:tc>
        <w:tc>
          <w:tcPr>
            <w:tcW w:w="940" w:type="dxa"/>
            <w:vAlign w:val="bottom"/>
            <w:vMerge w:val="continue"/>
            <w:shd w:val="clear" w:color="auto" w:fill="FAFAFA"/>
          </w:tcPr>
          <w:p>
            <w:pPr>
              <w:spacing w:after="0"/>
              <w:rPr>
                <w:sz w:val="10"/>
                <w:szCs w:val="10"/>
                <w:color w:val="auto"/>
              </w:rPr>
            </w:pPr>
          </w:p>
        </w:tc>
        <w:tc>
          <w:tcPr>
            <w:tcW w:w="1020" w:type="dxa"/>
            <w:vAlign w:val="bottom"/>
            <w:vMerge w:val="continue"/>
            <w:shd w:val="clear" w:color="auto" w:fill="FAFAFA"/>
          </w:tcPr>
          <w:p>
            <w:pPr>
              <w:spacing w:after="0"/>
              <w:rPr>
                <w:sz w:val="10"/>
                <w:szCs w:val="10"/>
                <w:color w:val="auto"/>
              </w:rPr>
            </w:pPr>
          </w:p>
        </w:tc>
        <w:tc>
          <w:tcPr>
            <w:tcW w:w="1260" w:type="dxa"/>
            <w:vAlign w:val="bottom"/>
            <w:vMerge w:val="continue"/>
            <w:shd w:val="clear" w:color="auto" w:fill="FAFAFA"/>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440" w:type="dxa"/>
            <w:vAlign w:val="bottom"/>
            <w:shd w:val="clear" w:color="auto" w:fill="FAFAFA"/>
          </w:tcPr>
          <w:p>
            <w:pPr>
              <w:spacing w:after="0"/>
              <w:rPr>
                <w:sz w:val="6"/>
                <w:szCs w:val="6"/>
                <w:color w:val="auto"/>
              </w:rPr>
            </w:pPr>
          </w:p>
        </w:tc>
        <w:tc>
          <w:tcPr>
            <w:tcW w:w="900" w:type="dxa"/>
            <w:vAlign w:val="bottom"/>
            <w:shd w:val="clear" w:color="auto" w:fill="FAFAFA"/>
          </w:tcPr>
          <w:p>
            <w:pPr>
              <w:spacing w:after="0"/>
              <w:rPr>
                <w:sz w:val="6"/>
                <w:szCs w:val="6"/>
                <w:color w:val="auto"/>
              </w:rPr>
            </w:pPr>
          </w:p>
        </w:tc>
        <w:tc>
          <w:tcPr>
            <w:tcW w:w="760" w:type="dxa"/>
            <w:vAlign w:val="bottom"/>
            <w:shd w:val="clear" w:color="auto" w:fill="FAFAFA"/>
          </w:tcPr>
          <w:p>
            <w:pPr>
              <w:spacing w:after="0"/>
              <w:rPr>
                <w:sz w:val="6"/>
                <w:szCs w:val="6"/>
                <w:color w:val="auto"/>
              </w:rPr>
            </w:pPr>
          </w:p>
        </w:tc>
        <w:tc>
          <w:tcPr>
            <w:tcW w:w="2080" w:type="dxa"/>
            <w:vAlign w:val="bottom"/>
            <w:vMerge w:val="continue"/>
            <w:shd w:val="clear" w:color="auto" w:fill="FAFAFA"/>
          </w:tcPr>
          <w:p>
            <w:pPr>
              <w:spacing w:after="0"/>
              <w:rPr>
                <w:sz w:val="6"/>
                <w:szCs w:val="6"/>
                <w:color w:val="auto"/>
              </w:rPr>
            </w:pPr>
          </w:p>
        </w:tc>
        <w:tc>
          <w:tcPr>
            <w:tcW w:w="940" w:type="dxa"/>
            <w:vAlign w:val="bottom"/>
            <w:shd w:val="clear" w:color="auto" w:fill="FAFAFA"/>
          </w:tcPr>
          <w:p>
            <w:pPr>
              <w:spacing w:after="0"/>
              <w:rPr>
                <w:sz w:val="6"/>
                <w:szCs w:val="6"/>
                <w:color w:val="auto"/>
              </w:rPr>
            </w:pPr>
          </w:p>
        </w:tc>
        <w:tc>
          <w:tcPr>
            <w:tcW w:w="1020" w:type="dxa"/>
            <w:vAlign w:val="bottom"/>
            <w:shd w:val="clear" w:color="auto" w:fill="FAFAFA"/>
          </w:tcPr>
          <w:p>
            <w:pPr>
              <w:spacing w:after="0"/>
              <w:rPr>
                <w:sz w:val="6"/>
                <w:szCs w:val="6"/>
                <w:color w:val="auto"/>
              </w:rPr>
            </w:pPr>
          </w:p>
        </w:tc>
        <w:tc>
          <w:tcPr>
            <w:tcW w:w="1260" w:type="dxa"/>
            <w:vAlign w:val="bottom"/>
            <w:shd w:val="clear" w:color="auto" w:fill="FAFAFA"/>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440" w:type="dxa"/>
            <w:vAlign w:val="bottom"/>
            <w:shd w:val="clear" w:color="auto" w:fill="FAFAFA"/>
          </w:tcPr>
          <w:p>
            <w:pPr>
              <w:spacing w:after="0"/>
              <w:rPr>
                <w:sz w:val="19"/>
                <w:szCs w:val="19"/>
                <w:color w:val="auto"/>
              </w:rPr>
            </w:pPr>
          </w:p>
        </w:tc>
        <w:tc>
          <w:tcPr>
            <w:tcW w:w="900" w:type="dxa"/>
            <w:vAlign w:val="bottom"/>
            <w:shd w:val="clear" w:color="auto" w:fill="FAFAFA"/>
          </w:tcPr>
          <w:p>
            <w:pPr>
              <w:spacing w:after="0"/>
              <w:rPr>
                <w:sz w:val="19"/>
                <w:szCs w:val="19"/>
                <w:color w:val="auto"/>
              </w:rPr>
            </w:pPr>
          </w:p>
        </w:tc>
        <w:tc>
          <w:tcPr>
            <w:tcW w:w="760" w:type="dxa"/>
            <w:vAlign w:val="bottom"/>
            <w:shd w:val="clear" w:color="auto" w:fill="FAFAFA"/>
          </w:tcPr>
          <w:p>
            <w:pPr>
              <w:spacing w:after="0"/>
              <w:rPr>
                <w:sz w:val="19"/>
                <w:szCs w:val="19"/>
                <w:color w:val="auto"/>
              </w:rPr>
            </w:pPr>
          </w:p>
        </w:tc>
        <w:tc>
          <w:tcPr>
            <w:tcW w:w="2080" w:type="dxa"/>
            <w:vAlign w:val="bottom"/>
            <w:shd w:val="clear" w:color="auto" w:fill="FAFAFA"/>
          </w:tcPr>
          <w:p>
            <w:pPr>
              <w:spacing w:after="0"/>
              <w:rPr>
                <w:sz w:val="19"/>
                <w:szCs w:val="19"/>
                <w:color w:val="auto"/>
              </w:rPr>
            </w:pPr>
          </w:p>
        </w:tc>
        <w:tc>
          <w:tcPr>
            <w:tcW w:w="940" w:type="dxa"/>
            <w:vAlign w:val="bottom"/>
            <w:shd w:val="clear" w:color="auto" w:fill="FAFAFA"/>
          </w:tcPr>
          <w:p>
            <w:pPr>
              <w:spacing w:after="0"/>
              <w:rPr>
                <w:sz w:val="19"/>
                <w:szCs w:val="19"/>
                <w:color w:val="auto"/>
              </w:rPr>
            </w:pPr>
          </w:p>
        </w:tc>
        <w:tc>
          <w:tcPr>
            <w:tcW w:w="1020" w:type="dxa"/>
            <w:vAlign w:val="bottom"/>
            <w:shd w:val="clear" w:color="auto" w:fill="FAFAFA"/>
          </w:tcPr>
          <w:p>
            <w:pPr>
              <w:spacing w:after="0"/>
              <w:rPr>
                <w:sz w:val="19"/>
                <w:szCs w:val="19"/>
                <w:color w:val="auto"/>
              </w:rPr>
            </w:pPr>
          </w:p>
        </w:tc>
        <w:tc>
          <w:tcPr>
            <w:tcW w:w="1260" w:type="dxa"/>
            <w:vAlign w:val="bottom"/>
            <w:shd w:val="clear" w:color="auto" w:fill="FAFAFA"/>
          </w:tcPr>
          <w:p>
            <w:pPr>
              <w:spacing w:after="0"/>
              <w:rPr>
                <w:sz w:val="19"/>
                <w:szCs w:val="19"/>
                <w:color w:val="auto"/>
              </w:rPr>
            </w:pPr>
          </w:p>
        </w:tc>
        <w:tc>
          <w:tcPr>
            <w:tcW w:w="0" w:type="dxa"/>
            <w:vAlign w:val="bottom"/>
          </w:tcPr>
          <w:p>
            <w:pPr>
              <w:spacing w:after="0"/>
              <w:rPr>
                <w:sz w:val="1"/>
                <w:szCs w:val="1"/>
                <w:color w:val="auto"/>
              </w:rPr>
            </w:pPr>
          </w:p>
        </w:tc>
      </w:tr>
      <w:tr>
        <w:trPr>
          <w:trHeight w:val="552"/>
        </w:trPr>
        <w:tc>
          <w:tcPr>
            <w:tcW w:w="2440" w:type="dxa"/>
            <w:vAlign w:val="bottom"/>
            <w:shd w:val="clear" w:color="auto" w:fill="EBEBEB"/>
          </w:tcPr>
          <w:p>
            <w:pPr>
              <w:ind w:left="80"/>
              <w:spacing w:after="0"/>
              <w:rPr>
                <w:sz w:val="20"/>
                <w:szCs w:val="20"/>
                <w:color w:val="auto"/>
              </w:rPr>
            </w:pPr>
            <w:r>
              <w:rPr>
                <w:rFonts w:ascii="Arial" w:cs="Arial" w:eastAsia="Arial" w:hAnsi="Arial"/>
                <w:sz w:val="14"/>
                <w:szCs w:val="14"/>
                <w:b w:val="1"/>
                <w:bCs w:val="1"/>
                <w:color w:val="auto"/>
              </w:rPr>
              <w:t>Michael Panzara, M.D., M.P.H.</w:t>
            </w:r>
            <w:r>
              <w:rPr>
                <w:rFonts w:ascii="Arial" w:cs="Arial" w:eastAsia="Arial" w:hAnsi="Arial"/>
                <w:sz w:val="23"/>
                <w:szCs w:val="23"/>
                <w:color w:val="auto"/>
                <w:vertAlign w:val="superscript"/>
              </w:rPr>
              <w:t>(2)</w:t>
            </w:r>
          </w:p>
        </w:tc>
        <w:tc>
          <w:tcPr>
            <w:tcW w:w="90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I</w:t>
            </w:r>
          </w:p>
        </w:tc>
        <w:tc>
          <w:tcPr>
            <w:tcW w:w="76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56</w:t>
            </w:r>
          </w:p>
        </w:tc>
        <w:tc>
          <w:tcPr>
            <w:tcW w:w="2080" w:type="dxa"/>
            <w:vAlign w:val="bottom"/>
            <w:shd w:val="clear" w:color="auto" w:fill="EBEBEB"/>
          </w:tcPr>
          <w:p>
            <w:pPr>
              <w:ind w:left="220"/>
              <w:spacing w:after="0"/>
              <w:rPr>
                <w:sz w:val="20"/>
                <w:szCs w:val="20"/>
                <w:color w:val="auto"/>
              </w:rPr>
            </w:pPr>
            <w:r>
              <w:rPr>
                <w:rFonts w:ascii="Arial" w:cs="Arial" w:eastAsia="Arial" w:hAnsi="Arial"/>
                <w:sz w:val="14"/>
                <w:szCs w:val="14"/>
                <w:color w:val="auto"/>
              </w:rPr>
              <w:t>Director</w:t>
            </w:r>
          </w:p>
        </w:tc>
        <w:tc>
          <w:tcPr>
            <w:tcW w:w="94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2022</w:t>
            </w:r>
          </w:p>
        </w:tc>
        <w:tc>
          <w:tcPr>
            <w:tcW w:w="102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2024</w:t>
            </w:r>
          </w:p>
        </w:tc>
        <w:tc>
          <w:tcPr>
            <w:tcW w:w="1260" w:type="dxa"/>
            <w:vAlign w:val="bottom"/>
            <w:shd w:val="clear" w:color="auto" w:fill="EBEBEB"/>
          </w:tcPr>
          <w:p>
            <w:pPr>
              <w:jc w:val="center"/>
              <w:ind w:left="25"/>
              <w:spacing w:after="0"/>
              <w:rPr>
                <w:sz w:val="20"/>
                <w:szCs w:val="20"/>
                <w:color w:val="auto"/>
              </w:rPr>
            </w:pPr>
            <w:r>
              <w:rPr>
                <w:rFonts w:ascii="Arial" w:cs="Arial" w:eastAsia="Arial" w:hAnsi="Arial"/>
                <w:sz w:val="14"/>
                <w:szCs w:val="14"/>
                <w:color w:val="auto"/>
              </w:rPr>
              <w:t>2027</w:t>
            </w:r>
          </w:p>
        </w:tc>
        <w:tc>
          <w:tcPr>
            <w:tcW w:w="0" w:type="dxa"/>
            <w:vAlign w:val="bottom"/>
          </w:tcPr>
          <w:p>
            <w:pPr>
              <w:spacing w:after="0"/>
              <w:rPr>
                <w:sz w:val="1"/>
                <w:szCs w:val="1"/>
                <w:color w:val="auto"/>
              </w:rPr>
            </w:pPr>
          </w:p>
        </w:tc>
      </w:tr>
      <w:tr>
        <w:trPr>
          <w:trHeight w:val="123"/>
        </w:trPr>
        <w:tc>
          <w:tcPr>
            <w:tcW w:w="2440" w:type="dxa"/>
            <w:vAlign w:val="bottom"/>
            <w:shd w:val="clear" w:color="auto" w:fill="EBEBEB"/>
          </w:tcPr>
          <w:p>
            <w:pPr>
              <w:spacing w:after="0"/>
              <w:rPr>
                <w:sz w:val="10"/>
                <w:szCs w:val="10"/>
                <w:color w:val="auto"/>
              </w:rPr>
            </w:pPr>
          </w:p>
        </w:tc>
        <w:tc>
          <w:tcPr>
            <w:tcW w:w="900" w:type="dxa"/>
            <w:vAlign w:val="bottom"/>
            <w:shd w:val="clear" w:color="auto" w:fill="EBEBEB"/>
          </w:tcPr>
          <w:p>
            <w:pPr>
              <w:spacing w:after="0"/>
              <w:rPr>
                <w:sz w:val="10"/>
                <w:szCs w:val="10"/>
                <w:color w:val="auto"/>
              </w:rPr>
            </w:pPr>
          </w:p>
        </w:tc>
        <w:tc>
          <w:tcPr>
            <w:tcW w:w="760" w:type="dxa"/>
            <w:vAlign w:val="bottom"/>
            <w:shd w:val="clear" w:color="auto" w:fill="EBEBEB"/>
          </w:tcPr>
          <w:p>
            <w:pPr>
              <w:spacing w:after="0"/>
              <w:rPr>
                <w:sz w:val="10"/>
                <w:szCs w:val="10"/>
                <w:color w:val="auto"/>
              </w:rPr>
            </w:pPr>
          </w:p>
        </w:tc>
        <w:tc>
          <w:tcPr>
            <w:tcW w:w="2080" w:type="dxa"/>
            <w:vAlign w:val="bottom"/>
            <w:shd w:val="clear" w:color="auto" w:fill="EBEBEB"/>
          </w:tcPr>
          <w:p>
            <w:pPr>
              <w:spacing w:after="0"/>
              <w:rPr>
                <w:sz w:val="10"/>
                <w:szCs w:val="10"/>
                <w:color w:val="auto"/>
              </w:rPr>
            </w:pPr>
          </w:p>
        </w:tc>
        <w:tc>
          <w:tcPr>
            <w:tcW w:w="940" w:type="dxa"/>
            <w:vAlign w:val="bottom"/>
            <w:shd w:val="clear" w:color="auto" w:fill="EBEBEB"/>
          </w:tcPr>
          <w:p>
            <w:pPr>
              <w:spacing w:after="0"/>
              <w:rPr>
                <w:sz w:val="10"/>
                <w:szCs w:val="10"/>
                <w:color w:val="auto"/>
              </w:rPr>
            </w:pPr>
          </w:p>
        </w:tc>
        <w:tc>
          <w:tcPr>
            <w:tcW w:w="1020" w:type="dxa"/>
            <w:vAlign w:val="bottom"/>
            <w:shd w:val="clear" w:color="auto" w:fill="EBEBEB"/>
          </w:tcPr>
          <w:p>
            <w:pPr>
              <w:spacing w:after="0"/>
              <w:rPr>
                <w:sz w:val="10"/>
                <w:szCs w:val="10"/>
                <w:color w:val="auto"/>
              </w:rPr>
            </w:pPr>
          </w:p>
        </w:tc>
        <w:tc>
          <w:tcPr>
            <w:tcW w:w="1260" w:type="dxa"/>
            <w:vAlign w:val="bottom"/>
            <w:shd w:val="clear" w:color="auto" w:fill="EBEBEB"/>
          </w:tcPr>
          <w:p>
            <w:pPr>
              <w:spacing w:after="0"/>
              <w:rPr>
                <w:sz w:val="10"/>
                <w:szCs w:val="10"/>
                <w:color w:val="auto"/>
              </w:rPr>
            </w:pPr>
          </w:p>
        </w:tc>
        <w:tc>
          <w:tcPr>
            <w:tcW w:w="0" w:type="dxa"/>
            <w:vAlign w:val="bottom"/>
          </w:tcPr>
          <w:p>
            <w:pPr>
              <w:spacing w:after="0"/>
              <w:rPr>
                <w:sz w:val="1"/>
                <w:szCs w:val="1"/>
                <w:color w:val="auto"/>
              </w:rPr>
            </w:pPr>
          </w:p>
        </w:tc>
      </w:tr>
      <w:tr>
        <w:trPr>
          <w:trHeight w:val="430"/>
        </w:trPr>
        <w:tc>
          <w:tcPr>
            <w:tcW w:w="2440" w:type="dxa"/>
            <w:vAlign w:val="bottom"/>
            <w:shd w:val="clear" w:color="auto" w:fill="6CCAD0"/>
          </w:tcPr>
          <w:p>
            <w:pPr>
              <w:ind w:left="80"/>
              <w:spacing w:after="0"/>
              <w:rPr>
                <w:sz w:val="20"/>
                <w:szCs w:val="20"/>
                <w:color w:val="auto"/>
              </w:rPr>
            </w:pPr>
            <w:r>
              <w:rPr>
                <w:rFonts w:ascii="Arial" w:cs="Arial" w:eastAsia="Arial" w:hAnsi="Arial"/>
                <w:sz w:val="14"/>
                <w:szCs w:val="14"/>
                <w:b w:val="1"/>
                <w:bCs w:val="1"/>
                <w:color w:val="FFFFFF"/>
              </w:rPr>
              <w:t>CONTINUING DIRECTORS</w:t>
            </w:r>
          </w:p>
        </w:tc>
        <w:tc>
          <w:tcPr>
            <w:tcW w:w="900" w:type="dxa"/>
            <w:vAlign w:val="bottom"/>
            <w:shd w:val="clear" w:color="auto" w:fill="6CCAD0"/>
          </w:tcPr>
          <w:p>
            <w:pPr>
              <w:spacing w:after="0"/>
              <w:rPr>
                <w:sz w:val="24"/>
                <w:szCs w:val="24"/>
                <w:color w:val="auto"/>
              </w:rPr>
            </w:pPr>
          </w:p>
        </w:tc>
        <w:tc>
          <w:tcPr>
            <w:tcW w:w="760" w:type="dxa"/>
            <w:vAlign w:val="bottom"/>
            <w:shd w:val="clear" w:color="auto" w:fill="6CCAD0"/>
          </w:tcPr>
          <w:p>
            <w:pPr>
              <w:spacing w:after="0"/>
              <w:rPr>
                <w:sz w:val="24"/>
                <w:szCs w:val="24"/>
                <w:color w:val="auto"/>
              </w:rPr>
            </w:pPr>
          </w:p>
        </w:tc>
        <w:tc>
          <w:tcPr>
            <w:tcW w:w="2080" w:type="dxa"/>
            <w:vAlign w:val="bottom"/>
            <w:shd w:val="clear" w:color="auto" w:fill="6CCAD0"/>
          </w:tcPr>
          <w:p>
            <w:pPr>
              <w:spacing w:after="0"/>
              <w:rPr>
                <w:sz w:val="24"/>
                <w:szCs w:val="24"/>
                <w:color w:val="auto"/>
              </w:rPr>
            </w:pPr>
          </w:p>
        </w:tc>
        <w:tc>
          <w:tcPr>
            <w:tcW w:w="940" w:type="dxa"/>
            <w:vAlign w:val="bottom"/>
            <w:shd w:val="clear" w:color="auto" w:fill="6CCAD0"/>
          </w:tcPr>
          <w:p>
            <w:pPr>
              <w:spacing w:after="0"/>
              <w:rPr>
                <w:sz w:val="24"/>
                <w:szCs w:val="24"/>
                <w:color w:val="auto"/>
              </w:rPr>
            </w:pPr>
          </w:p>
        </w:tc>
        <w:tc>
          <w:tcPr>
            <w:tcW w:w="1020" w:type="dxa"/>
            <w:vAlign w:val="bottom"/>
            <w:shd w:val="clear" w:color="auto" w:fill="6CCAD0"/>
          </w:tcPr>
          <w:p>
            <w:pPr>
              <w:spacing w:after="0"/>
              <w:rPr>
                <w:sz w:val="24"/>
                <w:szCs w:val="24"/>
                <w:color w:val="auto"/>
              </w:rPr>
            </w:pPr>
          </w:p>
        </w:tc>
        <w:tc>
          <w:tcPr>
            <w:tcW w:w="1260" w:type="dxa"/>
            <w:vAlign w:val="bottom"/>
            <w:shd w:val="clear" w:color="auto" w:fill="6CCAD0"/>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440" w:type="dxa"/>
            <w:vAlign w:val="bottom"/>
            <w:shd w:val="clear" w:color="auto" w:fill="6CCAD0"/>
          </w:tcPr>
          <w:p>
            <w:pPr>
              <w:spacing w:after="0"/>
              <w:rPr>
                <w:sz w:val="18"/>
                <w:szCs w:val="18"/>
                <w:color w:val="auto"/>
              </w:rPr>
            </w:pPr>
          </w:p>
        </w:tc>
        <w:tc>
          <w:tcPr>
            <w:tcW w:w="900" w:type="dxa"/>
            <w:vAlign w:val="bottom"/>
            <w:shd w:val="clear" w:color="auto" w:fill="6CCAD0"/>
          </w:tcPr>
          <w:p>
            <w:pPr>
              <w:spacing w:after="0"/>
              <w:rPr>
                <w:sz w:val="18"/>
                <w:szCs w:val="18"/>
                <w:color w:val="auto"/>
              </w:rPr>
            </w:pPr>
          </w:p>
        </w:tc>
        <w:tc>
          <w:tcPr>
            <w:tcW w:w="760" w:type="dxa"/>
            <w:vAlign w:val="bottom"/>
            <w:shd w:val="clear" w:color="auto" w:fill="6CCAD0"/>
          </w:tcPr>
          <w:p>
            <w:pPr>
              <w:spacing w:after="0"/>
              <w:rPr>
                <w:sz w:val="18"/>
                <w:szCs w:val="18"/>
                <w:color w:val="auto"/>
              </w:rPr>
            </w:pPr>
          </w:p>
        </w:tc>
        <w:tc>
          <w:tcPr>
            <w:tcW w:w="2080" w:type="dxa"/>
            <w:vAlign w:val="bottom"/>
            <w:shd w:val="clear" w:color="auto" w:fill="6CCAD0"/>
          </w:tcPr>
          <w:p>
            <w:pPr>
              <w:spacing w:after="0"/>
              <w:rPr>
                <w:sz w:val="18"/>
                <w:szCs w:val="18"/>
                <w:color w:val="auto"/>
              </w:rPr>
            </w:pPr>
          </w:p>
        </w:tc>
        <w:tc>
          <w:tcPr>
            <w:tcW w:w="940" w:type="dxa"/>
            <w:vAlign w:val="bottom"/>
            <w:shd w:val="clear" w:color="auto" w:fill="6CCAD0"/>
          </w:tcPr>
          <w:p>
            <w:pPr>
              <w:spacing w:after="0"/>
              <w:rPr>
                <w:sz w:val="18"/>
                <w:szCs w:val="18"/>
                <w:color w:val="auto"/>
              </w:rPr>
            </w:pPr>
          </w:p>
        </w:tc>
        <w:tc>
          <w:tcPr>
            <w:tcW w:w="1020" w:type="dxa"/>
            <w:vAlign w:val="bottom"/>
            <w:shd w:val="clear" w:color="auto" w:fill="6CCAD0"/>
          </w:tcPr>
          <w:p>
            <w:pPr>
              <w:spacing w:after="0"/>
              <w:rPr>
                <w:sz w:val="18"/>
                <w:szCs w:val="18"/>
                <w:color w:val="auto"/>
              </w:rPr>
            </w:pPr>
          </w:p>
        </w:tc>
        <w:tc>
          <w:tcPr>
            <w:tcW w:w="1260" w:type="dxa"/>
            <w:vAlign w:val="bottom"/>
            <w:shd w:val="clear" w:color="auto" w:fill="6CCAD0"/>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2440" w:type="dxa"/>
            <w:vAlign w:val="bottom"/>
            <w:vMerge w:val="restart"/>
            <w:shd w:val="clear" w:color="auto" w:fill="FAFAFA"/>
          </w:tcPr>
          <w:p>
            <w:pPr>
              <w:ind w:left="80"/>
              <w:spacing w:after="0"/>
              <w:rPr>
                <w:sz w:val="20"/>
                <w:szCs w:val="20"/>
                <w:color w:val="auto"/>
              </w:rPr>
            </w:pPr>
            <w:r>
              <w:rPr>
                <w:rFonts w:ascii="Arial" w:cs="Arial" w:eastAsia="Arial" w:hAnsi="Arial"/>
                <w:sz w:val="14"/>
                <w:szCs w:val="14"/>
                <w:b w:val="1"/>
                <w:bCs w:val="1"/>
                <w:color w:val="auto"/>
              </w:rPr>
              <w:t>Kelly A. Romano</w:t>
            </w:r>
            <w:r>
              <w:rPr>
                <w:rFonts w:ascii="Arial" w:cs="Arial" w:eastAsia="Arial" w:hAnsi="Arial"/>
                <w:sz w:val="23"/>
                <w:szCs w:val="23"/>
                <w:color w:val="auto"/>
                <w:vertAlign w:val="superscript"/>
              </w:rPr>
              <w:t>(3)</w:t>
            </w:r>
          </w:p>
        </w:tc>
        <w:tc>
          <w:tcPr>
            <w:tcW w:w="900" w:type="dxa"/>
            <w:vAlign w:val="bottom"/>
            <w:vMerge w:val="restart"/>
            <w:shd w:val="clear" w:color="auto" w:fill="FAFAFA"/>
          </w:tcPr>
          <w:p>
            <w:pPr>
              <w:jc w:val="center"/>
              <w:spacing w:after="0"/>
              <w:rPr>
                <w:sz w:val="20"/>
                <w:szCs w:val="20"/>
                <w:color w:val="auto"/>
              </w:rPr>
            </w:pPr>
            <w:r>
              <w:rPr>
                <w:rFonts w:ascii="Arial" w:cs="Arial" w:eastAsia="Arial" w:hAnsi="Arial"/>
                <w:sz w:val="14"/>
                <w:szCs w:val="14"/>
                <w:color w:val="auto"/>
              </w:rPr>
              <w:t>III</w:t>
            </w:r>
          </w:p>
        </w:tc>
        <w:tc>
          <w:tcPr>
            <w:tcW w:w="760" w:type="dxa"/>
            <w:vAlign w:val="bottom"/>
            <w:vMerge w:val="restart"/>
            <w:shd w:val="clear" w:color="auto" w:fill="FAFAFA"/>
          </w:tcPr>
          <w:p>
            <w:pPr>
              <w:jc w:val="center"/>
              <w:spacing w:after="0"/>
              <w:rPr>
                <w:sz w:val="20"/>
                <w:szCs w:val="20"/>
                <w:color w:val="auto"/>
              </w:rPr>
            </w:pPr>
            <w:r>
              <w:rPr>
                <w:rFonts w:ascii="Arial" w:cs="Arial" w:eastAsia="Arial" w:hAnsi="Arial"/>
                <w:sz w:val="14"/>
                <w:szCs w:val="14"/>
                <w:color w:val="auto"/>
              </w:rPr>
              <w:t>62</w:t>
            </w:r>
          </w:p>
        </w:tc>
        <w:tc>
          <w:tcPr>
            <w:tcW w:w="2080" w:type="dxa"/>
            <w:vAlign w:val="bottom"/>
            <w:shd w:val="clear" w:color="auto" w:fill="FAFAFA"/>
          </w:tcPr>
          <w:p>
            <w:pPr>
              <w:ind w:left="220"/>
              <w:spacing w:after="0"/>
              <w:rPr>
                <w:sz w:val="20"/>
                <w:szCs w:val="20"/>
                <w:color w:val="auto"/>
              </w:rPr>
            </w:pPr>
            <w:r>
              <w:rPr>
                <w:rFonts w:ascii="Arial" w:cs="Arial" w:eastAsia="Arial" w:hAnsi="Arial"/>
                <w:sz w:val="14"/>
                <w:szCs w:val="14"/>
                <w:color w:val="auto"/>
              </w:rPr>
              <w:t>Chairwoman of the Board</w:t>
            </w:r>
          </w:p>
        </w:tc>
        <w:tc>
          <w:tcPr>
            <w:tcW w:w="940" w:type="dxa"/>
            <w:vAlign w:val="bottom"/>
            <w:vMerge w:val="restart"/>
            <w:shd w:val="clear" w:color="auto" w:fill="FAFAFA"/>
          </w:tcPr>
          <w:p>
            <w:pPr>
              <w:jc w:val="center"/>
              <w:spacing w:after="0"/>
              <w:rPr>
                <w:sz w:val="20"/>
                <w:szCs w:val="20"/>
                <w:color w:val="auto"/>
              </w:rPr>
            </w:pPr>
            <w:r>
              <w:rPr>
                <w:rFonts w:ascii="Arial" w:cs="Arial" w:eastAsia="Arial" w:hAnsi="Arial"/>
                <w:sz w:val="14"/>
                <w:szCs w:val="14"/>
                <w:color w:val="auto"/>
              </w:rPr>
              <w:t>2020</w:t>
            </w:r>
          </w:p>
        </w:tc>
        <w:tc>
          <w:tcPr>
            <w:tcW w:w="1020" w:type="dxa"/>
            <w:vAlign w:val="bottom"/>
            <w:vMerge w:val="restart"/>
            <w:shd w:val="clear" w:color="auto" w:fill="FAFAFA"/>
          </w:tcPr>
          <w:p>
            <w:pPr>
              <w:jc w:val="center"/>
              <w:spacing w:after="0"/>
              <w:rPr>
                <w:sz w:val="20"/>
                <w:szCs w:val="20"/>
                <w:color w:val="auto"/>
              </w:rPr>
            </w:pPr>
            <w:r>
              <w:rPr>
                <w:rFonts w:ascii="Arial" w:cs="Arial" w:eastAsia="Arial" w:hAnsi="Arial"/>
                <w:sz w:val="14"/>
                <w:szCs w:val="14"/>
                <w:color w:val="auto"/>
              </w:rPr>
              <w:t>2026</w:t>
            </w:r>
          </w:p>
        </w:tc>
        <w:tc>
          <w:tcPr>
            <w:tcW w:w="1260" w:type="dxa"/>
            <w:vAlign w:val="bottom"/>
            <w:vMerge w:val="restart"/>
            <w:shd w:val="clear" w:color="auto" w:fill="FAFAFA"/>
          </w:tcPr>
          <w:p>
            <w:pPr>
              <w:jc w:val="center"/>
              <w:ind w:left="2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4"/>
        </w:trPr>
        <w:tc>
          <w:tcPr>
            <w:tcW w:w="2440" w:type="dxa"/>
            <w:vAlign w:val="bottom"/>
            <w:vMerge w:val="continue"/>
            <w:shd w:val="clear" w:color="auto" w:fill="FAFAFA"/>
          </w:tcPr>
          <w:p>
            <w:pPr>
              <w:spacing w:after="0"/>
              <w:rPr>
                <w:sz w:val="12"/>
                <w:szCs w:val="12"/>
                <w:color w:val="auto"/>
              </w:rPr>
            </w:pPr>
          </w:p>
        </w:tc>
        <w:tc>
          <w:tcPr>
            <w:tcW w:w="900" w:type="dxa"/>
            <w:vAlign w:val="bottom"/>
            <w:vMerge w:val="continue"/>
            <w:shd w:val="clear" w:color="auto" w:fill="FAFAFA"/>
          </w:tcPr>
          <w:p>
            <w:pPr>
              <w:spacing w:after="0"/>
              <w:rPr>
                <w:sz w:val="12"/>
                <w:szCs w:val="12"/>
                <w:color w:val="auto"/>
              </w:rPr>
            </w:pPr>
          </w:p>
        </w:tc>
        <w:tc>
          <w:tcPr>
            <w:tcW w:w="760" w:type="dxa"/>
            <w:vAlign w:val="bottom"/>
            <w:vMerge w:val="continue"/>
            <w:shd w:val="clear" w:color="auto" w:fill="FAFAFA"/>
          </w:tcPr>
          <w:p>
            <w:pPr>
              <w:spacing w:after="0"/>
              <w:rPr>
                <w:sz w:val="12"/>
                <w:szCs w:val="12"/>
                <w:color w:val="auto"/>
              </w:rPr>
            </w:pPr>
          </w:p>
        </w:tc>
        <w:tc>
          <w:tcPr>
            <w:tcW w:w="2080" w:type="dxa"/>
            <w:vAlign w:val="bottom"/>
            <w:vMerge w:val="restart"/>
            <w:shd w:val="clear" w:color="auto" w:fill="FAFAFA"/>
          </w:tcPr>
          <w:p>
            <w:pPr>
              <w:ind w:left="220"/>
              <w:spacing w:after="0"/>
              <w:rPr>
                <w:sz w:val="20"/>
                <w:szCs w:val="20"/>
                <w:color w:val="auto"/>
              </w:rPr>
            </w:pPr>
            <w:r>
              <w:rPr>
                <w:rFonts w:ascii="Arial" w:cs="Arial" w:eastAsia="Arial" w:hAnsi="Arial"/>
                <w:sz w:val="14"/>
                <w:szCs w:val="14"/>
                <w:color w:val="auto"/>
              </w:rPr>
              <w:t>of Directors</w:t>
            </w:r>
          </w:p>
        </w:tc>
        <w:tc>
          <w:tcPr>
            <w:tcW w:w="940" w:type="dxa"/>
            <w:vAlign w:val="bottom"/>
            <w:vMerge w:val="continue"/>
            <w:shd w:val="clear" w:color="auto" w:fill="FAFAFA"/>
          </w:tcPr>
          <w:p>
            <w:pPr>
              <w:spacing w:after="0"/>
              <w:rPr>
                <w:sz w:val="12"/>
                <w:szCs w:val="12"/>
                <w:color w:val="auto"/>
              </w:rPr>
            </w:pPr>
          </w:p>
        </w:tc>
        <w:tc>
          <w:tcPr>
            <w:tcW w:w="1020" w:type="dxa"/>
            <w:vAlign w:val="bottom"/>
            <w:vMerge w:val="continue"/>
            <w:shd w:val="clear" w:color="auto" w:fill="FAFAFA"/>
          </w:tcPr>
          <w:p>
            <w:pPr>
              <w:spacing w:after="0"/>
              <w:rPr>
                <w:sz w:val="12"/>
                <w:szCs w:val="12"/>
                <w:color w:val="auto"/>
              </w:rPr>
            </w:pPr>
          </w:p>
        </w:tc>
        <w:tc>
          <w:tcPr>
            <w:tcW w:w="1260" w:type="dxa"/>
            <w:vAlign w:val="bottom"/>
            <w:vMerge w:val="continue"/>
            <w:shd w:val="clear" w:color="auto" w:fill="FAFAFA"/>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2440" w:type="dxa"/>
            <w:vAlign w:val="bottom"/>
            <w:shd w:val="clear" w:color="auto" w:fill="FAFAFA"/>
          </w:tcPr>
          <w:p>
            <w:pPr>
              <w:spacing w:after="0"/>
              <w:rPr>
                <w:sz w:val="4"/>
                <w:szCs w:val="4"/>
                <w:color w:val="auto"/>
              </w:rPr>
            </w:pPr>
          </w:p>
        </w:tc>
        <w:tc>
          <w:tcPr>
            <w:tcW w:w="900" w:type="dxa"/>
            <w:vAlign w:val="bottom"/>
            <w:shd w:val="clear" w:color="auto" w:fill="FAFAFA"/>
          </w:tcPr>
          <w:p>
            <w:pPr>
              <w:spacing w:after="0"/>
              <w:rPr>
                <w:sz w:val="4"/>
                <w:szCs w:val="4"/>
                <w:color w:val="auto"/>
              </w:rPr>
            </w:pPr>
          </w:p>
        </w:tc>
        <w:tc>
          <w:tcPr>
            <w:tcW w:w="760" w:type="dxa"/>
            <w:vAlign w:val="bottom"/>
            <w:shd w:val="clear" w:color="auto" w:fill="FAFAFA"/>
          </w:tcPr>
          <w:p>
            <w:pPr>
              <w:spacing w:after="0"/>
              <w:rPr>
                <w:sz w:val="4"/>
                <w:szCs w:val="4"/>
                <w:color w:val="auto"/>
              </w:rPr>
            </w:pPr>
          </w:p>
        </w:tc>
        <w:tc>
          <w:tcPr>
            <w:tcW w:w="2080" w:type="dxa"/>
            <w:vAlign w:val="bottom"/>
            <w:vMerge w:val="continue"/>
            <w:shd w:val="clear" w:color="auto" w:fill="FAFAFA"/>
          </w:tcPr>
          <w:p>
            <w:pPr>
              <w:spacing w:after="0"/>
              <w:rPr>
                <w:sz w:val="4"/>
                <w:szCs w:val="4"/>
                <w:color w:val="auto"/>
              </w:rPr>
            </w:pPr>
          </w:p>
        </w:tc>
        <w:tc>
          <w:tcPr>
            <w:tcW w:w="940" w:type="dxa"/>
            <w:vAlign w:val="bottom"/>
            <w:shd w:val="clear" w:color="auto" w:fill="FAFAFA"/>
          </w:tcPr>
          <w:p>
            <w:pPr>
              <w:spacing w:after="0"/>
              <w:rPr>
                <w:sz w:val="4"/>
                <w:szCs w:val="4"/>
                <w:color w:val="auto"/>
              </w:rPr>
            </w:pPr>
          </w:p>
        </w:tc>
        <w:tc>
          <w:tcPr>
            <w:tcW w:w="1020" w:type="dxa"/>
            <w:vAlign w:val="bottom"/>
            <w:shd w:val="clear" w:color="auto" w:fill="FAFAFA"/>
          </w:tcPr>
          <w:p>
            <w:pPr>
              <w:spacing w:after="0"/>
              <w:rPr>
                <w:sz w:val="4"/>
                <w:szCs w:val="4"/>
                <w:color w:val="auto"/>
              </w:rPr>
            </w:pPr>
          </w:p>
        </w:tc>
        <w:tc>
          <w:tcPr>
            <w:tcW w:w="1260" w:type="dxa"/>
            <w:vAlign w:val="bottom"/>
            <w:shd w:val="clear" w:color="auto" w:fill="FAFAFA"/>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440" w:type="dxa"/>
            <w:vAlign w:val="bottom"/>
            <w:shd w:val="clear" w:color="auto" w:fill="FAFAFA"/>
          </w:tcPr>
          <w:p>
            <w:pPr>
              <w:spacing w:after="0"/>
              <w:rPr>
                <w:sz w:val="19"/>
                <w:szCs w:val="19"/>
                <w:color w:val="auto"/>
              </w:rPr>
            </w:pPr>
          </w:p>
        </w:tc>
        <w:tc>
          <w:tcPr>
            <w:tcW w:w="900" w:type="dxa"/>
            <w:vAlign w:val="bottom"/>
            <w:shd w:val="clear" w:color="auto" w:fill="FAFAFA"/>
          </w:tcPr>
          <w:p>
            <w:pPr>
              <w:spacing w:after="0"/>
              <w:rPr>
                <w:sz w:val="19"/>
                <w:szCs w:val="19"/>
                <w:color w:val="auto"/>
              </w:rPr>
            </w:pPr>
          </w:p>
        </w:tc>
        <w:tc>
          <w:tcPr>
            <w:tcW w:w="760" w:type="dxa"/>
            <w:vAlign w:val="bottom"/>
            <w:shd w:val="clear" w:color="auto" w:fill="FAFAFA"/>
          </w:tcPr>
          <w:p>
            <w:pPr>
              <w:spacing w:after="0"/>
              <w:rPr>
                <w:sz w:val="19"/>
                <w:szCs w:val="19"/>
                <w:color w:val="auto"/>
              </w:rPr>
            </w:pPr>
          </w:p>
        </w:tc>
        <w:tc>
          <w:tcPr>
            <w:tcW w:w="2080" w:type="dxa"/>
            <w:vAlign w:val="bottom"/>
            <w:shd w:val="clear" w:color="auto" w:fill="FAFAFA"/>
          </w:tcPr>
          <w:p>
            <w:pPr>
              <w:spacing w:after="0"/>
              <w:rPr>
                <w:sz w:val="19"/>
                <w:szCs w:val="19"/>
                <w:color w:val="auto"/>
              </w:rPr>
            </w:pPr>
          </w:p>
        </w:tc>
        <w:tc>
          <w:tcPr>
            <w:tcW w:w="940" w:type="dxa"/>
            <w:vAlign w:val="bottom"/>
            <w:shd w:val="clear" w:color="auto" w:fill="FAFAFA"/>
          </w:tcPr>
          <w:p>
            <w:pPr>
              <w:spacing w:after="0"/>
              <w:rPr>
                <w:sz w:val="19"/>
                <w:szCs w:val="19"/>
                <w:color w:val="auto"/>
              </w:rPr>
            </w:pPr>
          </w:p>
        </w:tc>
        <w:tc>
          <w:tcPr>
            <w:tcW w:w="1020" w:type="dxa"/>
            <w:vAlign w:val="bottom"/>
            <w:shd w:val="clear" w:color="auto" w:fill="FAFAFA"/>
          </w:tcPr>
          <w:p>
            <w:pPr>
              <w:spacing w:after="0"/>
              <w:rPr>
                <w:sz w:val="19"/>
                <w:szCs w:val="19"/>
                <w:color w:val="auto"/>
              </w:rPr>
            </w:pPr>
          </w:p>
        </w:tc>
        <w:tc>
          <w:tcPr>
            <w:tcW w:w="1260" w:type="dxa"/>
            <w:vAlign w:val="bottom"/>
            <w:shd w:val="clear" w:color="auto" w:fill="FAFAFA"/>
          </w:tcPr>
          <w:p>
            <w:pPr>
              <w:spacing w:after="0"/>
              <w:rPr>
                <w:sz w:val="19"/>
                <w:szCs w:val="19"/>
                <w:color w:val="auto"/>
              </w:rPr>
            </w:pPr>
          </w:p>
        </w:tc>
        <w:tc>
          <w:tcPr>
            <w:tcW w:w="0" w:type="dxa"/>
            <w:vAlign w:val="bottom"/>
          </w:tcPr>
          <w:p>
            <w:pPr>
              <w:spacing w:after="0"/>
              <w:rPr>
                <w:sz w:val="1"/>
                <w:szCs w:val="1"/>
                <w:color w:val="auto"/>
              </w:rPr>
            </w:pPr>
          </w:p>
        </w:tc>
      </w:tr>
      <w:tr>
        <w:trPr>
          <w:trHeight w:val="552"/>
        </w:trPr>
        <w:tc>
          <w:tcPr>
            <w:tcW w:w="2440" w:type="dxa"/>
            <w:vAlign w:val="bottom"/>
            <w:shd w:val="clear" w:color="auto" w:fill="EBEBEB"/>
          </w:tcPr>
          <w:p>
            <w:pPr>
              <w:ind w:left="80"/>
              <w:spacing w:after="0"/>
              <w:rPr>
                <w:sz w:val="20"/>
                <w:szCs w:val="20"/>
                <w:color w:val="auto"/>
              </w:rPr>
            </w:pPr>
            <w:r>
              <w:rPr>
                <w:rFonts w:ascii="Arial" w:cs="Arial" w:eastAsia="Arial" w:hAnsi="Arial"/>
                <w:sz w:val="14"/>
                <w:szCs w:val="14"/>
                <w:b w:val="1"/>
                <w:bCs w:val="1"/>
                <w:color w:val="auto"/>
              </w:rPr>
              <w:t>Joseph Edelman</w:t>
            </w:r>
            <w:r>
              <w:rPr>
                <w:rFonts w:ascii="Arial" w:cs="Arial" w:eastAsia="Arial" w:hAnsi="Arial"/>
                <w:sz w:val="23"/>
                <w:szCs w:val="23"/>
                <w:color w:val="auto"/>
                <w:vertAlign w:val="superscript"/>
              </w:rPr>
              <w:t>(2)</w:t>
            </w:r>
          </w:p>
        </w:tc>
        <w:tc>
          <w:tcPr>
            <w:tcW w:w="90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II</w:t>
            </w:r>
          </w:p>
        </w:tc>
        <w:tc>
          <w:tcPr>
            <w:tcW w:w="76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68</w:t>
            </w:r>
          </w:p>
        </w:tc>
        <w:tc>
          <w:tcPr>
            <w:tcW w:w="2080" w:type="dxa"/>
            <w:vAlign w:val="bottom"/>
            <w:shd w:val="clear" w:color="auto" w:fill="EBEBEB"/>
          </w:tcPr>
          <w:p>
            <w:pPr>
              <w:ind w:left="220"/>
              <w:spacing w:after="0"/>
              <w:rPr>
                <w:sz w:val="20"/>
                <w:szCs w:val="20"/>
                <w:color w:val="auto"/>
              </w:rPr>
            </w:pPr>
            <w:r>
              <w:rPr>
                <w:rFonts w:ascii="Arial" w:cs="Arial" w:eastAsia="Arial" w:hAnsi="Arial"/>
                <w:sz w:val="14"/>
                <w:szCs w:val="14"/>
                <w:color w:val="auto"/>
              </w:rPr>
              <w:t>Director</w:t>
            </w:r>
          </w:p>
        </w:tc>
        <w:tc>
          <w:tcPr>
            <w:tcW w:w="94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2020</w:t>
            </w:r>
          </w:p>
        </w:tc>
        <w:tc>
          <w:tcPr>
            <w:tcW w:w="102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2025</w:t>
            </w:r>
          </w:p>
        </w:tc>
        <w:tc>
          <w:tcPr>
            <w:tcW w:w="1260" w:type="dxa"/>
            <w:vAlign w:val="bottom"/>
            <w:shd w:val="clear" w:color="auto" w:fill="EBEBEB"/>
          </w:tcPr>
          <w:p>
            <w:pPr>
              <w:jc w:val="center"/>
              <w:ind w:left="2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2440" w:type="dxa"/>
            <w:vAlign w:val="bottom"/>
            <w:shd w:val="clear" w:color="auto" w:fill="EBEBEB"/>
          </w:tcPr>
          <w:p>
            <w:pPr>
              <w:spacing w:after="0"/>
              <w:rPr>
                <w:sz w:val="10"/>
                <w:szCs w:val="10"/>
                <w:color w:val="auto"/>
              </w:rPr>
            </w:pPr>
          </w:p>
        </w:tc>
        <w:tc>
          <w:tcPr>
            <w:tcW w:w="900" w:type="dxa"/>
            <w:vAlign w:val="bottom"/>
            <w:shd w:val="clear" w:color="auto" w:fill="EBEBEB"/>
          </w:tcPr>
          <w:p>
            <w:pPr>
              <w:spacing w:after="0"/>
              <w:rPr>
                <w:sz w:val="10"/>
                <w:szCs w:val="10"/>
                <w:color w:val="auto"/>
              </w:rPr>
            </w:pPr>
          </w:p>
        </w:tc>
        <w:tc>
          <w:tcPr>
            <w:tcW w:w="760" w:type="dxa"/>
            <w:vAlign w:val="bottom"/>
            <w:shd w:val="clear" w:color="auto" w:fill="EBEBEB"/>
          </w:tcPr>
          <w:p>
            <w:pPr>
              <w:spacing w:after="0"/>
              <w:rPr>
                <w:sz w:val="10"/>
                <w:szCs w:val="10"/>
                <w:color w:val="auto"/>
              </w:rPr>
            </w:pPr>
          </w:p>
        </w:tc>
        <w:tc>
          <w:tcPr>
            <w:tcW w:w="2080" w:type="dxa"/>
            <w:vAlign w:val="bottom"/>
            <w:shd w:val="clear" w:color="auto" w:fill="EBEBEB"/>
          </w:tcPr>
          <w:p>
            <w:pPr>
              <w:spacing w:after="0"/>
              <w:rPr>
                <w:sz w:val="10"/>
                <w:szCs w:val="10"/>
                <w:color w:val="auto"/>
              </w:rPr>
            </w:pPr>
          </w:p>
        </w:tc>
        <w:tc>
          <w:tcPr>
            <w:tcW w:w="940" w:type="dxa"/>
            <w:vAlign w:val="bottom"/>
            <w:shd w:val="clear" w:color="auto" w:fill="EBEBEB"/>
          </w:tcPr>
          <w:p>
            <w:pPr>
              <w:spacing w:after="0"/>
              <w:rPr>
                <w:sz w:val="10"/>
                <w:szCs w:val="10"/>
                <w:color w:val="auto"/>
              </w:rPr>
            </w:pPr>
          </w:p>
        </w:tc>
        <w:tc>
          <w:tcPr>
            <w:tcW w:w="1020" w:type="dxa"/>
            <w:vAlign w:val="bottom"/>
            <w:shd w:val="clear" w:color="auto" w:fill="EBEBEB"/>
          </w:tcPr>
          <w:p>
            <w:pPr>
              <w:spacing w:after="0"/>
              <w:rPr>
                <w:sz w:val="10"/>
                <w:szCs w:val="10"/>
                <w:color w:val="auto"/>
              </w:rPr>
            </w:pPr>
          </w:p>
        </w:tc>
        <w:tc>
          <w:tcPr>
            <w:tcW w:w="1260" w:type="dxa"/>
            <w:vAlign w:val="bottom"/>
            <w:shd w:val="clear" w:color="auto" w:fill="EBEBEB"/>
          </w:tcPr>
          <w:p>
            <w:pPr>
              <w:spacing w:after="0"/>
              <w:rPr>
                <w:sz w:val="10"/>
                <w:szCs w:val="10"/>
                <w:color w:val="auto"/>
              </w:rPr>
            </w:pPr>
          </w:p>
        </w:tc>
        <w:tc>
          <w:tcPr>
            <w:tcW w:w="0" w:type="dxa"/>
            <w:vAlign w:val="bottom"/>
          </w:tcPr>
          <w:p>
            <w:pPr>
              <w:spacing w:after="0"/>
              <w:rPr>
                <w:sz w:val="1"/>
                <w:szCs w:val="1"/>
                <w:color w:val="auto"/>
              </w:rPr>
            </w:pPr>
          </w:p>
        </w:tc>
      </w:tr>
      <w:tr>
        <w:trPr>
          <w:trHeight w:val="552"/>
        </w:trPr>
        <w:tc>
          <w:tcPr>
            <w:tcW w:w="2440" w:type="dxa"/>
            <w:vAlign w:val="bottom"/>
            <w:shd w:val="clear" w:color="auto" w:fill="FAFAFA"/>
          </w:tcPr>
          <w:p>
            <w:pPr>
              <w:ind w:left="80"/>
              <w:spacing w:after="0"/>
              <w:rPr>
                <w:sz w:val="20"/>
                <w:szCs w:val="20"/>
                <w:color w:val="auto"/>
              </w:rPr>
            </w:pPr>
            <w:r>
              <w:rPr>
                <w:rFonts w:ascii="Arial" w:cs="Arial" w:eastAsia="Arial" w:hAnsi="Arial"/>
                <w:sz w:val="14"/>
                <w:szCs w:val="14"/>
                <w:b w:val="1"/>
                <w:bCs w:val="1"/>
                <w:color w:val="auto"/>
              </w:rPr>
              <w:t>John M. Fluke, Jr.</w:t>
            </w:r>
            <w:r>
              <w:rPr>
                <w:rFonts w:ascii="Arial" w:cs="Arial" w:eastAsia="Arial" w:hAnsi="Arial"/>
                <w:sz w:val="23"/>
                <w:szCs w:val="23"/>
                <w:color w:val="auto"/>
                <w:vertAlign w:val="superscript"/>
              </w:rPr>
              <w:t>(4)</w:t>
            </w:r>
          </w:p>
        </w:tc>
        <w:tc>
          <w:tcPr>
            <w:tcW w:w="900" w:type="dxa"/>
            <w:vAlign w:val="bottom"/>
            <w:shd w:val="clear" w:color="auto" w:fill="FAFAFA"/>
          </w:tcPr>
          <w:p>
            <w:pPr>
              <w:jc w:val="center"/>
              <w:spacing w:after="0"/>
              <w:rPr>
                <w:sz w:val="20"/>
                <w:szCs w:val="20"/>
                <w:color w:val="auto"/>
              </w:rPr>
            </w:pPr>
            <w:r>
              <w:rPr>
                <w:rFonts w:ascii="Arial" w:cs="Arial" w:eastAsia="Arial" w:hAnsi="Arial"/>
                <w:sz w:val="14"/>
                <w:szCs w:val="14"/>
                <w:color w:val="auto"/>
              </w:rPr>
              <w:t>II</w:t>
            </w:r>
          </w:p>
        </w:tc>
        <w:tc>
          <w:tcPr>
            <w:tcW w:w="760" w:type="dxa"/>
            <w:vAlign w:val="bottom"/>
            <w:shd w:val="clear" w:color="auto" w:fill="FAFAFA"/>
          </w:tcPr>
          <w:p>
            <w:pPr>
              <w:jc w:val="center"/>
              <w:spacing w:after="0"/>
              <w:rPr>
                <w:sz w:val="20"/>
                <w:szCs w:val="20"/>
                <w:color w:val="auto"/>
              </w:rPr>
            </w:pPr>
            <w:r>
              <w:rPr>
                <w:rFonts w:ascii="Arial" w:cs="Arial" w:eastAsia="Arial" w:hAnsi="Arial"/>
                <w:sz w:val="14"/>
                <w:szCs w:val="14"/>
                <w:color w:val="auto"/>
              </w:rPr>
              <w:t>81</w:t>
            </w:r>
          </w:p>
        </w:tc>
        <w:tc>
          <w:tcPr>
            <w:tcW w:w="2080" w:type="dxa"/>
            <w:vAlign w:val="bottom"/>
            <w:shd w:val="clear" w:color="auto" w:fill="FAFAFA"/>
          </w:tcPr>
          <w:p>
            <w:pPr>
              <w:ind w:left="220"/>
              <w:spacing w:after="0"/>
              <w:rPr>
                <w:sz w:val="20"/>
                <w:szCs w:val="20"/>
                <w:color w:val="auto"/>
              </w:rPr>
            </w:pPr>
            <w:r>
              <w:rPr>
                <w:rFonts w:ascii="Arial" w:cs="Arial" w:eastAsia="Arial" w:hAnsi="Arial"/>
                <w:sz w:val="14"/>
                <w:szCs w:val="14"/>
                <w:color w:val="auto"/>
              </w:rPr>
              <w:t>Director</w:t>
            </w:r>
          </w:p>
        </w:tc>
        <w:tc>
          <w:tcPr>
            <w:tcW w:w="940" w:type="dxa"/>
            <w:vAlign w:val="bottom"/>
            <w:shd w:val="clear" w:color="auto" w:fill="FAFAFA"/>
          </w:tcPr>
          <w:p>
            <w:pPr>
              <w:jc w:val="center"/>
              <w:spacing w:after="0"/>
              <w:rPr>
                <w:sz w:val="20"/>
                <w:szCs w:val="20"/>
                <w:color w:val="auto"/>
              </w:rPr>
            </w:pPr>
            <w:r>
              <w:rPr>
                <w:rFonts w:ascii="Arial" w:cs="Arial" w:eastAsia="Arial" w:hAnsi="Arial"/>
                <w:sz w:val="14"/>
                <w:szCs w:val="14"/>
                <w:color w:val="auto"/>
              </w:rPr>
              <w:t>2014</w:t>
            </w:r>
          </w:p>
        </w:tc>
        <w:tc>
          <w:tcPr>
            <w:tcW w:w="1020" w:type="dxa"/>
            <w:vAlign w:val="bottom"/>
            <w:shd w:val="clear" w:color="auto" w:fill="FAFAFA"/>
          </w:tcPr>
          <w:p>
            <w:pPr>
              <w:jc w:val="center"/>
              <w:spacing w:after="0"/>
              <w:rPr>
                <w:sz w:val="20"/>
                <w:szCs w:val="20"/>
                <w:color w:val="auto"/>
              </w:rPr>
            </w:pPr>
            <w:r>
              <w:rPr>
                <w:rFonts w:ascii="Arial" w:cs="Arial" w:eastAsia="Arial" w:hAnsi="Arial"/>
                <w:sz w:val="14"/>
                <w:szCs w:val="14"/>
                <w:color w:val="auto"/>
              </w:rPr>
              <w:t>2025</w:t>
            </w:r>
          </w:p>
        </w:tc>
        <w:tc>
          <w:tcPr>
            <w:tcW w:w="1260" w:type="dxa"/>
            <w:vAlign w:val="bottom"/>
            <w:shd w:val="clear" w:color="auto" w:fill="FAFAFA"/>
          </w:tcPr>
          <w:p>
            <w:pPr>
              <w:jc w:val="center"/>
              <w:ind w:left="2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2440" w:type="dxa"/>
            <w:vAlign w:val="bottom"/>
            <w:shd w:val="clear" w:color="auto" w:fill="FAFAFA"/>
          </w:tcPr>
          <w:p>
            <w:pPr>
              <w:spacing w:after="0"/>
              <w:rPr>
                <w:sz w:val="10"/>
                <w:szCs w:val="10"/>
                <w:color w:val="auto"/>
              </w:rPr>
            </w:pPr>
          </w:p>
        </w:tc>
        <w:tc>
          <w:tcPr>
            <w:tcW w:w="900" w:type="dxa"/>
            <w:vAlign w:val="bottom"/>
            <w:shd w:val="clear" w:color="auto" w:fill="FAFAFA"/>
          </w:tcPr>
          <w:p>
            <w:pPr>
              <w:spacing w:after="0"/>
              <w:rPr>
                <w:sz w:val="10"/>
                <w:szCs w:val="10"/>
                <w:color w:val="auto"/>
              </w:rPr>
            </w:pPr>
          </w:p>
        </w:tc>
        <w:tc>
          <w:tcPr>
            <w:tcW w:w="760" w:type="dxa"/>
            <w:vAlign w:val="bottom"/>
            <w:shd w:val="clear" w:color="auto" w:fill="FAFAFA"/>
          </w:tcPr>
          <w:p>
            <w:pPr>
              <w:spacing w:after="0"/>
              <w:rPr>
                <w:sz w:val="10"/>
                <w:szCs w:val="10"/>
                <w:color w:val="auto"/>
              </w:rPr>
            </w:pPr>
          </w:p>
        </w:tc>
        <w:tc>
          <w:tcPr>
            <w:tcW w:w="2080" w:type="dxa"/>
            <w:vAlign w:val="bottom"/>
            <w:shd w:val="clear" w:color="auto" w:fill="FAFAFA"/>
          </w:tcPr>
          <w:p>
            <w:pPr>
              <w:spacing w:after="0"/>
              <w:rPr>
                <w:sz w:val="10"/>
                <w:szCs w:val="10"/>
                <w:color w:val="auto"/>
              </w:rPr>
            </w:pPr>
          </w:p>
        </w:tc>
        <w:tc>
          <w:tcPr>
            <w:tcW w:w="940" w:type="dxa"/>
            <w:vAlign w:val="bottom"/>
            <w:shd w:val="clear" w:color="auto" w:fill="FAFAFA"/>
          </w:tcPr>
          <w:p>
            <w:pPr>
              <w:spacing w:after="0"/>
              <w:rPr>
                <w:sz w:val="10"/>
                <w:szCs w:val="10"/>
                <w:color w:val="auto"/>
              </w:rPr>
            </w:pPr>
          </w:p>
        </w:tc>
        <w:tc>
          <w:tcPr>
            <w:tcW w:w="1020" w:type="dxa"/>
            <w:vAlign w:val="bottom"/>
            <w:shd w:val="clear" w:color="auto" w:fill="FAFAFA"/>
          </w:tcPr>
          <w:p>
            <w:pPr>
              <w:spacing w:after="0"/>
              <w:rPr>
                <w:sz w:val="10"/>
                <w:szCs w:val="10"/>
                <w:color w:val="auto"/>
              </w:rPr>
            </w:pPr>
          </w:p>
        </w:tc>
        <w:tc>
          <w:tcPr>
            <w:tcW w:w="1260" w:type="dxa"/>
            <w:vAlign w:val="bottom"/>
            <w:shd w:val="clear" w:color="auto" w:fill="FAFAFA"/>
          </w:tcPr>
          <w:p>
            <w:pPr>
              <w:spacing w:after="0"/>
              <w:rPr>
                <w:sz w:val="10"/>
                <w:szCs w:val="10"/>
                <w:color w:val="auto"/>
              </w:rPr>
            </w:pPr>
          </w:p>
        </w:tc>
        <w:tc>
          <w:tcPr>
            <w:tcW w:w="0" w:type="dxa"/>
            <w:vAlign w:val="bottom"/>
          </w:tcPr>
          <w:p>
            <w:pPr>
              <w:spacing w:after="0"/>
              <w:rPr>
                <w:sz w:val="1"/>
                <w:szCs w:val="1"/>
                <w:color w:val="auto"/>
              </w:rPr>
            </w:pPr>
          </w:p>
        </w:tc>
      </w:tr>
      <w:tr>
        <w:trPr>
          <w:trHeight w:val="552"/>
        </w:trPr>
        <w:tc>
          <w:tcPr>
            <w:tcW w:w="2440" w:type="dxa"/>
            <w:vAlign w:val="bottom"/>
            <w:shd w:val="clear" w:color="auto" w:fill="EBEBEB"/>
          </w:tcPr>
          <w:p>
            <w:pPr>
              <w:ind w:left="80"/>
              <w:spacing w:after="0"/>
              <w:rPr>
                <w:sz w:val="20"/>
                <w:szCs w:val="20"/>
                <w:color w:val="auto"/>
              </w:rPr>
            </w:pPr>
            <w:r>
              <w:rPr>
                <w:rFonts w:ascii="Arial" w:cs="Arial" w:eastAsia="Arial" w:hAnsi="Arial"/>
                <w:sz w:val="14"/>
                <w:szCs w:val="14"/>
                <w:b w:val="1"/>
                <w:bCs w:val="1"/>
                <w:color w:val="auto"/>
              </w:rPr>
              <w:t>James A. Johnson</w:t>
            </w:r>
            <w:r>
              <w:rPr>
                <w:rFonts w:ascii="Arial" w:cs="Arial" w:eastAsia="Arial" w:hAnsi="Arial"/>
                <w:sz w:val="23"/>
                <w:szCs w:val="23"/>
                <w:color w:val="auto"/>
                <w:vertAlign w:val="superscript"/>
              </w:rPr>
              <w:t>(5)(6)</w:t>
            </w:r>
          </w:p>
        </w:tc>
        <w:tc>
          <w:tcPr>
            <w:tcW w:w="90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III</w:t>
            </w:r>
          </w:p>
        </w:tc>
        <w:tc>
          <w:tcPr>
            <w:tcW w:w="76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67</w:t>
            </w:r>
          </w:p>
        </w:tc>
        <w:tc>
          <w:tcPr>
            <w:tcW w:w="2080" w:type="dxa"/>
            <w:vAlign w:val="bottom"/>
            <w:shd w:val="clear" w:color="auto" w:fill="EBEBEB"/>
          </w:tcPr>
          <w:p>
            <w:pPr>
              <w:ind w:left="220"/>
              <w:spacing w:after="0"/>
              <w:rPr>
                <w:sz w:val="20"/>
                <w:szCs w:val="20"/>
                <w:color w:val="auto"/>
              </w:rPr>
            </w:pPr>
            <w:r>
              <w:rPr>
                <w:rFonts w:ascii="Arial" w:cs="Arial" w:eastAsia="Arial" w:hAnsi="Arial"/>
                <w:sz w:val="14"/>
                <w:szCs w:val="14"/>
                <w:color w:val="auto"/>
              </w:rPr>
              <w:t>Director</w:t>
            </w:r>
          </w:p>
        </w:tc>
        <w:tc>
          <w:tcPr>
            <w:tcW w:w="94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2020</w:t>
            </w:r>
          </w:p>
        </w:tc>
        <w:tc>
          <w:tcPr>
            <w:tcW w:w="1020" w:type="dxa"/>
            <w:vAlign w:val="bottom"/>
            <w:shd w:val="clear" w:color="auto" w:fill="EBEBEB"/>
          </w:tcPr>
          <w:p>
            <w:pPr>
              <w:jc w:val="center"/>
              <w:spacing w:after="0"/>
              <w:rPr>
                <w:sz w:val="20"/>
                <w:szCs w:val="20"/>
                <w:color w:val="auto"/>
              </w:rPr>
            </w:pPr>
            <w:r>
              <w:rPr>
                <w:rFonts w:ascii="Arial" w:cs="Arial" w:eastAsia="Arial" w:hAnsi="Arial"/>
                <w:sz w:val="14"/>
                <w:szCs w:val="14"/>
                <w:color w:val="auto"/>
              </w:rPr>
              <w:t>2026</w:t>
            </w:r>
          </w:p>
        </w:tc>
        <w:tc>
          <w:tcPr>
            <w:tcW w:w="1260" w:type="dxa"/>
            <w:vAlign w:val="bottom"/>
            <w:shd w:val="clear" w:color="auto" w:fill="EBEBEB"/>
          </w:tcPr>
          <w:p>
            <w:pPr>
              <w:jc w:val="center"/>
              <w:ind w:left="2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2440" w:type="dxa"/>
            <w:vAlign w:val="bottom"/>
            <w:shd w:val="clear" w:color="auto" w:fill="EBEBEB"/>
          </w:tcPr>
          <w:p>
            <w:pPr>
              <w:spacing w:after="0"/>
              <w:rPr>
                <w:sz w:val="10"/>
                <w:szCs w:val="10"/>
                <w:color w:val="auto"/>
              </w:rPr>
            </w:pPr>
          </w:p>
        </w:tc>
        <w:tc>
          <w:tcPr>
            <w:tcW w:w="900" w:type="dxa"/>
            <w:vAlign w:val="bottom"/>
            <w:shd w:val="clear" w:color="auto" w:fill="EBEBEB"/>
          </w:tcPr>
          <w:p>
            <w:pPr>
              <w:spacing w:after="0"/>
              <w:rPr>
                <w:sz w:val="10"/>
                <w:szCs w:val="10"/>
                <w:color w:val="auto"/>
              </w:rPr>
            </w:pPr>
          </w:p>
        </w:tc>
        <w:tc>
          <w:tcPr>
            <w:tcW w:w="760" w:type="dxa"/>
            <w:vAlign w:val="bottom"/>
            <w:shd w:val="clear" w:color="auto" w:fill="EBEBEB"/>
          </w:tcPr>
          <w:p>
            <w:pPr>
              <w:spacing w:after="0"/>
              <w:rPr>
                <w:sz w:val="10"/>
                <w:szCs w:val="10"/>
                <w:color w:val="auto"/>
              </w:rPr>
            </w:pPr>
          </w:p>
        </w:tc>
        <w:tc>
          <w:tcPr>
            <w:tcW w:w="2080" w:type="dxa"/>
            <w:vAlign w:val="bottom"/>
            <w:shd w:val="clear" w:color="auto" w:fill="EBEBEB"/>
          </w:tcPr>
          <w:p>
            <w:pPr>
              <w:spacing w:after="0"/>
              <w:rPr>
                <w:sz w:val="10"/>
                <w:szCs w:val="10"/>
                <w:color w:val="auto"/>
              </w:rPr>
            </w:pPr>
          </w:p>
        </w:tc>
        <w:tc>
          <w:tcPr>
            <w:tcW w:w="940" w:type="dxa"/>
            <w:vAlign w:val="bottom"/>
            <w:shd w:val="clear" w:color="auto" w:fill="EBEBEB"/>
          </w:tcPr>
          <w:p>
            <w:pPr>
              <w:spacing w:after="0"/>
              <w:rPr>
                <w:sz w:val="10"/>
                <w:szCs w:val="10"/>
                <w:color w:val="auto"/>
              </w:rPr>
            </w:pPr>
          </w:p>
        </w:tc>
        <w:tc>
          <w:tcPr>
            <w:tcW w:w="1020" w:type="dxa"/>
            <w:vAlign w:val="bottom"/>
            <w:shd w:val="clear" w:color="auto" w:fill="EBEBEB"/>
          </w:tcPr>
          <w:p>
            <w:pPr>
              <w:spacing w:after="0"/>
              <w:rPr>
                <w:sz w:val="10"/>
                <w:szCs w:val="10"/>
                <w:color w:val="auto"/>
              </w:rPr>
            </w:pPr>
          </w:p>
        </w:tc>
        <w:tc>
          <w:tcPr>
            <w:tcW w:w="1260" w:type="dxa"/>
            <w:vAlign w:val="bottom"/>
            <w:shd w:val="clear" w:color="auto" w:fill="EBEBEB"/>
          </w:tcPr>
          <w:p>
            <w:pPr>
              <w:spacing w:after="0"/>
              <w:rPr>
                <w:sz w:val="10"/>
                <w:szCs w:val="10"/>
                <w:color w:val="auto"/>
              </w:rPr>
            </w:pPr>
          </w:p>
        </w:tc>
        <w:tc>
          <w:tcPr>
            <w:tcW w:w="0" w:type="dxa"/>
            <w:vAlign w:val="bottom"/>
          </w:tcPr>
          <w:p>
            <w:pPr>
              <w:spacing w:after="0"/>
              <w:rPr>
                <w:sz w:val="1"/>
                <w:szCs w:val="1"/>
                <w:color w:val="auto"/>
              </w:rPr>
            </w:pPr>
          </w:p>
        </w:tc>
      </w:tr>
      <w:tr>
        <w:trPr>
          <w:trHeight w:val="552"/>
        </w:trPr>
        <w:tc>
          <w:tcPr>
            <w:tcW w:w="2440" w:type="dxa"/>
            <w:vAlign w:val="bottom"/>
            <w:shd w:val="clear" w:color="auto" w:fill="FAFAFA"/>
          </w:tcPr>
          <w:p>
            <w:pPr>
              <w:ind w:left="80"/>
              <w:spacing w:after="0"/>
              <w:rPr>
                <w:sz w:val="20"/>
                <w:szCs w:val="20"/>
                <w:color w:val="auto"/>
              </w:rPr>
            </w:pPr>
            <w:r>
              <w:rPr>
                <w:rFonts w:ascii="Arial" w:cs="Arial" w:eastAsia="Arial" w:hAnsi="Arial"/>
                <w:sz w:val="14"/>
                <w:szCs w:val="14"/>
                <w:b w:val="1"/>
                <w:bCs w:val="1"/>
                <w:color w:val="auto"/>
              </w:rPr>
              <w:t>Grant Pickering</w:t>
            </w:r>
            <w:r>
              <w:rPr>
                <w:rFonts w:ascii="Arial" w:cs="Arial" w:eastAsia="Arial" w:hAnsi="Arial"/>
                <w:sz w:val="23"/>
                <w:szCs w:val="23"/>
                <w:color w:val="auto"/>
                <w:vertAlign w:val="superscript"/>
              </w:rPr>
              <w:t>(4)(6)</w:t>
            </w:r>
          </w:p>
        </w:tc>
        <w:tc>
          <w:tcPr>
            <w:tcW w:w="900" w:type="dxa"/>
            <w:vAlign w:val="bottom"/>
            <w:shd w:val="clear" w:color="auto" w:fill="FAFAFA"/>
          </w:tcPr>
          <w:p>
            <w:pPr>
              <w:jc w:val="center"/>
              <w:spacing w:after="0"/>
              <w:rPr>
                <w:sz w:val="20"/>
                <w:szCs w:val="20"/>
                <w:color w:val="auto"/>
              </w:rPr>
            </w:pPr>
            <w:r>
              <w:rPr>
                <w:rFonts w:ascii="Arial" w:cs="Arial" w:eastAsia="Arial" w:hAnsi="Arial"/>
                <w:sz w:val="14"/>
                <w:szCs w:val="14"/>
                <w:color w:val="auto"/>
              </w:rPr>
              <w:t>II</w:t>
            </w:r>
          </w:p>
        </w:tc>
        <w:tc>
          <w:tcPr>
            <w:tcW w:w="760" w:type="dxa"/>
            <w:vAlign w:val="bottom"/>
            <w:shd w:val="clear" w:color="auto" w:fill="FAFAFA"/>
          </w:tcPr>
          <w:p>
            <w:pPr>
              <w:jc w:val="center"/>
              <w:spacing w:after="0"/>
              <w:rPr>
                <w:sz w:val="20"/>
                <w:szCs w:val="20"/>
                <w:color w:val="auto"/>
              </w:rPr>
            </w:pPr>
            <w:r>
              <w:rPr>
                <w:rFonts w:ascii="Arial" w:cs="Arial" w:eastAsia="Arial" w:hAnsi="Arial"/>
                <w:sz w:val="14"/>
                <w:szCs w:val="14"/>
                <w:color w:val="auto"/>
              </w:rPr>
              <w:t>56</w:t>
            </w:r>
          </w:p>
        </w:tc>
        <w:tc>
          <w:tcPr>
            <w:tcW w:w="2080" w:type="dxa"/>
            <w:vAlign w:val="bottom"/>
            <w:shd w:val="clear" w:color="auto" w:fill="FAFAFA"/>
          </w:tcPr>
          <w:p>
            <w:pPr>
              <w:ind w:left="220"/>
              <w:spacing w:after="0"/>
              <w:rPr>
                <w:sz w:val="20"/>
                <w:szCs w:val="20"/>
                <w:color w:val="auto"/>
              </w:rPr>
            </w:pPr>
            <w:r>
              <w:rPr>
                <w:rFonts w:ascii="Arial" w:cs="Arial" w:eastAsia="Arial" w:hAnsi="Arial"/>
                <w:sz w:val="14"/>
                <w:szCs w:val="14"/>
                <w:color w:val="auto"/>
              </w:rPr>
              <w:t>Director</w:t>
            </w:r>
          </w:p>
        </w:tc>
        <w:tc>
          <w:tcPr>
            <w:tcW w:w="940" w:type="dxa"/>
            <w:vAlign w:val="bottom"/>
            <w:shd w:val="clear" w:color="auto" w:fill="FAFAFA"/>
          </w:tcPr>
          <w:p>
            <w:pPr>
              <w:jc w:val="center"/>
              <w:spacing w:after="0"/>
              <w:rPr>
                <w:sz w:val="20"/>
                <w:szCs w:val="20"/>
                <w:color w:val="auto"/>
              </w:rPr>
            </w:pPr>
            <w:r>
              <w:rPr>
                <w:rFonts w:ascii="Arial" w:cs="Arial" w:eastAsia="Arial" w:hAnsi="Arial"/>
                <w:sz w:val="14"/>
                <w:szCs w:val="14"/>
                <w:color w:val="auto"/>
              </w:rPr>
              <w:t>2022</w:t>
            </w:r>
          </w:p>
        </w:tc>
        <w:tc>
          <w:tcPr>
            <w:tcW w:w="1020" w:type="dxa"/>
            <w:vAlign w:val="bottom"/>
            <w:shd w:val="clear" w:color="auto" w:fill="FAFAFA"/>
          </w:tcPr>
          <w:p>
            <w:pPr>
              <w:jc w:val="center"/>
              <w:spacing w:after="0"/>
              <w:rPr>
                <w:sz w:val="20"/>
                <w:szCs w:val="20"/>
                <w:color w:val="auto"/>
              </w:rPr>
            </w:pPr>
            <w:r>
              <w:rPr>
                <w:rFonts w:ascii="Arial" w:cs="Arial" w:eastAsia="Arial" w:hAnsi="Arial"/>
                <w:sz w:val="14"/>
                <w:szCs w:val="14"/>
                <w:color w:val="auto"/>
              </w:rPr>
              <w:t>2025</w:t>
            </w:r>
          </w:p>
        </w:tc>
        <w:tc>
          <w:tcPr>
            <w:tcW w:w="1260" w:type="dxa"/>
            <w:vAlign w:val="bottom"/>
            <w:shd w:val="clear" w:color="auto" w:fill="FAFAFA"/>
          </w:tcPr>
          <w:p>
            <w:pPr>
              <w:jc w:val="center"/>
              <w:ind w:left="2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6"/>
        </w:trPr>
        <w:tc>
          <w:tcPr>
            <w:tcW w:w="2440" w:type="dxa"/>
            <w:vAlign w:val="bottom"/>
            <w:shd w:val="clear" w:color="auto" w:fill="FAFAFA"/>
          </w:tcPr>
          <w:p>
            <w:pPr>
              <w:spacing w:after="0"/>
              <w:rPr>
                <w:sz w:val="8"/>
                <w:szCs w:val="8"/>
                <w:color w:val="auto"/>
              </w:rPr>
            </w:pPr>
          </w:p>
        </w:tc>
        <w:tc>
          <w:tcPr>
            <w:tcW w:w="900" w:type="dxa"/>
            <w:vAlign w:val="bottom"/>
            <w:shd w:val="clear" w:color="auto" w:fill="FAFAFA"/>
          </w:tcPr>
          <w:p>
            <w:pPr>
              <w:spacing w:after="0"/>
              <w:rPr>
                <w:sz w:val="8"/>
                <w:szCs w:val="8"/>
                <w:color w:val="auto"/>
              </w:rPr>
            </w:pPr>
          </w:p>
        </w:tc>
        <w:tc>
          <w:tcPr>
            <w:tcW w:w="760" w:type="dxa"/>
            <w:vAlign w:val="bottom"/>
            <w:shd w:val="clear" w:color="auto" w:fill="FAFAFA"/>
          </w:tcPr>
          <w:p>
            <w:pPr>
              <w:spacing w:after="0"/>
              <w:rPr>
                <w:sz w:val="8"/>
                <w:szCs w:val="8"/>
                <w:color w:val="auto"/>
              </w:rPr>
            </w:pPr>
          </w:p>
        </w:tc>
        <w:tc>
          <w:tcPr>
            <w:tcW w:w="2080" w:type="dxa"/>
            <w:vAlign w:val="bottom"/>
            <w:shd w:val="clear" w:color="auto" w:fill="FAFAFA"/>
          </w:tcPr>
          <w:p>
            <w:pPr>
              <w:spacing w:after="0"/>
              <w:rPr>
                <w:sz w:val="8"/>
                <w:szCs w:val="8"/>
                <w:color w:val="auto"/>
              </w:rPr>
            </w:pPr>
          </w:p>
        </w:tc>
        <w:tc>
          <w:tcPr>
            <w:tcW w:w="940" w:type="dxa"/>
            <w:vAlign w:val="bottom"/>
            <w:shd w:val="clear" w:color="auto" w:fill="FAFAFA"/>
          </w:tcPr>
          <w:p>
            <w:pPr>
              <w:spacing w:after="0"/>
              <w:rPr>
                <w:sz w:val="8"/>
                <w:szCs w:val="8"/>
                <w:color w:val="auto"/>
              </w:rPr>
            </w:pPr>
          </w:p>
        </w:tc>
        <w:tc>
          <w:tcPr>
            <w:tcW w:w="1020" w:type="dxa"/>
            <w:vAlign w:val="bottom"/>
            <w:shd w:val="clear" w:color="auto" w:fill="FAFAFA"/>
          </w:tcPr>
          <w:p>
            <w:pPr>
              <w:spacing w:after="0"/>
              <w:rPr>
                <w:sz w:val="8"/>
                <w:szCs w:val="8"/>
                <w:color w:val="auto"/>
              </w:rPr>
            </w:pPr>
          </w:p>
        </w:tc>
        <w:tc>
          <w:tcPr>
            <w:tcW w:w="1260" w:type="dxa"/>
            <w:vAlign w:val="bottom"/>
            <w:shd w:val="clear" w:color="auto" w:fill="FAFAFA"/>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-427990</wp:posOffset>
            </wp:positionV>
            <wp:extent cx="596646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6460"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-856615</wp:posOffset>
            </wp:positionV>
            <wp:extent cx="596646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6460"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-1285240</wp:posOffset>
            </wp:positionV>
            <wp:extent cx="596646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6460"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-1713865</wp:posOffset>
            </wp:positionV>
            <wp:extent cx="596646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6460"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-2228215</wp:posOffset>
            </wp:positionV>
            <wp:extent cx="596646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6460"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-2639695</wp:posOffset>
            </wp:positionV>
            <wp:extent cx="596646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6460"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-3068320</wp:posOffset>
            </wp:positionV>
            <wp:extent cx="596646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6460"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-3582670</wp:posOffset>
            </wp:positionV>
            <wp:extent cx="596646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6460"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-4011295</wp:posOffset>
            </wp:positionV>
            <wp:extent cx="596646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6460"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-4422775</wp:posOffset>
            </wp:positionV>
            <wp:extent cx="596646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6460" cy="34290"/>
                    </a:xfrm>
                    <a:prstGeom prst="rect">
                      <a:avLst/>
                    </a:prstGeom>
                    <a:noFill/>
                  </pic:spPr>
                </pic:pic>
              </a:graphicData>
            </a:graphic>
          </wp:anchor>
        </w:drawing>
      </w:r>
    </w:p>
    <w:p>
      <w:pPr>
        <w:spacing w:after="0" w:line="133" w:lineRule="exact"/>
        <w:rPr>
          <w:sz w:val="20"/>
          <w:szCs w:val="20"/>
          <w:color w:val="auto"/>
        </w:rPr>
      </w:pPr>
    </w:p>
    <w:p>
      <w:pPr>
        <w:ind w:left="240" w:hanging="234"/>
        <w:spacing w:after="0"/>
        <w:tabs>
          <w:tab w:leader="none" w:pos="240" w:val="left"/>
        </w:tabs>
        <w:numPr>
          <w:ilvl w:val="0"/>
          <w:numId w:val="14"/>
        </w:numPr>
        <w:rPr>
          <w:rFonts w:ascii="Arial" w:cs="Arial" w:eastAsia="Arial" w:hAnsi="Arial"/>
          <w:sz w:val="14"/>
          <w:szCs w:val="14"/>
          <w:color w:val="255993"/>
        </w:rPr>
      </w:pPr>
      <w:r>
        <w:rPr>
          <w:rFonts w:ascii="Arial" w:cs="Arial" w:eastAsia="Arial" w:hAnsi="Arial"/>
          <w:sz w:val="14"/>
          <w:szCs w:val="14"/>
          <w:color w:val="255993"/>
        </w:rPr>
        <w:t>Chairwoman of the compensation committee.</w:t>
      </w:r>
    </w:p>
    <w:p>
      <w:pPr>
        <w:spacing w:after="0" w:line="82" w:lineRule="exact"/>
        <w:rPr>
          <w:rFonts w:ascii="Arial" w:cs="Arial" w:eastAsia="Arial" w:hAnsi="Arial"/>
          <w:sz w:val="14"/>
          <w:szCs w:val="14"/>
          <w:color w:val="255993"/>
        </w:rPr>
      </w:pPr>
    </w:p>
    <w:p>
      <w:pPr>
        <w:ind w:left="240" w:hanging="234"/>
        <w:spacing w:after="0"/>
        <w:tabs>
          <w:tab w:leader="none" w:pos="240" w:val="left"/>
        </w:tabs>
        <w:numPr>
          <w:ilvl w:val="0"/>
          <w:numId w:val="14"/>
        </w:numPr>
        <w:rPr>
          <w:rFonts w:ascii="Arial" w:cs="Arial" w:eastAsia="Arial" w:hAnsi="Arial"/>
          <w:sz w:val="14"/>
          <w:szCs w:val="14"/>
          <w:color w:val="255993"/>
        </w:rPr>
      </w:pPr>
      <w:r>
        <w:rPr>
          <w:rFonts w:ascii="Arial" w:cs="Arial" w:eastAsia="Arial" w:hAnsi="Arial"/>
          <w:sz w:val="14"/>
          <w:szCs w:val="14"/>
          <w:color w:val="255993"/>
        </w:rPr>
        <w:t>Member of the nominating and corporate governance committee.</w:t>
      </w:r>
    </w:p>
    <w:p>
      <w:pPr>
        <w:spacing w:after="0" w:line="95" w:lineRule="exact"/>
        <w:rPr>
          <w:rFonts w:ascii="Arial" w:cs="Arial" w:eastAsia="Arial" w:hAnsi="Arial"/>
          <w:sz w:val="14"/>
          <w:szCs w:val="14"/>
          <w:color w:val="255993"/>
        </w:rPr>
      </w:pPr>
    </w:p>
    <w:p>
      <w:pPr>
        <w:ind w:left="240" w:hanging="234"/>
        <w:spacing w:after="0"/>
        <w:tabs>
          <w:tab w:leader="none" w:pos="240" w:val="left"/>
        </w:tabs>
        <w:numPr>
          <w:ilvl w:val="0"/>
          <w:numId w:val="14"/>
        </w:numPr>
        <w:rPr>
          <w:rFonts w:ascii="Arial" w:cs="Arial" w:eastAsia="Arial" w:hAnsi="Arial"/>
          <w:sz w:val="14"/>
          <w:szCs w:val="14"/>
          <w:color w:val="255993"/>
        </w:rPr>
      </w:pPr>
      <w:r>
        <w:rPr>
          <w:rFonts w:ascii="Arial" w:cs="Arial" w:eastAsia="Arial" w:hAnsi="Arial"/>
          <w:sz w:val="14"/>
          <w:szCs w:val="14"/>
          <w:color w:val="255993"/>
        </w:rPr>
        <w:t>Chairwoman of the nominating and corporate governance committee.</w:t>
      </w:r>
    </w:p>
    <w:p>
      <w:pPr>
        <w:spacing w:after="0" w:line="122" w:lineRule="exact"/>
        <w:rPr>
          <w:rFonts w:ascii="Arial" w:cs="Arial" w:eastAsia="Arial" w:hAnsi="Arial"/>
          <w:sz w:val="14"/>
          <w:szCs w:val="14"/>
          <w:color w:val="255993"/>
        </w:rPr>
      </w:pPr>
    </w:p>
    <w:p>
      <w:pPr>
        <w:spacing w:after="0"/>
        <w:rPr>
          <w:rFonts w:ascii="Arial" w:cs="Arial" w:eastAsia="Arial" w:hAnsi="Arial"/>
          <w:sz w:val="14"/>
          <w:szCs w:val="14"/>
          <w:color w:val="255993"/>
        </w:rPr>
      </w:pPr>
      <w:r>
        <w:rPr>
          <w:rFonts w:ascii="Arial" w:cs="Arial" w:eastAsia="Arial" w:hAnsi="Arial"/>
          <w:sz w:val="14"/>
          <w:szCs w:val="14"/>
          <w:color w:val="255993"/>
        </w:rPr>
        <w:t>(4)  Member of the audit committee.</w:t>
      </w:r>
    </w:p>
    <w:p>
      <w:pPr>
        <w:spacing w:after="0" w:line="217" w:lineRule="exact"/>
        <w:rPr>
          <w:sz w:val="20"/>
          <w:szCs w:val="20"/>
          <w:color w:val="auto"/>
        </w:rPr>
      </w:pPr>
    </w:p>
    <w:p>
      <w:pPr>
        <w:spacing w:after="0"/>
        <w:tabs>
          <w:tab w:leader="none" w:pos="464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9</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18" w:name="page19"/>
    <w:bookmarkEnd w:id="18"/>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800"/>
        <w:spacing w:after="0"/>
        <w:rPr>
          <w:sz w:val="20"/>
          <w:szCs w:val="20"/>
          <w:color w:val="auto"/>
        </w:rPr>
      </w:pPr>
      <w:r>
        <w:rPr>
          <w:rFonts w:ascii="Arial" w:cs="Arial" w:eastAsia="Arial" w:hAnsi="Arial"/>
          <w:sz w:val="14"/>
          <w:szCs w:val="14"/>
          <w:color w:val="255993"/>
        </w:rPr>
        <w:t>Board of Directors and Corporate Governance</w:t>
      </w:r>
    </w:p>
    <w:p>
      <w:pPr>
        <w:spacing w:after="0" w:line="96" w:lineRule="exact"/>
        <w:rPr>
          <w:sz w:val="20"/>
          <w:szCs w:val="20"/>
          <w:color w:val="auto"/>
        </w:rPr>
      </w:pPr>
    </w:p>
    <w:p>
      <w:pPr>
        <w:ind w:left="800"/>
        <w:spacing w:after="0"/>
        <w:rPr>
          <w:sz w:val="20"/>
          <w:szCs w:val="20"/>
          <w:color w:val="auto"/>
        </w:rPr>
      </w:pPr>
      <w:r>
        <w:rPr>
          <w:rFonts w:ascii="Arial" w:cs="Arial" w:eastAsia="Arial" w:hAnsi="Arial"/>
          <w:sz w:val="14"/>
          <w:szCs w:val="14"/>
          <w:color w:val="255993"/>
        </w:rPr>
        <w:t>(5)  Chairman of the audit committee.</w:t>
      </w:r>
    </w:p>
    <w:p>
      <w:pPr>
        <w:spacing w:after="0" w:line="123" w:lineRule="exact"/>
        <w:rPr>
          <w:sz w:val="20"/>
          <w:szCs w:val="20"/>
          <w:color w:val="auto"/>
        </w:rPr>
      </w:pPr>
    </w:p>
    <w:p>
      <w:pPr>
        <w:ind w:left="800"/>
        <w:spacing w:after="0"/>
        <w:rPr>
          <w:sz w:val="20"/>
          <w:szCs w:val="20"/>
          <w:color w:val="auto"/>
        </w:rPr>
      </w:pPr>
      <w:r>
        <w:rPr>
          <w:rFonts w:ascii="Arial" w:cs="Arial" w:eastAsia="Arial" w:hAnsi="Arial"/>
          <w:sz w:val="14"/>
          <w:szCs w:val="14"/>
          <w:color w:val="255993"/>
        </w:rPr>
        <w:t>(6)  Member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49530</wp:posOffset>
            </wp:positionV>
            <wp:extent cx="5966460" cy="10972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6460" cy="1097280"/>
                    </a:xfrm>
                    <a:prstGeom prst="rect">
                      <a:avLst/>
                    </a:prstGeom>
                    <a:noFill/>
                  </pic:spPr>
                </pic:pic>
              </a:graphicData>
            </a:graphic>
          </wp:anchor>
        </w:drawing>
      </w:r>
    </w:p>
    <w:p>
      <w:pPr>
        <w:spacing w:after="0" w:line="381"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Board Recommendation</w:t>
      </w:r>
    </w:p>
    <w:p>
      <w:pPr>
        <w:spacing w:after="0" w:line="302" w:lineRule="exact"/>
        <w:rPr>
          <w:sz w:val="20"/>
          <w:szCs w:val="20"/>
          <w:color w:val="auto"/>
        </w:rPr>
      </w:pPr>
    </w:p>
    <w:p>
      <w:pPr>
        <w:ind w:left="2580"/>
        <w:spacing w:after="0"/>
        <w:rPr>
          <w:sz w:val="20"/>
          <w:szCs w:val="20"/>
          <w:color w:val="auto"/>
        </w:rPr>
      </w:pPr>
      <w:r>
        <w:rPr>
          <w:rFonts w:ascii="Arial" w:cs="Arial" w:eastAsia="Arial" w:hAnsi="Arial"/>
          <w:sz w:val="16"/>
          <w:szCs w:val="16"/>
          <w:color w:val="255993"/>
        </w:rPr>
        <w:t xml:space="preserve">The Board of Directors unanimously recommends voting </w:t>
      </w:r>
      <w:r>
        <w:rPr>
          <w:rFonts w:ascii="Arial" w:cs="Arial" w:eastAsia="Arial" w:hAnsi="Arial"/>
          <w:sz w:val="16"/>
          <w:szCs w:val="16"/>
          <w:b w:val="1"/>
          <w:bCs w:val="1"/>
          <w:color w:val="255993"/>
        </w:rPr>
        <w:t>“FOR”</w:t>
      </w:r>
      <w:r>
        <w:rPr>
          <w:rFonts w:ascii="Arial" w:cs="Arial" w:eastAsia="Arial" w:hAnsi="Arial"/>
          <w:sz w:val="16"/>
          <w:szCs w:val="16"/>
          <w:color w:val="255993"/>
        </w:rPr>
        <w:t xml:space="preserve"> the election of each of the Board of</w:t>
      </w:r>
    </w:p>
    <w:p>
      <w:pPr>
        <w:spacing w:after="0" w:line="21" w:lineRule="exact"/>
        <w:rPr>
          <w:sz w:val="20"/>
          <w:szCs w:val="20"/>
          <w:color w:val="auto"/>
        </w:rPr>
      </w:pPr>
    </w:p>
    <w:p>
      <w:pPr>
        <w:ind w:left="2580" w:right="1060" w:hanging="1779"/>
        <w:spacing w:after="0" w:line="183" w:lineRule="auto"/>
        <w:tabs>
          <w:tab w:leader="none" w:pos="2560" w:val="left"/>
        </w:tabs>
        <w:rPr>
          <w:sz w:val="20"/>
          <w:szCs w:val="20"/>
          <w:color w:val="auto"/>
        </w:rPr>
      </w:pPr>
      <w:r>
        <w:rPr>
          <w:rFonts w:ascii="Arial" w:cs="Arial" w:eastAsia="Arial" w:hAnsi="Arial"/>
          <w:sz w:val="29"/>
          <w:szCs w:val="29"/>
          <w:b w:val="1"/>
          <w:bCs w:val="1"/>
          <w:color w:val="auto"/>
          <w:vertAlign w:val="subscript"/>
        </w:rPr>
        <w:t> </w:t>
      </w:r>
      <w:r>
        <w:rPr>
          <w:sz w:val="20"/>
          <w:szCs w:val="20"/>
          <w:color w:val="auto"/>
        </w:rPr>
        <w:tab/>
      </w:r>
      <w:r>
        <w:rPr>
          <w:rFonts w:ascii="Arial" w:cs="Arial" w:eastAsia="Arial" w:hAnsi="Arial"/>
          <w:sz w:val="15"/>
          <w:szCs w:val="15"/>
          <w:color w:val="255993"/>
        </w:rPr>
        <w:t>Directors’ nominees on Proposal No. 1 (which nominees are Barbara Kosacz, Mark Litton, and Michael Panzara).</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F8991D"/>
        </w:rPr>
        <w:t>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154940</wp:posOffset>
            </wp:positionV>
            <wp:extent cx="900430" cy="9004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00430" cy="90043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509"/>
        </w:trPr>
        <w:tc>
          <w:tcPr>
            <w:tcW w:w="2460" w:type="dxa"/>
            <w:vAlign w:val="bottom"/>
          </w:tcPr>
          <w:p>
            <w:pPr>
              <w:spacing w:after="0"/>
              <w:rPr>
                <w:sz w:val="24"/>
                <w:szCs w:val="24"/>
                <w:color w:val="auto"/>
              </w:rPr>
            </w:pPr>
          </w:p>
        </w:tc>
        <w:tc>
          <w:tcPr>
            <w:tcW w:w="5780" w:type="dxa"/>
            <w:vAlign w:val="bottom"/>
            <w:gridSpan w:val="2"/>
          </w:tcPr>
          <w:p>
            <w:pPr>
              <w:spacing w:after="0"/>
              <w:rPr>
                <w:sz w:val="20"/>
                <w:szCs w:val="20"/>
                <w:color w:val="auto"/>
              </w:rPr>
            </w:pPr>
            <w:r>
              <w:rPr>
                <w:rFonts w:ascii="Arial" w:cs="Arial" w:eastAsia="Arial" w:hAnsi="Arial"/>
                <w:sz w:val="40"/>
                <w:szCs w:val="40"/>
                <w:color w:val="255993"/>
              </w:rPr>
              <w:t>Barbara Kosacz</w:t>
            </w:r>
          </w:p>
        </w:tc>
        <w:tc>
          <w:tcPr>
            <w:tcW w:w="2780" w:type="dxa"/>
            <w:vAlign w:val="bottom"/>
          </w:tcPr>
          <w:p>
            <w:pPr>
              <w:spacing w:after="0"/>
              <w:rPr>
                <w:sz w:val="24"/>
                <w:szCs w:val="24"/>
                <w:color w:val="auto"/>
              </w:rPr>
            </w:pPr>
          </w:p>
        </w:tc>
      </w:tr>
      <w:tr>
        <w:trPr>
          <w:trHeight w:val="196"/>
        </w:trPr>
        <w:tc>
          <w:tcPr>
            <w:tcW w:w="2460" w:type="dxa"/>
            <w:vAlign w:val="bottom"/>
          </w:tcPr>
          <w:p>
            <w:pPr>
              <w:spacing w:after="0"/>
              <w:rPr>
                <w:sz w:val="17"/>
                <w:szCs w:val="17"/>
                <w:color w:val="auto"/>
              </w:rPr>
            </w:pPr>
          </w:p>
        </w:tc>
        <w:tc>
          <w:tcPr>
            <w:tcW w:w="5780" w:type="dxa"/>
            <w:vAlign w:val="bottom"/>
            <w:gridSpan w:val="2"/>
          </w:tcPr>
          <w:p>
            <w:pPr>
              <w:spacing w:after="0"/>
              <w:rPr>
                <w:sz w:val="20"/>
                <w:szCs w:val="20"/>
                <w:color w:val="auto"/>
              </w:rPr>
            </w:pPr>
            <w:r>
              <w:rPr>
                <w:rFonts w:ascii="Arial" w:cs="Arial" w:eastAsia="Arial" w:hAnsi="Arial"/>
                <w:sz w:val="14"/>
                <w:szCs w:val="14"/>
                <w:b w:val="1"/>
                <w:bCs w:val="1"/>
                <w:color w:val="auto"/>
              </w:rPr>
              <w:t>AGE: 66   DIRECTOR SINCE: MARCH 2021</w:t>
            </w:r>
          </w:p>
        </w:tc>
        <w:tc>
          <w:tcPr>
            <w:tcW w:w="2780" w:type="dxa"/>
            <w:vAlign w:val="bottom"/>
          </w:tcPr>
          <w:p>
            <w:pPr>
              <w:spacing w:after="0"/>
              <w:rPr>
                <w:sz w:val="17"/>
                <w:szCs w:val="17"/>
                <w:color w:val="auto"/>
              </w:rPr>
            </w:pPr>
          </w:p>
        </w:tc>
      </w:tr>
      <w:tr>
        <w:trPr>
          <w:trHeight w:val="238"/>
        </w:trPr>
        <w:tc>
          <w:tcPr>
            <w:tcW w:w="2460" w:type="dxa"/>
            <w:vAlign w:val="bottom"/>
          </w:tcPr>
          <w:p>
            <w:pPr>
              <w:spacing w:after="0"/>
              <w:rPr>
                <w:sz w:val="20"/>
                <w:szCs w:val="20"/>
                <w:color w:val="auto"/>
              </w:rPr>
            </w:pPr>
          </w:p>
        </w:tc>
        <w:tc>
          <w:tcPr>
            <w:tcW w:w="1400" w:type="dxa"/>
            <w:vAlign w:val="bottom"/>
            <w:tcBorders>
              <w:bottom w:val="single" w:sz="8" w:color="F8991D"/>
            </w:tcBorders>
          </w:tcPr>
          <w:p>
            <w:pPr>
              <w:spacing w:after="0"/>
              <w:rPr>
                <w:sz w:val="20"/>
                <w:szCs w:val="20"/>
                <w:color w:val="auto"/>
              </w:rPr>
            </w:pPr>
          </w:p>
        </w:tc>
        <w:tc>
          <w:tcPr>
            <w:tcW w:w="7160" w:type="dxa"/>
            <w:vAlign w:val="bottom"/>
            <w:gridSpan w:val="2"/>
          </w:tcPr>
          <w:p>
            <w:pPr>
              <w:spacing w:after="0"/>
              <w:rPr>
                <w:sz w:val="20"/>
                <w:szCs w:val="20"/>
                <w:color w:val="auto"/>
              </w:rPr>
            </w:pPr>
          </w:p>
        </w:tc>
      </w:tr>
      <w:tr>
        <w:trPr>
          <w:trHeight w:val="431"/>
        </w:trPr>
        <w:tc>
          <w:tcPr>
            <w:tcW w:w="2460" w:type="dxa"/>
            <w:vAlign w:val="bottom"/>
          </w:tcPr>
          <w:p>
            <w:pPr>
              <w:ind w:left="800"/>
              <w:spacing w:after="0"/>
              <w:rPr>
                <w:sz w:val="20"/>
                <w:szCs w:val="20"/>
                <w:color w:val="auto"/>
              </w:rPr>
            </w:pPr>
            <w:r>
              <w:rPr>
                <w:rFonts w:ascii="Arial" w:cs="Arial" w:eastAsia="Arial" w:hAnsi="Arial"/>
                <w:sz w:val="16"/>
                <w:szCs w:val="16"/>
                <w:color w:val="auto"/>
              </w:rPr>
              <w:t xml:space="preserve">  </w:t>
            </w:r>
          </w:p>
        </w:tc>
        <w:tc>
          <w:tcPr>
            <w:tcW w:w="8560" w:type="dxa"/>
            <w:vAlign w:val="bottom"/>
            <w:gridSpan w:val="3"/>
          </w:tcPr>
          <w:p>
            <w:pPr>
              <w:spacing w:after="0"/>
              <w:rPr>
                <w:sz w:val="20"/>
                <w:szCs w:val="20"/>
                <w:color w:val="auto"/>
              </w:rPr>
            </w:pPr>
            <w:r>
              <w:rPr>
                <w:rFonts w:ascii="Arial" w:cs="Arial" w:eastAsia="Arial" w:hAnsi="Arial"/>
                <w:sz w:val="16"/>
                <w:szCs w:val="16"/>
                <w:color w:val="auto"/>
              </w:rPr>
              <w:t>Barbara Kosacz has served on our board of directors since March 2021. Ms. Kosacz served as chief</w:t>
            </w:r>
          </w:p>
        </w:tc>
      </w:tr>
      <w:tr>
        <w:trPr>
          <w:trHeight w:val="189"/>
        </w:trPr>
        <w:tc>
          <w:tcPr>
            <w:tcW w:w="2460" w:type="dxa"/>
            <w:vAlign w:val="bottom"/>
          </w:tcPr>
          <w:p>
            <w:pPr>
              <w:spacing w:after="0"/>
              <w:rPr>
                <w:sz w:val="16"/>
                <w:szCs w:val="16"/>
                <w:color w:val="auto"/>
              </w:rPr>
            </w:pPr>
          </w:p>
        </w:tc>
        <w:tc>
          <w:tcPr>
            <w:tcW w:w="8560" w:type="dxa"/>
            <w:vAlign w:val="bottom"/>
            <w:gridSpan w:val="3"/>
          </w:tcPr>
          <w:p>
            <w:pPr>
              <w:spacing w:after="0"/>
              <w:rPr>
                <w:sz w:val="20"/>
                <w:szCs w:val="20"/>
                <w:color w:val="auto"/>
              </w:rPr>
            </w:pPr>
            <w:r>
              <w:rPr>
                <w:rFonts w:ascii="Arial" w:cs="Arial" w:eastAsia="Arial" w:hAnsi="Arial"/>
                <w:sz w:val="16"/>
                <w:szCs w:val="16"/>
                <w:color w:val="auto"/>
              </w:rPr>
              <w:t>operating officer and general counsel at Kronos Bio, Inc., a clinical-stage biopharmaceutical company, from</w:t>
            </w:r>
          </w:p>
        </w:tc>
      </w:tr>
      <w:tr>
        <w:trPr>
          <w:trHeight w:val="189"/>
        </w:trPr>
        <w:tc>
          <w:tcPr>
            <w:tcW w:w="2460" w:type="dxa"/>
            <w:vAlign w:val="bottom"/>
          </w:tcPr>
          <w:p>
            <w:pPr>
              <w:spacing w:after="0"/>
              <w:rPr>
                <w:sz w:val="16"/>
                <w:szCs w:val="16"/>
                <w:color w:val="auto"/>
              </w:rPr>
            </w:pPr>
          </w:p>
        </w:tc>
        <w:tc>
          <w:tcPr>
            <w:tcW w:w="8560" w:type="dxa"/>
            <w:vAlign w:val="bottom"/>
            <w:gridSpan w:val="3"/>
          </w:tcPr>
          <w:p>
            <w:pPr>
              <w:spacing w:after="0"/>
              <w:rPr>
                <w:sz w:val="20"/>
                <w:szCs w:val="20"/>
                <w:color w:val="auto"/>
              </w:rPr>
            </w:pPr>
            <w:r>
              <w:rPr>
                <w:rFonts w:ascii="Arial" w:cs="Arial" w:eastAsia="Arial" w:hAnsi="Arial"/>
                <w:sz w:val="16"/>
                <w:szCs w:val="16"/>
                <w:color w:val="auto"/>
              </w:rPr>
              <w:t>July 2020 until February 2024, where she continues to serve as a strategic business development advisor.</w:t>
            </w:r>
          </w:p>
        </w:tc>
      </w:tr>
      <w:tr>
        <w:trPr>
          <w:trHeight w:val="189"/>
        </w:trPr>
        <w:tc>
          <w:tcPr>
            <w:tcW w:w="2460" w:type="dxa"/>
            <w:vAlign w:val="bottom"/>
          </w:tcPr>
          <w:p>
            <w:pPr>
              <w:spacing w:after="0"/>
              <w:rPr>
                <w:sz w:val="16"/>
                <w:szCs w:val="16"/>
                <w:color w:val="auto"/>
              </w:rPr>
            </w:pPr>
          </w:p>
        </w:tc>
        <w:tc>
          <w:tcPr>
            <w:tcW w:w="8560" w:type="dxa"/>
            <w:vAlign w:val="bottom"/>
            <w:gridSpan w:val="3"/>
          </w:tcPr>
          <w:p>
            <w:pPr>
              <w:spacing w:after="0"/>
              <w:rPr>
                <w:sz w:val="20"/>
                <w:szCs w:val="20"/>
                <w:color w:val="auto"/>
              </w:rPr>
            </w:pPr>
            <w:r>
              <w:rPr>
                <w:rFonts w:ascii="Arial" w:cs="Arial" w:eastAsia="Arial" w:hAnsi="Arial"/>
                <w:sz w:val="16"/>
                <w:szCs w:val="16"/>
                <w:color w:val="auto"/>
              </w:rPr>
              <w:t>Prior to joining Kronos Bio, Ms. Kosacz was a partner at Cooley LLP from January 1997 to December 2000,</w:t>
            </w:r>
          </w:p>
        </w:tc>
      </w:tr>
      <w:tr>
        <w:trPr>
          <w:trHeight w:val="189"/>
        </w:trPr>
        <w:tc>
          <w:tcPr>
            <w:tcW w:w="2460" w:type="dxa"/>
            <w:vAlign w:val="bottom"/>
          </w:tcPr>
          <w:p>
            <w:pPr>
              <w:spacing w:after="0"/>
              <w:rPr>
                <w:sz w:val="16"/>
                <w:szCs w:val="16"/>
                <w:color w:val="auto"/>
              </w:rPr>
            </w:pPr>
          </w:p>
        </w:tc>
        <w:tc>
          <w:tcPr>
            <w:tcW w:w="8560" w:type="dxa"/>
            <w:vAlign w:val="bottom"/>
            <w:gridSpan w:val="3"/>
          </w:tcPr>
          <w:p>
            <w:pPr>
              <w:spacing w:after="0"/>
              <w:rPr>
                <w:sz w:val="20"/>
                <w:szCs w:val="20"/>
                <w:color w:val="auto"/>
              </w:rPr>
            </w:pPr>
            <w:r>
              <w:rPr>
                <w:rFonts w:ascii="Arial" w:cs="Arial" w:eastAsia="Arial" w:hAnsi="Arial"/>
                <w:sz w:val="16"/>
                <w:szCs w:val="16"/>
                <w:color w:val="auto"/>
              </w:rPr>
              <w:t>and again from February 2002 until July 2020, where she led the international life sciences practice. Ms.</w:t>
            </w:r>
          </w:p>
        </w:tc>
      </w:tr>
      <w:tr>
        <w:trPr>
          <w:trHeight w:val="189"/>
        </w:trPr>
        <w:tc>
          <w:tcPr>
            <w:tcW w:w="2460" w:type="dxa"/>
            <w:vAlign w:val="bottom"/>
          </w:tcPr>
          <w:p>
            <w:pPr>
              <w:spacing w:after="0"/>
              <w:rPr>
                <w:sz w:val="16"/>
                <w:szCs w:val="16"/>
                <w:color w:val="auto"/>
              </w:rPr>
            </w:pPr>
          </w:p>
        </w:tc>
        <w:tc>
          <w:tcPr>
            <w:tcW w:w="8560" w:type="dxa"/>
            <w:vAlign w:val="bottom"/>
            <w:gridSpan w:val="3"/>
          </w:tcPr>
          <w:p>
            <w:pPr>
              <w:spacing w:after="0"/>
              <w:rPr>
                <w:sz w:val="20"/>
                <w:szCs w:val="20"/>
                <w:color w:val="auto"/>
              </w:rPr>
            </w:pPr>
            <w:r>
              <w:rPr>
                <w:rFonts w:ascii="Arial" w:cs="Arial" w:eastAsia="Arial" w:hAnsi="Arial"/>
                <w:sz w:val="16"/>
                <w:szCs w:val="16"/>
                <w:color w:val="auto"/>
              </w:rPr>
              <w:t>Kosacz has more than 25 years of experience in counseling clients in the life sciences arena, ranging from</w:t>
            </w:r>
          </w:p>
        </w:tc>
      </w:tr>
      <w:tr>
        <w:trPr>
          <w:trHeight w:val="189"/>
        </w:trPr>
        <w:tc>
          <w:tcPr>
            <w:tcW w:w="2460" w:type="dxa"/>
            <w:vAlign w:val="bottom"/>
          </w:tcPr>
          <w:p>
            <w:pPr>
              <w:spacing w:after="0"/>
              <w:rPr>
                <w:sz w:val="16"/>
                <w:szCs w:val="16"/>
                <w:color w:val="auto"/>
              </w:rPr>
            </w:pPr>
          </w:p>
        </w:tc>
        <w:tc>
          <w:tcPr>
            <w:tcW w:w="8560" w:type="dxa"/>
            <w:vAlign w:val="bottom"/>
            <w:gridSpan w:val="3"/>
          </w:tcPr>
          <w:p>
            <w:pPr>
              <w:spacing w:after="0"/>
              <w:rPr>
                <w:sz w:val="20"/>
                <w:szCs w:val="20"/>
                <w:color w:val="auto"/>
              </w:rPr>
            </w:pPr>
            <w:r>
              <w:rPr>
                <w:rFonts w:ascii="Arial" w:cs="Arial" w:eastAsia="Arial" w:hAnsi="Arial"/>
                <w:sz w:val="16"/>
                <w:szCs w:val="16"/>
                <w:color w:val="auto"/>
              </w:rPr>
              <w:t>early stage startups to larger public companies, venture funds, investment banks, and non-profit institutions.</w:t>
            </w:r>
          </w:p>
        </w:tc>
      </w:tr>
      <w:tr>
        <w:trPr>
          <w:trHeight w:val="189"/>
        </w:trPr>
        <w:tc>
          <w:tcPr>
            <w:tcW w:w="2460" w:type="dxa"/>
            <w:vAlign w:val="bottom"/>
          </w:tcPr>
          <w:p>
            <w:pPr>
              <w:spacing w:after="0"/>
              <w:rPr>
                <w:sz w:val="16"/>
                <w:szCs w:val="16"/>
                <w:color w:val="auto"/>
              </w:rPr>
            </w:pPr>
          </w:p>
        </w:tc>
        <w:tc>
          <w:tcPr>
            <w:tcW w:w="8560" w:type="dxa"/>
            <w:vAlign w:val="bottom"/>
            <w:gridSpan w:val="3"/>
          </w:tcPr>
          <w:p>
            <w:pPr>
              <w:spacing w:after="0"/>
              <w:rPr>
                <w:sz w:val="20"/>
                <w:szCs w:val="20"/>
                <w:color w:val="auto"/>
              </w:rPr>
            </w:pPr>
            <w:r>
              <w:rPr>
                <w:rFonts w:ascii="Arial" w:cs="Arial" w:eastAsia="Arial" w:hAnsi="Arial"/>
                <w:sz w:val="16"/>
                <w:szCs w:val="16"/>
                <w:color w:val="auto"/>
              </w:rPr>
              <w:t>She has served as a member of the BIO Emerging Companies’ Section Governing Board, the Board of</w:t>
            </w:r>
          </w:p>
        </w:tc>
      </w:tr>
      <w:tr>
        <w:trPr>
          <w:trHeight w:val="189"/>
        </w:trPr>
        <w:tc>
          <w:tcPr>
            <w:tcW w:w="2460" w:type="dxa"/>
            <w:vAlign w:val="bottom"/>
          </w:tcPr>
          <w:p>
            <w:pPr>
              <w:spacing w:after="0"/>
              <w:rPr>
                <w:sz w:val="16"/>
                <w:szCs w:val="16"/>
                <w:color w:val="auto"/>
              </w:rPr>
            </w:pPr>
          </w:p>
        </w:tc>
        <w:tc>
          <w:tcPr>
            <w:tcW w:w="8560" w:type="dxa"/>
            <w:vAlign w:val="bottom"/>
            <w:gridSpan w:val="3"/>
          </w:tcPr>
          <w:p>
            <w:pPr>
              <w:spacing w:after="0"/>
              <w:rPr>
                <w:sz w:val="20"/>
                <w:szCs w:val="20"/>
                <w:color w:val="auto"/>
              </w:rPr>
            </w:pPr>
            <w:r>
              <w:rPr>
                <w:rFonts w:ascii="Arial" w:cs="Arial" w:eastAsia="Arial" w:hAnsi="Arial"/>
                <w:sz w:val="16"/>
                <w:szCs w:val="16"/>
                <w:color w:val="auto"/>
              </w:rPr>
              <w:t>Trustees of the Keck Graduate Institute, the business advisory board of Locust Walk Partners, and as a</w:t>
            </w:r>
          </w:p>
        </w:tc>
      </w:tr>
      <w:tr>
        <w:trPr>
          <w:trHeight w:val="189"/>
        </w:trPr>
        <w:tc>
          <w:tcPr>
            <w:tcW w:w="2460" w:type="dxa"/>
            <w:vAlign w:val="bottom"/>
          </w:tcPr>
          <w:p>
            <w:pPr>
              <w:spacing w:after="0"/>
              <w:rPr>
                <w:sz w:val="16"/>
                <w:szCs w:val="16"/>
                <w:color w:val="auto"/>
              </w:rPr>
            </w:pPr>
          </w:p>
        </w:tc>
        <w:tc>
          <w:tcPr>
            <w:tcW w:w="8560" w:type="dxa"/>
            <w:vAlign w:val="bottom"/>
            <w:gridSpan w:val="3"/>
          </w:tcPr>
          <w:p>
            <w:pPr>
              <w:spacing w:after="0"/>
              <w:rPr>
                <w:sz w:val="20"/>
                <w:szCs w:val="20"/>
                <w:color w:val="auto"/>
              </w:rPr>
            </w:pPr>
            <w:r>
              <w:rPr>
                <w:rFonts w:ascii="Arial" w:cs="Arial" w:eastAsia="Arial" w:hAnsi="Arial"/>
                <w:sz w:val="16"/>
                <w:szCs w:val="16"/>
                <w:color w:val="auto"/>
              </w:rPr>
              <w:t>speaker at multiple life sciences-related conferences, as well as guest lecturer at the University of</w:t>
            </w:r>
          </w:p>
        </w:tc>
      </w:tr>
      <w:tr>
        <w:trPr>
          <w:trHeight w:val="189"/>
        </w:trPr>
        <w:tc>
          <w:tcPr>
            <w:tcW w:w="2460" w:type="dxa"/>
            <w:vAlign w:val="bottom"/>
          </w:tcPr>
          <w:p>
            <w:pPr>
              <w:spacing w:after="0"/>
              <w:rPr>
                <w:sz w:val="16"/>
                <w:szCs w:val="16"/>
                <w:color w:val="auto"/>
              </w:rPr>
            </w:pPr>
          </w:p>
        </w:tc>
        <w:tc>
          <w:tcPr>
            <w:tcW w:w="8560" w:type="dxa"/>
            <w:vAlign w:val="bottom"/>
            <w:gridSpan w:val="3"/>
          </w:tcPr>
          <w:p>
            <w:pPr>
              <w:spacing w:after="0"/>
              <w:rPr>
                <w:sz w:val="20"/>
                <w:szCs w:val="20"/>
                <w:color w:val="auto"/>
              </w:rPr>
            </w:pPr>
            <w:r>
              <w:rPr>
                <w:rFonts w:ascii="Arial" w:cs="Arial" w:eastAsia="Arial" w:hAnsi="Arial"/>
                <w:sz w:val="16"/>
                <w:szCs w:val="16"/>
                <w:color w:val="auto"/>
              </w:rPr>
              <w:t>California, Berkeley, Stanford University, Columbia University, and the University of Pennsylvania about</w:t>
            </w:r>
          </w:p>
        </w:tc>
      </w:tr>
      <w:tr>
        <w:trPr>
          <w:trHeight w:val="189"/>
        </w:trPr>
        <w:tc>
          <w:tcPr>
            <w:tcW w:w="2460" w:type="dxa"/>
            <w:vAlign w:val="bottom"/>
          </w:tcPr>
          <w:p>
            <w:pPr>
              <w:spacing w:after="0"/>
              <w:rPr>
                <w:sz w:val="16"/>
                <w:szCs w:val="16"/>
                <w:color w:val="auto"/>
              </w:rPr>
            </w:pPr>
          </w:p>
        </w:tc>
        <w:tc>
          <w:tcPr>
            <w:tcW w:w="8560" w:type="dxa"/>
            <w:vAlign w:val="bottom"/>
            <w:gridSpan w:val="3"/>
          </w:tcPr>
          <w:p>
            <w:pPr>
              <w:spacing w:after="0"/>
              <w:rPr>
                <w:sz w:val="20"/>
                <w:szCs w:val="20"/>
                <w:color w:val="auto"/>
              </w:rPr>
            </w:pPr>
            <w:r>
              <w:rPr>
                <w:rFonts w:ascii="Arial" w:cs="Arial" w:eastAsia="Arial" w:hAnsi="Arial"/>
                <w:sz w:val="16"/>
                <w:szCs w:val="16"/>
                <w:color w:val="auto"/>
              </w:rPr>
              <w:t>biotechnology law, biotech business models, corporate partnering negotiations and deal structures, and</w:t>
            </w:r>
          </w:p>
        </w:tc>
      </w:tr>
      <w:tr>
        <w:trPr>
          <w:trHeight w:val="189"/>
        </w:trPr>
        <w:tc>
          <w:tcPr>
            <w:tcW w:w="2460" w:type="dxa"/>
            <w:vAlign w:val="bottom"/>
          </w:tcPr>
          <w:p>
            <w:pPr>
              <w:spacing w:after="0"/>
              <w:rPr>
                <w:sz w:val="16"/>
                <w:szCs w:val="16"/>
                <w:color w:val="auto"/>
              </w:rPr>
            </w:pPr>
          </w:p>
        </w:tc>
        <w:tc>
          <w:tcPr>
            <w:tcW w:w="8560" w:type="dxa"/>
            <w:vAlign w:val="bottom"/>
            <w:gridSpan w:val="3"/>
          </w:tcPr>
          <w:p>
            <w:pPr>
              <w:spacing w:after="0"/>
              <w:rPr>
                <w:sz w:val="20"/>
                <w:szCs w:val="20"/>
                <w:color w:val="auto"/>
              </w:rPr>
            </w:pPr>
            <w:r>
              <w:rPr>
                <w:rFonts w:ascii="Arial" w:cs="Arial" w:eastAsia="Arial" w:hAnsi="Arial"/>
                <w:sz w:val="16"/>
                <w:szCs w:val="16"/>
                <w:color w:val="auto"/>
              </w:rPr>
              <w:t>bioethics. Recognized by Best Lawyers in America since 2008 and most recently as Biotechnology Lawyer</w:t>
            </w:r>
          </w:p>
        </w:tc>
      </w:tr>
      <w:tr>
        <w:trPr>
          <w:trHeight w:val="189"/>
        </w:trPr>
        <w:tc>
          <w:tcPr>
            <w:tcW w:w="2460" w:type="dxa"/>
            <w:vAlign w:val="bottom"/>
          </w:tcPr>
          <w:p>
            <w:pPr>
              <w:spacing w:after="0"/>
              <w:rPr>
                <w:sz w:val="16"/>
                <w:szCs w:val="16"/>
                <w:color w:val="auto"/>
              </w:rPr>
            </w:pPr>
          </w:p>
        </w:tc>
        <w:tc>
          <w:tcPr>
            <w:tcW w:w="8560" w:type="dxa"/>
            <w:vAlign w:val="bottom"/>
            <w:gridSpan w:val="3"/>
          </w:tcPr>
          <w:p>
            <w:pPr>
              <w:spacing w:after="0"/>
              <w:rPr>
                <w:sz w:val="20"/>
                <w:szCs w:val="20"/>
                <w:color w:val="auto"/>
              </w:rPr>
            </w:pPr>
            <w:r>
              <w:rPr>
                <w:rFonts w:ascii="Arial" w:cs="Arial" w:eastAsia="Arial" w:hAnsi="Arial"/>
                <w:sz w:val="16"/>
                <w:szCs w:val="16"/>
                <w:color w:val="auto"/>
              </w:rPr>
              <w:t>of the Year in 2018, Ms. Kosacz was listed as a “leading lawyer” for healthcare and life sciences in the 2018</w:t>
            </w:r>
          </w:p>
        </w:tc>
      </w:tr>
      <w:tr>
        <w:trPr>
          <w:trHeight w:val="189"/>
        </w:trPr>
        <w:tc>
          <w:tcPr>
            <w:tcW w:w="2460" w:type="dxa"/>
            <w:vAlign w:val="bottom"/>
          </w:tcPr>
          <w:p>
            <w:pPr>
              <w:spacing w:after="0"/>
              <w:rPr>
                <w:sz w:val="16"/>
                <w:szCs w:val="16"/>
                <w:color w:val="auto"/>
              </w:rPr>
            </w:pPr>
          </w:p>
        </w:tc>
        <w:tc>
          <w:tcPr>
            <w:tcW w:w="8560" w:type="dxa"/>
            <w:vAlign w:val="bottom"/>
            <w:gridSpan w:val="3"/>
          </w:tcPr>
          <w:p>
            <w:pPr>
              <w:spacing w:after="0"/>
              <w:rPr>
                <w:sz w:val="20"/>
                <w:szCs w:val="20"/>
                <w:color w:val="auto"/>
              </w:rPr>
            </w:pPr>
            <w:r>
              <w:rPr>
                <w:rFonts w:ascii="Arial" w:cs="Arial" w:eastAsia="Arial" w:hAnsi="Arial"/>
                <w:sz w:val="16"/>
                <w:szCs w:val="16"/>
                <w:color w:val="auto"/>
              </w:rPr>
              <w:t>Legal 500, as a “Band 1” attorney in the 2018 edition of Chambers USA: America’s Leading Lawyers for</w:t>
            </w:r>
          </w:p>
        </w:tc>
      </w:tr>
      <w:tr>
        <w:trPr>
          <w:trHeight w:val="189"/>
        </w:trPr>
        <w:tc>
          <w:tcPr>
            <w:tcW w:w="2460" w:type="dxa"/>
            <w:vAlign w:val="bottom"/>
          </w:tcPr>
          <w:p>
            <w:pPr>
              <w:spacing w:after="0"/>
              <w:rPr>
                <w:sz w:val="16"/>
                <w:szCs w:val="16"/>
                <w:color w:val="auto"/>
              </w:rPr>
            </w:pPr>
          </w:p>
        </w:tc>
        <w:tc>
          <w:tcPr>
            <w:tcW w:w="8560" w:type="dxa"/>
            <w:vAlign w:val="bottom"/>
            <w:gridSpan w:val="3"/>
          </w:tcPr>
          <w:p>
            <w:pPr>
              <w:spacing w:after="0"/>
              <w:rPr>
                <w:sz w:val="20"/>
                <w:szCs w:val="20"/>
                <w:color w:val="auto"/>
              </w:rPr>
            </w:pPr>
            <w:r>
              <w:rPr>
                <w:rFonts w:ascii="Arial" w:cs="Arial" w:eastAsia="Arial" w:hAnsi="Arial"/>
                <w:sz w:val="16"/>
                <w:szCs w:val="16"/>
                <w:color w:val="auto"/>
              </w:rPr>
              <w:t>Business and recognized as a “highly recommended transactions” lawyer by IAM Patent 1000 for her</w:t>
            </w:r>
          </w:p>
        </w:tc>
      </w:tr>
      <w:tr>
        <w:trPr>
          <w:trHeight w:val="189"/>
        </w:trPr>
        <w:tc>
          <w:tcPr>
            <w:tcW w:w="2460" w:type="dxa"/>
            <w:vAlign w:val="bottom"/>
          </w:tcPr>
          <w:p>
            <w:pPr>
              <w:spacing w:after="0"/>
              <w:rPr>
                <w:sz w:val="16"/>
                <w:szCs w:val="16"/>
                <w:color w:val="auto"/>
              </w:rPr>
            </w:pPr>
          </w:p>
        </w:tc>
        <w:tc>
          <w:tcPr>
            <w:tcW w:w="8560" w:type="dxa"/>
            <w:vAlign w:val="bottom"/>
            <w:gridSpan w:val="3"/>
          </w:tcPr>
          <w:p>
            <w:pPr>
              <w:spacing w:after="0"/>
              <w:rPr>
                <w:sz w:val="20"/>
                <w:szCs w:val="20"/>
                <w:color w:val="auto"/>
              </w:rPr>
            </w:pPr>
            <w:r>
              <w:rPr>
                <w:rFonts w:ascii="Arial" w:cs="Arial" w:eastAsia="Arial" w:hAnsi="Arial"/>
                <w:sz w:val="16"/>
                <w:szCs w:val="16"/>
                <w:color w:val="auto"/>
              </w:rPr>
              <w:t>“nearly three decades advising diverse companies in the industry at a deeply strategic and commercial level</w:t>
            </w:r>
          </w:p>
        </w:tc>
      </w:tr>
      <w:tr>
        <w:trPr>
          <w:trHeight w:val="189"/>
        </w:trPr>
        <w:tc>
          <w:tcPr>
            <w:tcW w:w="2460" w:type="dxa"/>
            <w:vAlign w:val="bottom"/>
          </w:tcPr>
          <w:p>
            <w:pPr>
              <w:spacing w:after="0"/>
              <w:rPr>
                <w:sz w:val="16"/>
                <w:szCs w:val="16"/>
                <w:color w:val="auto"/>
              </w:rPr>
            </w:pPr>
          </w:p>
        </w:tc>
        <w:tc>
          <w:tcPr>
            <w:tcW w:w="8560" w:type="dxa"/>
            <w:vAlign w:val="bottom"/>
            <w:gridSpan w:val="3"/>
          </w:tcPr>
          <w:p>
            <w:pPr>
              <w:spacing w:after="0"/>
              <w:rPr>
                <w:sz w:val="20"/>
                <w:szCs w:val="20"/>
                <w:color w:val="auto"/>
              </w:rPr>
            </w:pPr>
            <w:r>
              <w:rPr>
                <w:rFonts w:ascii="Arial" w:cs="Arial" w:eastAsia="Arial" w:hAnsi="Arial"/>
                <w:sz w:val="16"/>
                <w:szCs w:val="16"/>
                <w:color w:val="auto"/>
              </w:rPr>
              <w:t>and overseeing their most complex and profitable deals.” Ms. Kosacz is a member of the board of directors</w:t>
            </w:r>
          </w:p>
        </w:tc>
      </w:tr>
      <w:tr>
        <w:trPr>
          <w:trHeight w:val="189"/>
        </w:trPr>
        <w:tc>
          <w:tcPr>
            <w:tcW w:w="2460" w:type="dxa"/>
            <w:vAlign w:val="bottom"/>
          </w:tcPr>
          <w:p>
            <w:pPr>
              <w:spacing w:after="0"/>
              <w:rPr>
                <w:sz w:val="16"/>
                <w:szCs w:val="16"/>
                <w:color w:val="auto"/>
              </w:rPr>
            </w:pPr>
          </w:p>
        </w:tc>
        <w:tc>
          <w:tcPr>
            <w:tcW w:w="8560" w:type="dxa"/>
            <w:vAlign w:val="bottom"/>
            <w:gridSpan w:val="3"/>
          </w:tcPr>
          <w:p>
            <w:pPr>
              <w:spacing w:after="0"/>
              <w:rPr>
                <w:sz w:val="20"/>
                <w:szCs w:val="20"/>
                <w:color w:val="auto"/>
              </w:rPr>
            </w:pPr>
            <w:r>
              <w:rPr>
                <w:rFonts w:ascii="Arial" w:cs="Arial" w:eastAsia="Arial" w:hAnsi="Arial"/>
                <w:sz w:val="16"/>
                <w:szCs w:val="16"/>
                <w:color w:val="auto"/>
              </w:rPr>
              <w:t>of XOMA Corp., a public biotechnology royalty aggregation company, and Phoenix Biotech Acquisition</w:t>
            </w:r>
          </w:p>
        </w:tc>
      </w:tr>
      <w:tr>
        <w:trPr>
          <w:trHeight w:val="189"/>
        </w:trPr>
        <w:tc>
          <w:tcPr>
            <w:tcW w:w="2460" w:type="dxa"/>
            <w:vAlign w:val="bottom"/>
          </w:tcPr>
          <w:p>
            <w:pPr>
              <w:spacing w:after="0"/>
              <w:rPr>
                <w:sz w:val="16"/>
                <w:szCs w:val="16"/>
                <w:color w:val="auto"/>
              </w:rPr>
            </w:pPr>
          </w:p>
        </w:tc>
        <w:tc>
          <w:tcPr>
            <w:tcW w:w="8560" w:type="dxa"/>
            <w:vAlign w:val="bottom"/>
            <w:gridSpan w:val="3"/>
          </w:tcPr>
          <w:p>
            <w:pPr>
              <w:spacing w:after="0"/>
              <w:rPr>
                <w:sz w:val="20"/>
                <w:szCs w:val="20"/>
                <w:color w:val="auto"/>
              </w:rPr>
            </w:pPr>
            <w:r>
              <w:rPr>
                <w:rFonts w:ascii="Arial" w:cs="Arial" w:eastAsia="Arial" w:hAnsi="Arial"/>
                <w:sz w:val="16"/>
                <w:szCs w:val="16"/>
                <w:color w:val="auto"/>
              </w:rPr>
              <w:t>Corp., a blank check company formed for the purpose of acquiring or merging with one or more businesses.</w:t>
            </w:r>
          </w:p>
        </w:tc>
      </w:tr>
      <w:tr>
        <w:trPr>
          <w:trHeight w:val="189"/>
        </w:trPr>
        <w:tc>
          <w:tcPr>
            <w:tcW w:w="2460" w:type="dxa"/>
            <w:vAlign w:val="bottom"/>
          </w:tcPr>
          <w:p>
            <w:pPr>
              <w:spacing w:after="0"/>
              <w:rPr>
                <w:sz w:val="16"/>
                <w:szCs w:val="16"/>
                <w:color w:val="auto"/>
              </w:rPr>
            </w:pPr>
          </w:p>
        </w:tc>
        <w:tc>
          <w:tcPr>
            <w:tcW w:w="8560" w:type="dxa"/>
            <w:vAlign w:val="bottom"/>
            <w:gridSpan w:val="3"/>
          </w:tcPr>
          <w:p>
            <w:pPr>
              <w:spacing w:after="0"/>
              <w:rPr>
                <w:sz w:val="20"/>
                <w:szCs w:val="20"/>
                <w:color w:val="auto"/>
              </w:rPr>
            </w:pPr>
            <w:r>
              <w:rPr>
                <w:rFonts w:ascii="Arial" w:cs="Arial" w:eastAsia="Arial" w:hAnsi="Arial"/>
                <w:sz w:val="16"/>
                <w:szCs w:val="16"/>
                <w:color w:val="auto"/>
              </w:rPr>
              <w:t>Ms. Kosacz received her B.A. from Stanford University and her J.D. from the University of California,</w:t>
            </w:r>
          </w:p>
        </w:tc>
      </w:tr>
      <w:tr>
        <w:trPr>
          <w:trHeight w:val="189"/>
        </w:trPr>
        <w:tc>
          <w:tcPr>
            <w:tcW w:w="2460" w:type="dxa"/>
            <w:vAlign w:val="bottom"/>
          </w:tcPr>
          <w:p>
            <w:pPr>
              <w:spacing w:after="0"/>
              <w:rPr>
                <w:sz w:val="16"/>
                <w:szCs w:val="16"/>
                <w:color w:val="auto"/>
              </w:rPr>
            </w:pPr>
          </w:p>
        </w:tc>
        <w:tc>
          <w:tcPr>
            <w:tcW w:w="8560" w:type="dxa"/>
            <w:vAlign w:val="bottom"/>
            <w:gridSpan w:val="3"/>
          </w:tcPr>
          <w:p>
            <w:pPr>
              <w:spacing w:after="0"/>
              <w:rPr>
                <w:sz w:val="20"/>
                <w:szCs w:val="20"/>
                <w:color w:val="auto"/>
              </w:rPr>
            </w:pPr>
            <w:r>
              <w:rPr>
                <w:rFonts w:ascii="Arial" w:cs="Arial" w:eastAsia="Arial" w:hAnsi="Arial"/>
                <w:sz w:val="16"/>
                <w:szCs w:val="16"/>
                <w:color w:val="auto"/>
              </w:rPr>
              <w:t xml:space="preserve">Berkeley School of Law. </w:t>
            </w:r>
            <w:r>
              <w:rPr>
                <w:rFonts w:ascii="Arial" w:cs="Arial" w:eastAsia="Arial" w:hAnsi="Arial"/>
                <w:sz w:val="16"/>
                <w:szCs w:val="16"/>
                <w:b w:val="1"/>
                <w:bCs w:val="1"/>
                <w:color w:val="255993"/>
              </w:rPr>
              <w:t>We believe that Ms. Kosacz’s extensive experience as an advisor to life</w:t>
            </w:r>
          </w:p>
        </w:tc>
      </w:tr>
      <w:tr>
        <w:trPr>
          <w:trHeight w:val="223"/>
        </w:trPr>
        <w:tc>
          <w:tcPr>
            <w:tcW w:w="246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Arial" w:cs="Arial" w:eastAsia="Arial" w:hAnsi="Arial"/>
                <w:sz w:val="16"/>
                <w:szCs w:val="16"/>
                <w:b w:val="1"/>
                <w:bCs w:val="1"/>
                <w:color w:val="255993"/>
              </w:rPr>
              <w:t>sciences companies qualifies her to serve on our board of directors.</w:t>
            </w:r>
          </w:p>
        </w:tc>
        <w:tc>
          <w:tcPr>
            <w:tcW w:w="2780" w:type="dxa"/>
            <w:vAlign w:val="bottom"/>
          </w:tcPr>
          <w:p>
            <w:pPr>
              <w:spacing w:after="0"/>
              <w:rPr>
                <w:sz w:val="19"/>
                <w:szCs w:val="19"/>
                <w:color w:val="auto"/>
              </w:rPr>
            </w:pPr>
          </w:p>
        </w:tc>
      </w:tr>
      <w:tr>
        <w:trPr>
          <w:trHeight w:val="492"/>
        </w:trPr>
        <w:tc>
          <w:tcPr>
            <w:tcW w:w="2460" w:type="dxa"/>
            <w:vAlign w:val="bottom"/>
          </w:tcPr>
          <w:p>
            <w:pPr>
              <w:ind w:left="800"/>
              <w:spacing w:after="0"/>
              <w:rPr>
                <w:sz w:val="20"/>
                <w:szCs w:val="20"/>
                <w:color w:val="auto"/>
              </w:rPr>
            </w:pPr>
            <w:r>
              <w:rPr>
                <w:rFonts w:ascii="Arial" w:cs="Arial" w:eastAsia="Arial" w:hAnsi="Arial"/>
                <w:sz w:val="14"/>
                <w:szCs w:val="14"/>
                <w:color w:val="255993"/>
              </w:rPr>
              <w:t>Athira Pharma, Inc.</w:t>
            </w:r>
          </w:p>
        </w:tc>
        <w:tc>
          <w:tcPr>
            <w:tcW w:w="5780" w:type="dxa"/>
            <w:vAlign w:val="bottom"/>
            <w:gridSpan w:val="2"/>
          </w:tcPr>
          <w:p>
            <w:pPr>
              <w:ind w:left="2960"/>
              <w:spacing w:after="0"/>
              <w:rPr>
                <w:sz w:val="20"/>
                <w:szCs w:val="20"/>
                <w:color w:val="auto"/>
              </w:rPr>
            </w:pPr>
            <w:r>
              <w:rPr>
                <w:rFonts w:ascii="Arial" w:cs="Arial" w:eastAsia="Arial" w:hAnsi="Arial"/>
                <w:sz w:val="14"/>
                <w:szCs w:val="14"/>
                <w:b w:val="1"/>
                <w:bCs w:val="1"/>
                <w:color w:val="255993"/>
              </w:rPr>
              <w:t>10</w:t>
            </w:r>
          </w:p>
        </w:tc>
        <w:tc>
          <w:tcPr>
            <w:tcW w:w="2780" w:type="dxa"/>
            <w:vAlign w:val="bottom"/>
          </w:tcPr>
          <w:p>
            <w:pPr>
              <w:ind w:left="540"/>
              <w:spacing w:after="0"/>
              <w:rPr>
                <w:sz w:val="20"/>
                <w:szCs w:val="20"/>
                <w:color w:val="auto"/>
              </w:rPr>
            </w:pPr>
            <w:r>
              <w:rPr>
                <w:rFonts w:ascii="Arial" w:cs="Arial" w:eastAsia="Arial" w:hAnsi="Arial"/>
                <w:sz w:val="14"/>
                <w:szCs w:val="14"/>
                <w:color w:val="255993"/>
              </w:rPr>
              <w:t>2024 Proxy Statement</w:t>
            </w:r>
          </w:p>
        </w:tc>
      </w:tr>
      <w:tr>
        <w:trPr>
          <w:trHeight w:val="158"/>
        </w:trPr>
        <w:tc>
          <w:tcPr>
            <w:tcW w:w="24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438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tcPr>
          <w:p>
            <w:pPr>
              <w:spacing w:after="0"/>
              <w:rPr>
                <w:sz w:val="13"/>
                <w:szCs w:val="13"/>
                <w:color w:val="auto"/>
              </w:rPr>
            </w:pPr>
          </w:p>
        </w:tc>
      </w:tr>
    </w:tbl>
    <w:p>
      <w:pPr>
        <w:sectPr>
          <w:pgSz w:w="11900" w:h="16838" w:orient="portrait"/>
          <w:cols w:equalWidth="0" w:num="1">
            <w:col w:w="11020"/>
          </w:cols>
          <w:pgMar w:left="440" w:top="263" w:right="439" w:bottom="1440" w:gutter="0" w:footer="0" w:header="0"/>
        </w:sectPr>
      </w:pPr>
    </w:p>
    <w:bookmarkStart w:id="19" w:name="page20"/>
    <w:bookmarkEnd w:id="19"/>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7260"/>
        <w:spacing w:after="0"/>
        <w:rPr>
          <w:sz w:val="20"/>
          <w:szCs w:val="20"/>
          <w:color w:val="auto"/>
        </w:rPr>
      </w:pPr>
      <w:r>
        <w:rPr>
          <w:rFonts w:ascii="Arial" w:cs="Arial" w:eastAsia="Arial" w:hAnsi="Arial"/>
          <w:sz w:val="14"/>
          <w:szCs w:val="14"/>
          <w:color w:val="255993"/>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143510</wp:posOffset>
            </wp:positionV>
            <wp:extent cx="882650" cy="8826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2650" cy="882650"/>
                    </a:xfrm>
                    <a:prstGeom prst="rect">
                      <a:avLst/>
                    </a:prstGeom>
                    <a:noFill/>
                  </pic:spPr>
                </pic:pic>
              </a:graphicData>
            </a:graphic>
          </wp:anchor>
        </w:drawing>
      </w:r>
    </w:p>
    <w:p>
      <w:pPr>
        <w:spacing w:after="0" w:line="390" w:lineRule="exact"/>
        <w:rPr>
          <w:sz w:val="20"/>
          <w:szCs w:val="20"/>
          <w:color w:val="auto"/>
        </w:rPr>
      </w:pPr>
    </w:p>
    <w:tbl>
      <w:tblPr>
        <w:tblLayout w:type="fixed"/>
        <w:tblInd w:w="800" w:type="dxa"/>
        <w:tblCellMar>
          <w:top w:w="0" w:type="dxa"/>
          <w:left w:w="0" w:type="dxa"/>
          <w:bottom w:w="0" w:type="dxa"/>
          <w:right w:w="0" w:type="dxa"/>
        </w:tblCellMar>
      </w:tblPr>
      <w:tr>
        <w:trPr>
          <w:trHeight w:val="522"/>
        </w:trPr>
        <w:tc>
          <w:tcPr>
            <w:tcW w:w="1620" w:type="dxa"/>
            <w:vAlign w:val="bottom"/>
          </w:tcPr>
          <w:p>
            <w:pPr>
              <w:spacing w:after="0"/>
              <w:rPr>
                <w:sz w:val="24"/>
                <w:szCs w:val="24"/>
                <w:color w:val="auto"/>
              </w:rPr>
            </w:pPr>
          </w:p>
        </w:tc>
        <w:tc>
          <w:tcPr>
            <w:tcW w:w="7740" w:type="dxa"/>
            <w:vAlign w:val="bottom"/>
            <w:gridSpan w:val="2"/>
          </w:tcPr>
          <w:p>
            <w:pPr>
              <w:spacing w:after="0"/>
              <w:rPr>
                <w:sz w:val="20"/>
                <w:szCs w:val="20"/>
                <w:color w:val="auto"/>
              </w:rPr>
            </w:pPr>
            <w:r>
              <w:rPr>
                <w:rFonts w:ascii="Arial" w:cs="Arial" w:eastAsia="Arial" w:hAnsi="Arial"/>
                <w:sz w:val="40"/>
                <w:szCs w:val="40"/>
                <w:color w:val="255993"/>
              </w:rPr>
              <w:t>Mark Litton</w:t>
            </w: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7740" w:type="dxa"/>
            <w:vAlign w:val="bottom"/>
            <w:gridSpan w:val="2"/>
          </w:tcPr>
          <w:p>
            <w:pPr>
              <w:spacing w:after="0"/>
              <w:rPr>
                <w:sz w:val="20"/>
                <w:szCs w:val="20"/>
                <w:color w:val="auto"/>
              </w:rPr>
            </w:pPr>
            <w:r>
              <w:rPr>
                <w:rFonts w:ascii="Arial" w:cs="Arial" w:eastAsia="Arial" w:hAnsi="Arial"/>
                <w:sz w:val="14"/>
                <w:szCs w:val="14"/>
                <w:b w:val="1"/>
                <w:bCs w:val="1"/>
                <w:color w:val="auto"/>
              </w:rPr>
              <w:t>AGE: 56  DIRECTOR SINCE: OCTOBER 2021</w:t>
            </w:r>
          </w:p>
        </w:tc>
        <w:tc>
          <w:tcPr>
            <w:tcW w:w="0" w:type="dxa"/>
            <w:vAlign w:val="bottom"/>
          </w:tcPr>
          <w:p>
            <w:pPr>
              <w:spacing w:after="0"/>
              <w:rPr>
                <w:sz w:val="1"/>
                <w:szCs w:val="1"/>
                <w:color w:val="auto"/>
              </w:rPr>
            </w:pPr>
          </w:p>
        </w:tc>
      </w:tr>
      <w:tr>
        <w:trPr>
          <w:trHeight w:val="239"/>
        </w:trPr>
        <w:tc>
          <w:tcPr>
            <w:tcW w:w="1620" w:type="dxa"/>
            <w:vAlign w:val="bottom"/>
            <w:vMerge w:val="restart"/>
          </w:tcPr>
          <w:p>
            <w:pPr>
              <w:spacing w:after="0"/>
              <w:rPr>
                <w:sz w:val="20"/>
                <w:szCs w:val="20"/>
                <w:color w:val="auto"/>
              </w:rPr>
            </w:pPr>
            <w:r>
              <w:rPr>
                <w:rFonts w:ascii="Arial" w:cs="Arial" w:eastAsia="Arial" w:hAnsi="Arial"/>
                <w:sz w:val="16"/>
                <w:szCs w:val="16"/>
                <w:color w:val="auto"/>
              </w:rPr>
              <w:t xml:space="preserve">  </w:t>
            </w:r>
          </w:p>
        </w:tc>
        <w:tc>
          <w:tcPr>
            <w:tcW w:w="1380" w:type="dxa"/>
            <w:vAlign w:val="bottom"/>
            <w:tcBorders>
              <w:bottom w:val="single" w:sz="8" w:color="F8991D"/>
            </w:tcBorders>
          </w:tcPr>
          <w:p>
            <w:pPr>
              <w:spacing w:after="0"/>
              <w:rPr>
                <w:sz w:val="20"/>
                <w:szCs w:val="20"/>
                <w:color w:val="auto"/>
              </w:rPr>
            </w:pPr>
          </w:p>
        </w:tc>
        <w:tc>
          <w:tcPr>
            <w:tcW w:w="6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1620" w:type="dxa"/>
            <w:vAlign w:val="bottom"/>
            <w:vMerge w:val="continue"/>
          </w:tcPr>
          <w:p>
            <w:pPr>
              <w:spacing w:after="0"/>
              <w:rPr>
                <w:sz w:val="24"/>
                <w:szCs w:val="24"/>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Mark Litton, Ph.D., has served as our president and chief executive officer and member of our board of</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directors since October 2021 and previously served as our chief operating officer since July 2019. Prior to</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joining us, Dr. Litton served as the president and chief operating officer of Alpine Immune Sciences, Inc., a</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publicly traded biotechnology company, from August 2018 to April 2019. Dr. Litton served as the chief</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business officer, treasurer, and secretary from 2004 to 2018 of Alder BioPharmaceuticals, Inc., a publicly</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traded biopharmaceutical company co-founded by Dr. Litton in 2004, which was acquired by Lundbeck A/S</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in October 2019. From 1999 to 2004, Dr. Litton served as vice president of business development for</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Celltech Group, where he was responsible for securing, commercializing, and partnering on numerous novel</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discoveries and therapeutic programs. In 1999, Dr. Litton joined Celltech Group as an employee of</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Chiroscience Group plc and was later promoted to vice president of business development after</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Chiroscience’s merger with Celltech Group in 1999. From 1997 to 1999, Dr. Litton served as the manager of</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business development for Ribozyme Pharmaceuticals Inc. (now Sirna Therapeutics, Inc.), a</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biopharmaceutical company and wholly owned subsidiary of Alnylam Pharmaceuticals, Inc., where he</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helped form relationships with Eli Lilly and Company, Roche Bioscience and GlaxoWellcome plc (now</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GlaxoSmithKline plc) a biopharmaceutical company. From 1991 to 1994, Dr. Litton served as a research</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associate for DNAX Research Institute, a research facility of Schering-Plough (now Merck &amp; Co., a publicly</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traded pharmaceutical company). Dr. Litton earned a Ph.D. in immunology from Stockholm University in</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1997, an M.B.A. from Santa Clara University in 1994 and a B.A. in biochemistry and molecular biology from</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 xml:space="preserve">the University of California Santa Cruz in 1990. </w:t>
            </w:r>
            <w:r>
              <w:rPr>
                <w:rFonts w:ascii="Arial" w:cs="Arial" w:eastAsia="Arial" w:hAnsi="Arial"/>
                <w:sz w:val="16"/>
                <w:szCs w:val="16"/>
                <w:b w:val="1"/>
                <w:bCs w:val="1"/>
                <w:color w:val="255993"/>
              </w:rPr>
              <w:t>We believe that Dr. Litton’s experience in the</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b w:val="1"/>
                <w:bCs w:val="1"/>
                <w:color w:val="255993"/>
              </w:rPr>
              <w:t>biopharmaceutical industry and the perspective and experience he brings as our chief executive</w:t>
            </w:r>
          </w:p>
        </w:tc>
        <w:tc>
          <w:tcPr>
            <w:tcW w:w="0" w:type="dxa"/>
            <w:vAlign w:val="bottom"/>
          </w:tcPr>
          <w:p>
            <w:pPr>
              <w:spacing w:after="0"/>
              <w:rPr>
                <w:sz w:val="1"/>
                <w:szCs w:val="1"/>
                <w:color w:val="auto"/>
              </w:rPr>
            </w:pPr>
          </w:p>
        </w:tc>
      </w:tr>
      <w:tr>
        <w:trPr>
          <w:trHeight w:val="223"/>
        </w:trPr>
        <w:tc>
          <w:tcPr>
            <w:tcW w:w="1620" w:type="dxa"/>
            <w:vAlign w:val="bottom"/>
          </w:tcPr>
          <w:p>
            <w:pPr>
              <w:spacing w:after="0"/>
              <w:rPr>
                <w:sz w:val="19"/>
                <w:szCs w:val="19"/>
                <w:color w:val="auto"/>
              </w:rPr>
            </w:pPr>
          </w:p>
        </w:tc>
        <w:tc>
          <w:tcPr>
            <w:tcW w:w="7740" w:type="dxa"/>
            <w:vAlign w:val="bottom"/>
            <w:gridSpan w:val="2"/>
          </w:tcPr>
          <w:p>
            <w:pPr>
              <w:spacing w:after="0"/>
              <w:rPr>
                <w:sz w:val="20"/>
                <w:szCs w:val="20"/>
                <w:color w:val="auto"/>
              </w:rPr>
            </w:pPr>
            <w:r>
              <w:rPr>
                <w:rFonts w:ascii="Arial" w:cs="Arial" w:eastAsia="Arial" w:hAnsi="Arial"/>
                <w:sz w:val="16"/>
                <w:szCs w:val="16"/>
                <w:b w:val="1"/>
                <w:bCs w:val="1"/>
                <w:color w:val="255993"/>
              </w:rPr>
              <w:t>officer qualifies him to serve on our board of directors.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381635</wp:posOffset>
            </wp:positionV>
            <wp:extent cx="882650" cy="8915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265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509"/>
        </w:trPr>
        <w:tc>
          <w:tcPr>
            <w:tcW w:w="242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Arial" w:cs="Arial" w:eastAsia="Arial" w:hAnsi="Arial"/>
                <w:sz w:val="40"/>
                <w:szCs w:val="40"/>
                <w:color w:val="255993"/>
              </w:rPr>
              <w:t>Michael Panzara</w:t>
            </w:r>
          </w:p>
        </w:tc>
        <w:tc>
          <w:tcPr>
            <w:tcW w:w="3840" w:type="dxa"/>
            <w:vAlign w:val="bottom"/>
          </w:tcPr>
          <w:p>
            <w:pPr>
              <w:spacing w:after="0"/>
              <w:rPr>
                <w:sz w:val="24"/>
                <w:szCs w:val="24"/>
                <w:color w:val="auto"/>
              </w:rPr>
            </w:pPr>
          </w:p>
        </w:tc>
      </w:tr>
      <w:tr>
        <w:trPr>
          <w:trHeight w:val="196"/>
        </w:trPr>
        <w:tc>
          <w:tcPr>
            <w:tcW w:w="2420" w:type="dxa"/>
            <w:vAlign w:val="bottom"/>
          </w:tcPr>
          <w:p>
            <w:pPr>
              <w:spacing w:after="0"/>
              <w:rPr>
                <w:sz w:val="17"/>
                <w:szCs w:val="17"/>
                <w:color w:val="auto"/>
              </w:rPr>
            </w:pPr>
          </w:p>
        </w:tc>
        <w:tc>
          <w:tcPr>
            <w:tcW w:w="4760" w:type="dxa"/>
            <w:vAlign w:val="bottom"/>
            <w:gridSpan w:val="2"/>
          </w:tcPr>
          <w:p>
            <w:pPr>
              <w:spacing w:after="0"/>
              <w:rPr>
                <w:sz w:val="20"/>
                <w:szCs w:val="20"/>
                <w:color w:val="auto"/>
              </w:rPr>
            </w:pPr>
            <w:r>
              <w:rPr>
                <w:rFonts w:ascii="Arial" w:cs="Arial" w:eastAsia="Arial" w:hAnsi="Arial"/>
                <w:sz w:val="14"/>
                <w:szCs w:val="14"/>
                <w:b w:val="1"/>
                <w:bCs w:val="1"/>
                <w:color w:val="auto"/>
              </w:rPr>
              <w:t>AGE: 56  DIRECTOR SINCE: MARCH 2022</w:t>
            </w:r>
          </w:p>
        </w:tc>
        <w:tc>
          <w:tcPr>
            <w:tcW w:w="3840" w:type="dxa"/>
            <w:vAlign w:val="bottom"/>
          </w:tcPr>
          <w:p>
            <w:pPr>
              <w:spacing w:after="0"/>
              <w:rPr>
                <w:sz w:val="17"/>
                <w:szCs w:val="17"/>
                <w:color w:val="auto"/>
              </w:rPr>
            </w:pPr>
          </w:p>
        </w:tc>
      </w:tr>
      <w:tr>
        <w:trPr>
          <w:trHeight w:val="238"/>
        </w:trPr>
        <w:tc>
          <w:tcPr>
            <w:tcW w:w="2420" w:type="dxa"/>
            <w:vAlign w:val="bottom"/>
          </w:tcPr>
          <w:p>
            <w:pPr>
              <w:spacing w:after="0"/>
              <w:rPr>
                <w:sz w:val="20"/>
                <w:szCs w:val="20"/>
                <w:color w:val="auto"/>
              </w:rPr>
            </w:pPr>
          </w:p>
        </w:tc>
        <w:tc>
          <w:tcPr>
            <w:tcW w:w="1400" w:type="dxa"/>
            <w:vAlign w:val="bottom"/>
            <w:tcBorders>
              <w:bottom w:val="single" w:sz="8" w:color="F8991D"/>
            </w:tcBorders>
          </w:tcPr>
          <w:p>
            <w:pPr>
              <w:spacing w:after="0"/>
              <w:rPr>
                <w:sz w:val="20"/>
                <w:szCs w:val="20"/>
                <w:color w:val="auto"/>
              </w:rPr>
            </w:pPr>
          </w:p>
        </w:tc>
        <w:tc>
          <w:tcPr>
            <w:tcW w:w="7200" w:type="dxa"/>
            <w:vAlign w:val="bottom"/>
            <w:gridSpan w:val="2"/>
          </w:tcPr>
          <w:p>
            <w:pPr>
              <w:spacing w:after="0"/>
              <w:rPr>
                <w:sz w:val="20"/>
                <w:szCs w:val="20"/>
                <w:color w:val="auto"/>
              </w:rPr>
            </w:pPr>
          </w:p>
        </w:tc>
      </w:tr>
      <w:tr>
        <w:trPr>
          <w:trHeight w:val="431"/>
        </w:trPr>
        <w:tc>
          <w:tcPr>
            <w:tcW w:w="2420" w:type="dxa"/>
            <w:vAlign w:val="bottom"/>
          </w:tcPr>
          <w:p>
            <w:pPr>
              <w:ind w:left="800"/>
              <w:spacing w:after="0"/>
              <w:rPr>
                <w:sz w:val="20"/>
                <w:szCs w:val="20"/>
                <w:color w:val="auto"/>
              </w:rPr>
            </w:pPr>
            <w:r>
              <w:rPr>
                <w:rFonts w:ascii="Arial" w:cs="Arial" w:eastAsia="Arial" w:hAnsi="Arial"/>
                <w:sz w:val="16"/>
                <w:szCs w:val="16"/>
                <w:color w:val="auto"/>
              </w:rPr>
              <w:t xml:space="preserve">  </w:t>
            </w:r>
          </w:p>
        </w:tc>
        <w:tc>
          <w:tcPr>
            <w:tcW w:w="8600" w:type="dxa"/>
            <w:vAlign w:val="bottom"/>
            <w:gridSpan w:val="3"/>
          </w:tcPr>
          <w:p>
            <w:pPr>
              <w:spacing w:after="0"/>
              <w:rPr>
                <w:sz w:val="20"/>
                <w:szCs w:val="20"/>
                <w:color w:val="auto"/>
              </w:rPr>
            </w:pPr>
            <w:r>
              <w:rPr>
                <w:rFonts w:ascii="Arial" w:cs="Arial" w:eastAsia="Arial" w:hAnsi="Arial"/>
                <w:sz w:val="16"/>
                <w:szCs w:val="16"/>
                <w:color w:val="auto"/>
              </w:rPr>
              <w:t>Michael Panzara, M.D., M.P.H., has served on our board of directors since March 2022. Dr. Panzara has</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served as chief medical officer at Neurvati Neurosciences, Inc., a Blackstone Life Sciences portfolio</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company, since October 2022. Previously, Dr. Panzara served as chief medical officer and head of</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therapeutics discovery and development at Wave Life Sciences Ltd., a publicly traded genetic medicines</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company, since May 2020, where he previously served as chief medical officer from November 2018 to May</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2020 and as franchise lead of neurology from July 2016 to November 2018. Prior to joining Wave Life</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Sciences, Dr. Panzara served in various roles at Sanofi Genzyme, including most recently as head of</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multiple sclerosis, neurology and ophthalmology therapeutic area for global development. Dr. Panzara has</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held numerous other positions in the healthcare and biopharmaceutical industries, including vice president</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and chief medical officer in neurology at Biogen, and instructor in neurology at Harvard Medical School with</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clinical appointments at Brigham &amp; Women’s Hospital and Massachusetts General Hospital. Dr. Panzara</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earned an M.P.H from Harvard School of Public Health in 2002, an M.D. from Stanford University School of</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 xml:space="preserve">Medicine in 1994, and a B.A. in biology from the University of Pennsylvania in 1989. </w:t>
            </w:r>
            <w:r>
              <w:rPr>
                <w:rFonts w:ascii="Arial" w:cs="Arial" w:eastAsia="Arial" w:hAnsi="Arial"/>
                <w:sz w:val="16"/>
                <w:szCs w:val="16"/>
                <w:b w:val="1"/>
                <w:bCs w:val="1"/>
                <w:color w:val="255993"/>
              </w:rPr>
              <w:t>We believe that</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b w:val="1"/>
                <w:bCs w:val="1"/>
                <w:color w:val="255993"/>
              </w:rPr>
              <w:t>Dr. Panzara’s extensive experience in the healthcare and biopharmaceutical industries qualifies him</w:t>
            </w:r>
          </w:p>
        </w:tc>
      </w:tr>
      <w:tr>
        <w:trPr>
          <w:trHeight w:val="223"/>
        </w:trPr>
        <w:tc>
          <w:tcPr>
            <w:tcW w:w="24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6"/>
                <w:szCs w:val="16"/>
                <w:b w:val="1"/>
                <w:bCs w:val="1"/>
                <w:color w:val="255993"/>
              </w:rPr>
              <w:t>to serve on our board of directors.</w:t>
            </w:r>
          </w:p>
        </w:tc>
        <w:tc>
          <w:tcPr>
            <w:tcW w:w="3840" w:type="dxa"/>
            <w:vAlign w:val="bottom"/>
          </w:tcPr>
          <w:p>
            <w:pPr>
              <w:spacing w:after="0"/>
              <w:rPr>
                <w:sz w:val="19"/>
                <w:szCs w:val="19"/>
                <w:color w:val="auto"/>
              </w:rPr>
            </w:pPr>
          </w:p>
        </w:tc>
      </w:tr>
      <w:tr>
        <w:trPr>
          <w:trHeight w:val="491"/>
        </w:trPr>
        <w:tc>
          <w:tcPr>
            <w:tcW w:w="2420" w:type="dxa"/>
            <w:vAlign w:val="bottom"/>
          </w:tcPr>
          <w:p>
            <w:pPr>
              <w:ind w:left="800"/>
              <w:spacing w:after="0"/>
              <w:rPr>
                <w:sz w:val="20"/>
                <w:szCs w:val="20"/>
                <w:color w:val="auto"/>
              </w:rPr>
            </w:pPr>
            <w:r>
              <w:rPr>
                <w:rFonts w:ascii="Arial" w:cs="Arial" w:eastAsia="Arial" w:hAnsi="Arial"/>
                <w:sz w:val="14"/>
                <w:szCs w:val="14"/>
                <w:color w:val="255993"/>
              </w:rPr>
              <w:t>Athira Pharma, Inc.</w:t>
            </w:r>
          </w:p>
        </w:tc>
        <w:tc>
          <w:tcPr>
            <w:tcW w:w="4760" w:type="dxa"/>
            <w:vAlign w:val="bottom"/>
            <w:gridSpan w:val="2"/>
          </w:tcPr>
          <w:p>
            <w:pPr>
              <w:ind w:left="3000"/>
              <w:spacing w:after="0"/>
              <w:rPr>
                <w:sz w:val="20"/>
                <w:szCs w:val="20"/>
                <w:color w:val="auto"/>
              </w:rPr>
            </w:pPr>
            <w:r>
              <w:rPr>
                <w:rFonts w:ascii="Arial" w:cs="Arial" w:eastAsia="Arial" w:hAnsi="Arial"/>
                <w:sz w:val="14"/>
                <w:szCs w:val="14"/>
                <w:b w:val="1"/>
                <w:bCs w:val="1"/>
                <w:color w:val="255993"/>
              </w:rPr>
              <w:t>11</w:t>
            </w:r>
          </w:p>
        </w:tc>
        <w:tc>
          <w:tcPr>
            <w:tcW w:w="3840" w:type="dxa"/>
            <w:vAlign w:val="bottom"/>
          </w:tcPr>
          <w:p>
            <w:pPr>
              <w:ind w:left="1600"/>
              <w:spacing w:after="0"/>
              <w:rPr>
                <w:sz w:val="20"/>
                <w:szCs w:val="20"/>
                <w:color w:val="auto"/>
              </w:rPr>
            </w:pPr>
            <w:r>
              <w:rPr>
                <w:rFonts w:ascii="Arial" w:cs="Arial" w:eastAsia="Arial" w:hAnsi="Arial"/>
                <w:sz w:val="14"/>
                <w:szCs w:val="14"/>
                <w:color w:val="255993"/>
              </w:rPr>
              <w:t>2024 Proxy Statement</w:t>
            </w:r>
          </w:p>
        </w:tc>
      </w:tr>
      <w:tr>
        <w:trPr>
          <w:trHeight w:val="158"/>
        </w:trPr>
        <w:tc>
          <w:tcPr>
            <w:tcW w:w="24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3360" w:type="dxa"/>
            <w:vAlign w:val="bottom"/>
            <w:tcBorders>
              <w:bottom w:val="single" w:sz="8" w:color="auto"/>
            </w:tcBorders>
          </w:tcPr>
          <w:p>
            <w:pPr>
              <w:spacing w:after="0"/>
              <w:rPr>
                <w:sz w:val="13"/>
                <w:szCs w:val="13"/>
                <w:color w:val="auto"/>
              </w:rPr>
            </w:pPr>
          </w:p>
        </w:tc>
        <w:tc>
          <w:tcPr>
            <w:tcW w:w="3840" w:type="dxa"/>
            <w:vAlign w:val="bottom"/>
            <w:tcBorders>
              <w:bottom w:val="single" w:sz="8" w:color="auto"/>
            </w:tcBorders>
          </w:tcPr>
          <w:p>
            <w:pPr>
              <w:spacing w:after="0"/>
              <w:rPr>
                <w:sz w:val="13"/>
                <w:szCs w:val="13"/>
                <w:color w:val="auto"/>
              </w:rPr>
            </w:pPr>
          </w:p>
        </w:tc>
      </w:tr>
    </w:tbl>
    <w:p>
      <w:pPr>
        <w:sectPr>
          <w:pgSz w:w="11900" w:h="16838" w:orient="portrait"/>
          <w:cols w:equalWidth="0" w:num="1">
            <w:col w:w="11020"/>
          </w:cols>
          <w:pgMar w:left="440" w:top="263" w:right="439" w:bottom="1440" w:gutter="0" w:footer="0" w:header="0"/>
        </w:sectPr>
      </w:pPr>
    </w:p>
    <w:bookmarkStart w:id="20" w:name="page21"/>
    <w:bookmarkEnd w:id="20"/>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800"/>
        <w:spacing w:after="0"/>
        <w:rPr>
          <w:sz w:val="20"/>
          <w:szCs w:val="20"/>
          <w:color w:val="auto"/>
        </w:rPr>
      </w:pPr>
      <w:r>
        <w:rPr>
          <w:rFonts w:ascii="Arial" w:cs="Arial" w:eastAsia="Arial" w:hAnsi="Arial"/>
          <w:sz w:val="14"/>
          <w:szCs w:val="14"/>
          <w:color w:val="255993"/>
        </w:rPr>
        <w:t>Board of Directors and Corporate Governance</w:t>
      </w:r>
    </w:p>
    <w:p>
      <w:pPr>
        <w:spacing w:after="0" w:line="11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F8991D"/>
        </w:rPr>
        <w:t>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128905</wp:posOffset>
            </wp:positionV>
            <wp:extent cx="882650" cy="8832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2650" cy="883285"/>
                    </a:xfrm>
                    <a:prstGeom prst="rect">
                      <a:avLst/>
                    </a:prstGeom>
                    <a:noFill/>
                  </pic:spPr>
                </pic:pic>
              </a:graphicData>
            </a:graphic>
          </wp:anchor>
        </w:drawing>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495"/>
        </w:trPr>
        <w:tc>
          <w:tcPr>
            <w:tcW w:w="242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40"/>
                <w:szCs w:val="40"/>
                <w:color w:val="255993"/>
              </w:rPr>
              <w:t>Kelly A. Romano</w:t>
            </w:r>
          </w:p>
        </w:tc>
        <w:tc>
          <w:tcPr>
            <w:tcW w:w="3820" w:type="dxa"/>
            <w:vAlign w:val="bottom"/>
          </w:tcPr>
          <w:p>
            <w:pPr>
              <w:spacing w:after="0"/>
              <w:rPr>
                <w:sz w:val="24"/>
                <w:szCs w:val="24"/>
                <w:color w:val="auto"/>
              </w:rPr>
            </w:pPr>
          </w:p>
        </w:tc>
      </w:tr>
      <w:tr>
        <w:trPr>
          <w:trHeight w:val="196"/>
        </w:trPr>
        <w:tc>
          <w:tcPr>
            <w:tcW w:w="2420" w:type="dxa"/>
            <w:vAlign w:val="bottom"/>
          </w:tcPr>
          <w:p>
            <w:pPr>
              <w:spacing w:after="0"/>
              <w:rPr>
                <w:sz w:val="17"/>
                <w:szCs w:val="17"/>
                <w:color w:val="auto"/>
              </w:rPr>
            </w:pPr>
          </w:p>
        </w:tc>
        <w:tc>
          <w:tcPr>
            <w:tcW w:w="4780" w:type="dxa"/>
            <w:vAlign w:val="bottom"/>
            <w:gridSpan w:val="2"/>
          </w:tcPr>
          <w:p>
            <w:pPr>
              <w:spacing w:after="0"/>
              <w:rPr>
                <w:sz w:val="20"/>
                <w:szCs w:val="20"/>
                <w:color w:val="auto"/>
              </w:rPr>
            </w:pPr>
            <w:r>
              <w:rPr>
                <w:rFonts w:ascii="Arial" w:cs="Arial" w:eastAsia="Arial" w:hAnsi="Arial"/>
                <w:sz w:val="14"/>
                <w:szCs w:val="14"/>
                <w:b w:val="1"/>
                <w:bCs w:val="1"/>
                <w:color w:val="auto"/>
              </w:rPr>
              <w:t>AGE: 61  DIRECTOR SINCE: DECEMBER 2020</w:t>
            </w:r>
          </w:p>
        </w:tc>
        <w:tc>
          <w:tcPr>
            <w:tcW w:w="3820" w:type="dxa"/>
            <w:vAlign w:val="bottom"/>
          </w:tcPr>
          <w:p>
            <w:pPr>
              <w:spacing w:after="0"/>
              <w:rPr>
                <w:sz w:val="17"/>
                <w:szCs w:val="17"/>
                <w:color w:val="auto"/>
              </w:rPr>
            </w:pPr>
          </w:p>
        </w:tc>
      </w:tr>
      <w:tr>
        <w:trPr>
          <w:trHeight w:val="225"/>
        </w:trPr>
        <w:tc>
          <w:tcPr>
            <w:tcW w:w="2420" w:type="dxa"/>
            <w:vAlign w:val="bottom"/>
          </w:tcPr>
          <w:p>
            <w:pPr>
              <w:spacing w:after="0"/>
              <w:rPr>
                <w:sz w:val="19"/>
                <w:szCs w:val="19"/>
                <w:color w:val="auto"/>
              </w:rPr>
            </w:pPr>
          </w:p>
        </w:tc>
        <w:tc>
          <w:tcPr>
            <w:tcW w:w="1400" w:type="dxa"/>
            <w:vAlign w:val="bottom"/>
            <w:tcBorders>
              <w:bottom w:val="single" w:sz="8" w:color="F8991D"/>
            </w:tcBorders>
          </w:tcPr>
          <w:p>
            <w:pPr>
              <w:spacing w:after="0"/>
              <w:rPr>
                <w:sz w:val="19"/>
                <w:szCs w:val="19"/>
                <w:color w:val="auto"/>
              </w:rPr>
            </w:pPr>
          </w:p>
        </w:tc>
        <w:tc>
          <w:tcPr>
            <w:tcW w:w="7200" w:type="dxa"/>
            <w:vAlign w:val="bottom"/>
            <w:gridSpan w:val="2"/>
          </w:tcPr>
          <w:p>
            <w:pPr>
              <w:spacing w:after="0"/>
              <w:rPr>
                <w:sz w:val="19"/>
                <w:szCs w:val="19"/>
                <w:color w:val="auto"/>
              </w:rPr>
            </w:pPr>
          </w:p>
        </w:tc>
      </w:tr>
      <w:tr>
        <w:trPr>
          <w:trHeight w:val="431"/>
        </w:trPr>
        <w:tc>
          <w:tcPr>
            <w:tcW w:w="2420" w:type="dxa"/>
            <w:vAlign w:val="bottom"/>
          </w:tcPr>
          <w:p>
            <w:pPr>
              <w:ind w:left="800"/>
              <w:spacing w:after="0"/>
              <w:rPr>
                <w:sz w:val="20"/>
                <w:szCs w:val="20"/>
                <w:color w:val="auto"/>
              </w:rPr>
            </w:pPr>
            <w:r>
              <w:rPr>
                <w:rFonts w:ascii="Arial" w:cs="Arial" w:eastAsia="Arial" w:hAnsi="Arial"/>
                <w:sz w:val="16"/>
                <w:szCs w:val="16"/>
                <w:color w:val="auto"/>
              </w:rPr>
              <w:t> </w:t>
            </w:r>
          </w:p>
        </w:tc>
        <w:tc>
          <w:tcPr>
            <w:tcW w:w="8600" w:type="dxa"/>
            <w:vAlign w:val="bottom"/>
            <w:gridSpan w:val="3"/>
          </w:tcPr>
          <w:p>
            <w:pPr>
              <w:spacing w:after="0"/>
              <w:rPr>
                <w:sz w:val="20"/>
                <w:szCs w:val="20"/>
                <w:color w:val="auto"/>
              </w:rPr>
            </w:pPr>
            <w:r>
              <w:rPr>
                <w:rFonts w:ascii="Arial" w:cs="Arial" w:eastAsia="Arial" w:hAnsi="Arial"/>
                <w:sz w:val="16"/>
                <w:szCs w:val="16"/>
                <w:color w:val="auto"/>
              </w:rPr>
              <w:t>Kelly A. Romano has served as chairwoman of our board of directors since August 2021 and as a member</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of our board of directors since December 2020. Ms. Romano brings over 30 years of executive operating</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experience with technology companies, with a background in commercial buildings and aerospace. Ms.</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Romano is the chief executive officer of BlueRipple Capital, LLC, a consultancy firm she founded in May</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2018. Ms. Romano previously served as an operating partner at AE Industrial Partners, a private equity firm</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focused on aerospace and industrial investments, from August 2020 to July 2023. Ms. Romano has also</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served on the Executive Advisory Board at Gryphon Investors, a middle-market private equity firm, since</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December 2016. Previously, she spent 32 years working at United Technologies Corp. (UTC) and held a</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number of senior executive global positions, including president of Intelligent Building Technologies in UTC</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Building &amp; Industrial Systems and president of Building Systems &amp; Services at Carrier Corporation. Ms.</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Romano is also a member of several boards of directors, including UGI Corporation, Dorman Products, Inc.,</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Potter Global Technologies and Altus Fire &amp; Life Safety. Ms. Romano earned a B.S. in business</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administration from the State University of New York at Buffalo, an M.B.A. from Syracuse University, and is a</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graduate of the Northwestern University Kellogg School of Management’s Corporate Board Governance</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Executive Program, as well as senior executive programs at Darden School of Management, University of</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 xml:space="preserve">Virginia. </w:t>
            </w:r>
            <w:r>
              <w:rPr>
                <w:rFonts w:ascii="Arial" w:cs="Arial" w:eastAsia="Arial" w:hAnsi="Arial"/>
                <w:sz w:val="16"/>
                <w:szCs w:val="16"/>
                <w:b w:val="1"/>
                <w:bCs w:val="1"/>
                <w:color w:val="255993"/>
              </w:rPr>
              <w:t>We believe that Ms. Romano’s executive operating experience and aptitude for</w:t>
            </w:r>
          </w:p>
        </w:tc>
      </w:tr>
      <w:tr>
        <w:trPr>
          <w:trHeight w:val="223"/>
        </w:trPr>
        <w:tc>
          <w:tcPr>
            <w:tcW w:w="2420" w:type="dxa"/>
            <w:vAlign w:val="bottom"/>
          </w:tcPr>
          <w:p>
            <w:pPr>
              <w:spacing w:after="0"/>
              <w:rPr>
                <w:sz w:val="19"/>
                <w:szCs w:val="19"/>
                <w:color w:val="auto"/>
              </w:rPr>
            </w:pPr>
          </w:p>
        </w:tc>
        <w:tc>
          <w:tcPr>
            <w:tcW w:w="8600" w:type="dxa"/>
            <w:vAlign w:val="bottom"/>
            <w:gridSpan w:val="3"/>
          </w:tcPr>
          <w:p>
            <w:pPr>
              <w:spacing w:after="0"/>
              <w:rPr>
                <w:sz w:val="20"/>
                <w:szCs w:val="20"/>
                <w:color w:val="auto"/>
              </w:rPr>
            </w:pPr>
            <w:r>
              <w:rPr>
                <w:rFonts w:ascii="Arial" w:cs="Arial" w:eastAsia="Arial" w:hAnsi="Arial"/>
                <w:sz w:val="16"/>
                <w:szCs w:val="16"/>
                <w:b w:val="1"/>
                <w:bCs w:val="1"/>
                <w:color w:val="255993"/>
              </w:rPr>
              <w:t>understanding growing companies qualifies her to serve on our board of directors.</w:t>
            </w:r>
          </w:p>
        </w:tc>
      </w:tr>
      <w:tr>
        <w:trPr>
          <w:trHeight w:val="943"/>
        </w:trPr>
        <w:tc>
          <w:tcPr>
            <w:tcW w:w="242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40"/>
                <w:szCs w:val="40"/>
                <w:color w:val="255993"/>
              </w:rPr>
              <w:t>Joseph Edelman</w:t>
            </w:r>
          </w:p>
        </w:tc>
        <w:tc>
          <w:tcPr>
            <w:tcW w:w="3820" w:type="dxa"/>
            <w:vAlign w:val="bottom"/>
          </w:tcPr>
          <w:p>
            <w:pPr>
              <w:spacing w:after="0"/>
              <w:rPr>
                <w:sz w:val="24"/>
                <w:szCs w:val="24"/>
                <w:color w:val="auto"/>
              </w:rPr>
            </w:pPr>
          </w:p>
        </w:tc>
      </w:tr>
      <w:tr>
        <w:trPr>
          <w:trHeight w:val="196"/>
        </w:trPr>
        <w:tc>
          <w:tcPr>
            <w:tcW w:w="2420" w:type="dxa"/>
            <w:vAlign w:val="bottom"/>
          </w:tcPr>
          <w:p>
            <w:pPr>
              <w:spacing w:after="0"/>
              <w:rPr>
                <w:sz w:val="17"/>
                <w:szCs w:val="17"/>
                <w:color w:val="auto"/>
              </w:rPr>
            </w:pPr>
          </w:p>
        </w:tc>
        <w:tc>
          <w:tcPr>
            <w:tcW w:w="4780" w:type="dxa"/>
            <w:vAlign w:val="bottom"/>
            <w:gridSpan w:val="2"/>
          </w:tcPr>
          <w:p>
            <w:pPr>
              <w:spacing w:after="0"/>
              <w:rPr>
                <w:sz w:val="20"/>
                <w:szCs w:val="20"/>
                <w:color w:val="auto"/>
              </w:rPr>
            </w:pPr>
            <w:r>
              <w:rPr>
                <w:rFonts w:ascii="Arial" w:cs="Arial" w:eastAsia="Arial" w:hAnsi="Arial"/>
                <w:sz w:val="14"/>
                <w:szCs w:val="14"/>
                <w:b w:val="1"/>
                <w:bCs w:val="1"/>
                <w:color w:val="auto"/>
              </w:rPr>
              <w:t>AGE: 68  DIRECTOR SINCE: MAY 2020</w:t>
            </w:r>
          </w:p>
        </w:tc>
        <w:tc>
          <w:tcPr>
            <w:tcW w:w="3820" w:type="dxa"/>
            <w:vAlign w:val="bottom"/>
          </w:tcPr>
          <w:p>
            <w:pPr>
              <w:spacing w:after="0"/>
              <w:rPr>
                <w:sz w:val="17"/>
                <w:szCs w:val="17"/>
                <w:color w:val="auto"/>
              </w:rPr>
            </w:pPr>
          </w:p>
        </w:tc>
      </w:tr>
      <w:tr>
        <w:trPr>
          <w:trHeight w:val="225"/>
        </w:trPr>
        <w:tc>
          <w:tcPr>
            <w:tcW w:w="2420" w:type="dxa"/>
            <w:vAlign w:val="bottom"/>
          </w:tcPr>
          <w:p>
            <w:pPr>
              <w:spacing w:after="0"/>
              <w:rPr>
                <w:sz w:val="19"/>
                <w:szCs w:val="19"/>
                <w:color w:val="auto"/>
              </w:rPr>
            </w:pPr>
          </w:p>
        </w:tc>
        <w:tc>
          <w:tcPr>
            <w:tcW w:w="1400" w:type="dxa"/>
            <w:vAlign w:val="bottom"/>
            <w:tcBorders>
              <w:bottom w:val="single" w:sz="8" w:color="F8991D"/>
            </w:tcBorders>
          </w:tcPr>
          <w:p>
            <w:pPr>
              <w:spacing w:after="0"/>
              <w:rPr>
                <w:sz w:val="19"/>
                <w:szCs w:val="19"/>
                <w:color w:val="auto"/>
              </w:rPr>
            </w:pPr>
          </w:p>
        </w:tc>
        <w:tc>
          <w:tcPr>
            <w:tcW w:w="7200" w:type="dxa"/>
            <w:vAlign w:val="bottom"/>
            <w:gridSpan w:val="2"/>
          </w:tcPr>
          <w:p>
            <w:pPr>
              <w:spacing w:after="0"/>
              <w:rPr>
                <w:sz w:val="19"/>
                <w:szCs w:val="19"/>
                <w:color w:val="auto"/>
              </w:rPr>
            </w:pPr>
          </w:p>
        </w:tc>
      </w:tr>
      <w:tr>
        <w:trPr>
          <w:trHeight w:val="431"/>
        </w:trPr>
        <w:tc>
          <w:tcPr>
            <w:tcW w:w="2420" w:type="dxa"/>
            <w:vAlign w:val="bottom"/>
          </w:tcPr>
          <w:p>
            <w:pPr>
              <w:ind w:left="800"/>
              <w:spacing w:after="0"/>
              <w:rPr>
                <w:sz w:val="20"/>
                <w:szCs w:val="20"/>
                <w:color w:val="auto"/>
              </w:rPr>
            </w:pPr>
            <w:r>
              <w:rPr>
                <w:rFonts w:ascii="Arial" w:cs="Arial" w:eastAsia="Arial" w:hAnsi="Arial"/>
                <w:sz w:val="16"/>
                <w:szCs w:val="16"/>
                <w:color w:val="auto"/>
              </w:rPr>
              <w:t> </w:t>
            </w:r>
          </w:p>
        </w:tc>
        <w:tc>
          <w:tcPr>
            <w:tcW w:w="8600" w:type="dxa"/>
            <w:vAlign w:val="bottom"/>
            <w:gridSpan w:val="3"/>
          </w:tcPr>
          <w:p>
            <w:pPr>
              <w:spacing w:after="0"/>
              <w:rPr>
                <w:sz w:val="20"/>
                <w:szCs w:val="20"/>
                <w:color w:val="auto"/>
              </w:rPr>
            </w:pPr>
            <w:r>
              <w:rPr>
                <w:rFonts w:ascii="Arial" w:cs="Arial" w:eastAsia="Arial" w:hAnsi="Arial"/>
                <w:sz w:val="16"/>
                <w:szCs w:val="16"/>
                <w:color w:val="auto"/>
              </w:rPr>
              <w:t>Joseph Edelman has served on our board of directors since May 2020. Mr. Edelman is the founder and chief</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executive officer of Perceptive Advisors, a hedge fund that specializes in investing in biotechnology stocks.</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He founded Perceptive Advisors in 1999, aiming to support progress in the life sciences industry by</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identifying opportunities and directing financial resources toward the most promising technologies in modern</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healthcare. Mr. Edelman earned an M.B.A. from the Leonard N. Stern School of Business at New York</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University in 1986 and a B.A., magna cum laude, in psychology from the University of California San Diego</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 xml:space="preserve">in 1978. </w:t>
            </w:r>
            <w:r>
              <w:rPr>
                <w:rFonts w:ascii="Arial" w:cs="Arial" w:eastAsia="Arial" w:hAnsi="Arial"/>
                <w:sz w:val="16"/>
                <w:szCs w:val="16"/>
                <w:b w:val="1"/>
                <w:bCs w:val="1"/>
                <w:color w:val="255993"/>
              </w:rPr>
              <w:t>We believe that Mr. Edelman’s experience as a board member and investor in many</w:t>
            </w:r>
          </w:p>
        </w:tc>
      </w:tr>
      <w:tr>
        <w:trPr>
          <w:trHeight w:val="223"/>
        </w:trPr>
        <w:tc>
          <w:tcPr>
            <w:tcW w:w="2420" w:type="dxa"/>
            <w:vAlign w:val="bottom"/>
          </w:tcPr>
          <w:p>
            <w:pPr>
              <w:spacing w:after="0"/>
              <w:rPr>
                <w:sz w:val="19"/>
                <w:szCs w:val="19"/>
                <w:color w:val="auto"/>
              </w:rPr>
            </w:pPr>
          </w:p>
        </w:tc>
        <w:tc>
          <w:tcPr>
            <w:tcW w:w="8600" w:type="dxa"/>
            <w:vAlign w:val="bottom"/>
            <w:gridSpan w:val="3"/>
          </w:tcPr>
          <w:p>
            <w:pPr>
              <w:spacing w:after="0"/>
              <w:rPr>
                <w:sz w:val="20"/>
                <w:szCs w:val="20"/>
                <w:color w:val="auto"/>
              </w:rPr>
            </w:pPr>
            <w:r>
              <w:rPr>
                <w:rFonts w:ascii="Arial" w:cs="Arial" w:eastAsia="Arial" w:hAnsi="Arial"/>
                <w:sz w:val="16"/>
                <w:szCs w:val="16"/>
                <w:b w:val="1"/>
                <w:bCs w:val="1"/>
                <w:color w:val="255993"/>
              </w:rPr>
              <w:t>successful biotechnology companies qualifies him to serve on our board of directors.</w:t>
            </w:r>
          </w:p>
        </w:tc>
      </w:tr>
      <w:tr>
        <w:trPr>
          <w:trHeight w:val="492"/>
        </w:trPr>
        <w:tc>
          <w:tcPr>
            <w:tcW w:w="2420" w:type="dxa"/>
            <w:vAlign w:val="bottom"/>
          </w:tcPr>
          <w:p>
            <w:pPr>
              <w:ind w:left="800"/>
              <w:spacing w:after="0"/>
              <w:rPr>
                <w:sz w:val="20"/>
                <w:szCs w:val="20"/>
                <w:color w:val="auto"/>
              </w:rPr>
            </w:pPr>
            <w:r>
              <w:rPr>
                <w:rFonts w:ascii="Arial" w:cs="Arial" w:eastAsia="Arial" w:hAnsi="Arial"/>
                <w:sz w:val="14"/>
                <w:szCs w:val="14"/>
                <w:color w:val="255993"/>
              </w:rPr>
              <w:t>Athira Pharma, Inc.</w:t>
            </w:r>
          </w:p>
        </w:tc>
        <w:tc>
          <w:tcPr>
            <w:tcW w:w="4780" w:type="dxa"/>
            <w:vAlign w:val="bottom"/>
            <w:gridSpan w:val="2"/>
          </w:tcPr>
          <w:p>
            <w:pPr>
              <w:ind w:left="3000"/>
              <w:spacing w:after="0"/>
              <w:rPr>
                <w:sz w:val="20"/>
                <w:szCs w:val="20"/>
                <w:color w:val="auto"/>
              </w:rPr>
            </w:pPr>
            <w:r>
              <w:rPr>
                <w:rFonts w:ascii="Arial" w:cs="Arial" w:eastAsia="Arial" w:hAnsi="Arial"/>
                <w:sz w:val="14"/>
                <w:szCs w:val="14"/>
                <w:b w:val="1"/>
                <w:bCs w:val="1"/>
                <w:color w:val="255993"/>
              </w:rPr>
              <w:t>12</w:t>
            </w:r>
          </w:p>
        </w:tc>
        <w:tc>
          <w:tcPr>
            <w:tcW w:w="3820" w:type="dxa"/>
            <w:vAlign w:val="bottom"/>
          </w:tcPr>
          <w:p>
            <w:pPr>
              <w:ind w:left="1580"/>
              <w:spacing w:after="0"/>
              <w:rPr>
                <w:sz w:val="20"/>
                <w:szCs w:val="20"/>
                <w:color w:val="auto"/>
              </w:rPr>
            </w:pPr>
            <w:r>
              <w:rPr>
                <w:rFonts w:ascii="Arial" w:cs="Arial" w:eastAsia="Arial" w:hAnsi="Arial"/>
                <w:sz w:val="14"/>
                <w:szCs w:val="14"/>
                <w:color w:val="255993"/>
              </w:rPr>
              <w:t>2024 Proxy Statement</w:t>
            </w:r>
          </w:p>
        </w:tc>
      </w:tr>
      <w:tr>
        <w:trPr>
          <w:trHeight w:val="158"/>
        </w:trPr>
        <w:tc>
          <w:tcPr>
            <w:tcW w:w="24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3380" w:type="dxa"/>
            <w:vAlign w:val="bottom"/>
            <w:tcBorders>
              <w:bottom w:val="single" w:sz="8" w:color="auto"/>
            </w:tcBorders>
          </w:tcPr>
          <w:p>
            <w:pPr>
              <w:spacing w:after="0"/>
              <w:rPr>
                <w:sz w:val="13"/>
                <w:szCs w:val="13"/>
                <w:color w:val="auto"/>
              </w:rPr>
            </w:pPr>
          </w:p>
        </w:tc>
        <w:tc>
          <w:tcPr>
            <w:tcW w:w="3820" w:type="dxa"/>
            <w:vAlign w:val="bottom"/>
            <w:tcBorders>
              <w:bottom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-2271395</wp:posOffset>
            </wp:positionV>
            <wp:extent cx="882650" cy="8826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2650" cy="88265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21" w:name="page22"/>
    <w:bookmarkEnd w:id="21"/>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7260"/>
        <w:spacing w:after="0"/>
        <w:rPr>
          <w:sz w:val="20"/>
          <w:szCs w:val="20"/>
          <w:color w:val="auto"/>
        </w:rPr>
      </w:pPr>
      <w:r>
        <w:rPr>
          <w:rFonts w:ascii="Arial" w:cs="Arial" w:eastAsia="Arial" w:hAnsi="Arial"/>
          <w:sz w:val="14"/>
          <w:szCs w:val="14"/>
          <w:color w:val="255993"/>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143510</wp:posOffset>
            </wp:positionV>
            <wp:extent cx="882650" cy="8826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2650" cy="882650"/>
                    </a:xfrm>
                    <a:prstGeom prst="rect">
                      <a:avLst/>
                    </a:prstGeom>
                    <a:noFill/>
                  </pic:spPr>
                </pic:pic>
              </a:graphicData>
            </a:graphic>
          </wp:anchor>
        </w:drawing>
      </w:r>
    </w:p>
    <w:p>
      <w:pPr>
        <w:spacing w:after="0" w:line="390" w:lineRule="exact"/>
        <w:rPr>
          <w:sz w:val="20"/>
          <w:szCs w:val="20"/>
          <w:color w:val="auto"/>
        </w:rPr>
      </w:pPr>
    </w:p>
    <w:tbl>
      <w:tblPr>
        <w:tblLayout w:type="fixed"/>
        <w:tblInd w:w="800" w:type="dxa"/>
        <w:tblCellMar>
          <w:top w:w="0" w:type="dxa"/>
          <w:left w:w="0" w:type="dxa"/>
          <w:bottom w:w="0" w:type="dxa"/>
          <w:right w:w="0" w:type="dxa"/>
        </w:tblCellMar>
      </w:tblPr>
      <w:tr>
        <w:trPr>
          <w:trHeight w:val="522"/>
        </w:trPr>
        <w:tc>
          <w:tcPr>
            <w:tcW w:w="1620" w:type="dxa"/>
            <w:vAlign w:val="bottom"/>
          </w:tcPr>
          <w:p>
            <w:pPr>
              <w:spacing w:after="0"/>
              <w:rPr>
                <w:sz w:val="24"/>
                <w:szCs w:val="24"/>
                <w:color w:val="auto"/>
              </w:rPr>
            </w:pPr>
          </w:p>
        </w:tc>
        <w:tc>
          <w:tcPr>
            <w:tcW w:w="7740" w:type="dxa"/>
            <w:vAlign w:val="bottom"/>
            <w:gridSpan w:val="2"/>
          </w:tcPr>
          <w:p>
            <w:pPr>
              <w:spacing w:after="0"/>
              <w:rPr>
                <w:sz w:val="20"/>
                <w:szCs w:val="20"/>
                <w:color w:val="auto"/>
              </w:rPr>
            </w:pPr>
            <w:r>
              <w:rPr>
                <w:rFonts w:ascii="Arial" w:cs="Arial" w:eastAsia="Arial" w:hAnsi="Arial"/>
                <w:sz w:val="40"/>
                <w:szCs w:val="40"/>
                <w:color w:val="255993"/>
              </w:rPr>
              <w:t>John M. Fluke, Jr.</w:t>
            </w: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7740" w:type="dxa"/>
            <w:vAlign w:val="bottom"/>
            <w:gridSpan w:val="2"/>
          </w:tcPr>
          <w:p>
            <w:pPr>
              <w:spacing w:after="0"/>
              <w:rPr>
                <w:sz w:val="20"/>
                <w:szCs w:val="20"/>
                <w:color w:val="auto"/>
              </w:rPr>
            </w:pPr>
            <w:r>
              <w:rPr>
                <w:rFonts w:ascii="Arial" w:cs="Arial" w:eastAsia="Arial" w:hAnsi="Arial"/>
                <w:sz w:val="14"/>
                <w:szCs w:val="14"/>
                <w:b w:val="1"/>
                <w:bCs w:val="1"/>
                <w:color w:val="auto"/>
              </w:rPr>
              <w:t>AGE: 81  DIRECTOR SINCE: DECEMBER 2014</w:t>
            </w:r>
          </w:p>
        </w:tc>
        <w:tc>
          <w:tcPr>
            <w:tcW w:w="0" w:type="dxa"/>
            <w:vAlign w:val="bottom"/>
          </w:tcPr>
          <w:p>
            <w:pPr>
              <w:spacing w:after="0"/>
              <w:rPr>
                <w:sz w:val="1"/>
                <w:szCs w:val="1"/>
                <w:color w:val="auto"/>
              </w:rPr>
            </w:pPr>
          </w:p>
        </w:tc>
      </w:tr>
      <w:tr>
        <w:trPr>
          <w:trHeight w:val="239"/>
        </w:trPr>
        <w:tc>
          <w:tcPr>
            <w:tcW w:w="1620" w:type="dxa"/>
            <w:vAlign w:val="bottom"/>
            <w:vMerge w:val="restart"/>
          </w:tcPr>
          <w:p>
            <w:pPr>
              <w:spacing w:after="0"/>
              <w:rPr>
                <w:sz w:val="20"/>
                <w:szCs w:val="20"/>
                <w:color w:val="auto"/>
              </w:rPr>
            </w:pPr>
            <w:r>
              <w:rPr>
                <w:rFonts w:ascii="Arial" w:cs="Arial" w:eastAsia="Arial" w:hAnsi="Arial"/>
                <w:sz w:val="16"/>
                <w:szCs w:val="16"/>
                <w:color w:val="auto"/>
              </w:rPr>
              <w:t xml:space="preserve">  </w:t>
            </w:r>
          </w:p>
        </w:tc>
        <w:tc>
          <w:tcPr>
            <w:tcW w:w="1400" w:type="dxa"/>
            <w:vAlign w:val="bottom"/>
            <w:tcBorders>
              <w:bottom w:val="single" w:sz="8" w:color="F8991D"/>
            </w:tcBorders>
          </w:tcPr>
          <w:p>
            <w:pPr>
              <w:spacing w:after="0"/>
              <w:rPr>
                <w:sz w:val="20"/>
                <w:szCs w:val="20"/>
                <w:color w:val="auto"/>
              </w:rPr>
            </w:pPr>
          </w:p>
        </w:tc>
        <w:tc>
          <w:tcPr>
            <w:tcW w:w="6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1620" w:type="dxa"/>
            <w:vAlign w:val="bottom"/>
            <w:vMerge w:val="continue"/>
          </w:tcPr>
          <w:p>
            <w:pPr>
              <w:spacing w:after="0"/>
              <w:rPr>
                <w:sz w:val="24"/>
                <w:szCs w:val="24"/>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John M. Fluke, Jr. has served on our board of directors since December 2014. Mr. Fluke is chairman of</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Fluke Capital Management, L.P., which he founded in 1976, and was chairman and chief executive officer of</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the John Fluke Manufacturing Co. until 1990. Mr. Fluke previously served on the boards of PACCAR Inc.,</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CellCyte Genetics Corporation, Cell Therapeutics, Primus International, and American Seafoods Group. Mr.</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Fluke is a current trustee of the Greater Seattle Chamber of Commerce (formerly serving as its chairman),</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and previously served as chairman of the Washington State China Relations Council and a trustee emeritus</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of the Museum of Flight. He also previously served as chairman of the Washington Technology Center at the</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University of Washington, which is an organization responsible for managing technology transfers from</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public universities in Washington state to the private sector for commercialization. Mr. Fluke has also served</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as chairman of the trustees of Junior Achievement of Washington and president of the Seattle Council of</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Boy Scouts of America. Mr. Fluke earned an M.S. in electrical engineering from Stanford University in 1966</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color w:val="auto"/>
              </w:rPr>
              <w:t xml:space="preserve">and a B.S. in electrical engineering from the University of Washington in 1964. </w:t>
            </w:r>
            <w:r>
              <w:rPr>
                <w:rFonts w:ascii="Arial" w:cs="Arial" w:eastAsia="Arial" w:hAnsi="Arial"/>
                <w:sz w:val="16"/>
                <w:szCs w:val="16"/>
                <w:b w:val="1"/>
                <w:bCs w:val="1"/>
                <w:color w:val="255993"/>
              </w:rPr>
              <w:t>We believe that Mr. Fluke’s</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7740" w:type="dxa"/>
            <w:vAlign w:val="bottom"/>
            <w:gridSpan w:val="2"/>
          </w:tcPr>
          <w:p>
            <w:pPr>
              <w:spacing w:after="0"/>
              <w:rPr>
                <w:sz w:val="20"/>
                <w:szCs w:val="20"/>
                <w:color w:val="auto"/>
              </w:rPr>
            </w:pPr>
            <w:r>
              <w:rPr>
                <w:rFonts w:ascii="Arial" w:cs="Arial" w:eastAsia="Arial" w:hAnsi="Arial"/>
                <w:sz w:val="16"/>
                <w:szCs w:val="16"/>
                <w:b w:val="1"/>
                <w:bCs w:val="1"/>
                <w:color w:val="255993"/>
              </w:rPr>
              <w:t>extensive leadership experience and background as an investor in many successful companies</w:t>
            </w:r>
          </w:p>
        </w:tc>
        <w:tc>
          <w:tcPr>
            <w:tcW w:w="0" w:type="dxa"/>
            <w:vAlign w:val="bottom"/>
          </w:tcPr>
          <w:p>
            <w:pPr>
              <w:spacing w:after="0"/>
              <w:rPr>
                <w:sz w:val="1"/>
                <w:szCs w:val="1"/>
                <w:color w:val="auto"/>
              </w:rPr>
            </w:pPr>
          </w:p>
        </w:tc>
      </w:tr>
      <w:tr>
        <w:trPr>
          <w:trHeight w:val="223"/>
        </w:trPr>
        <w:tc>
          <w:tcPr>
            <w:tcW w:w="1620" w:type="dxa"/>
            <w:vAlign w:val="bottom"/>
          </w:tcPr>
          <w:p>
            <w:pPr>
              <w:spacing w:after="0"/>
              <w:rPr>
                <w:sz w:val="19"/>
                <w:szCs w:val="19"/>
                <w:color w:val="auto"/>
              </w:rPr>
            </w:pPr>
          </w:p>
        </w:tc>
        <w:tc>
          <w:tcPr>
            <w:tcW w:w="7740" w:type="dxa"/>
            <w:vAlign w:val="bottom"/>
            <w:gridSpan w:val="2"/>
          </w:tcPr>
          <w:p>
            <w:pPr>
              <w:spacing w:after="0"/>
              <w:rPr>
                <w:sz w:val="20"/>
                <w:szCs w:val="20"/>
                <w:color w:val="auto"/>
              </w:rPr>
            </w:pPr>
            <w:r>
              <w:rPr>
                <w:rFonts w:ascii="Arial" w:cs="Arial" w:eastAsia="Arial" w:hAnsi="Arial"/>
                <w:sz w:val="16"/>
                <w:szCs w:val="16"/>
                <w:b w:val="1"/>
                <w:bCs w:val="1"/>
                <w:color w:val="255993"/>
              </w:rPr>
              <w:t>qualifies him to serve on our board of directors.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167640</wp:posOffset>
            </wp:positionV>
            <wp:extent cx="882650" cy="8826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2650" cy="88265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495"/>
        </w:trPr>
        <w:tc>
          <w:tcPr>
            <w:tcW w:w="2420" w:type="dxa"/>
            <w:vAlign w:val="bottom"/>
          </w:tcPr>
          <w:p>
            <w:pPr>
              <w:spacing w:after="0"/>
              <w:rPr>
                <w:sz w:val="24"/>
                <w:szCs w:val="24"/>
                <w:color w:val="auto"/>
              </w:rPr>
            </w:pPr>
          </w:p>
        </w:tc>
        <w:tc>
          <w:tcPr>
            <w:tcW w:w="6220" w:type="dxa"/>
            <w:vAlign w:val="bottom"/>
            <w:gridSpan w:val="2"/>
          </w:tcPr>
          <w:p>
            <w:pPr>
              <w:spacing w:after="0"/>
              <w:rPr>
                <w:sz w:val="20"/>
                <w:szCs w:val="20"/>
                <w:color w:val="auto"/>
              </w:rPr>
            </w:pPr>
            <w:r>
              <w:rPr>
                <w:rFonts w:ascii="Arial" w:cs="Arial" w:eastAsia="Arial" w:hAnsi="Arial"/>
                <w:sz w:val="40"/>
                <w:szCs w:val="40"/>
                <w:color w:val="255993"/>
              </w:rPr>
              <w:t>James A. Johnson</w:t>
            </w:r>
          </w:p>
        </w:tc>
        <w:tc>
          <w:tcPr>
            <w:tcW w:w="2380" w:type="dxa"/>
            <w:vAlign w:val="bottom"/>
          </w:tcPr>
          <w:p>
            <w:pPr>
              <w:spacing w:after="0"/>
              <w:rPr>
                <w:sz w:val="24"/>
                <w:szCs w:val="24"/>
                <w:color w:val="auto"/>
              </w:rPr>
            </w:pPr>
          </w:p>
        </w:tc>
      </w:tr>
      <w:tr>
        <w:trPr>
          <w:trHeight w:val="196"/>
        </w:trPr>
        <w:tc>
          <w:tcPr>
            <w:tcW w:w="2420" w:type="dxa"/>
            <w:vAlign w:val="bottom"/>
          </w:tcPr>
          <w:p>
            <w:pPr>
              <w:spacing w:after="0"/>
              <w:rPr>
                <w:sz w:val="17"/>
                <w:szCs w:val="17"/>
                <w:color w:val="auto"/>
              </w:rPr>
            </w:pPr>
          </w:p>
        </w:tc>
        <w:tc>
          <w:tcPr>
            <w:tcW w:w="6220" w:type="dxa"/>
            <w:vAlign w:val="bottom"/>
            <w:gridSpan w:val="2"/>
          </w:tcPr>
          <w:p>
            <w:pPr>
              <w:spacing w:after="0"/>
              <w:rPr>
                <w:sz w:val="20"/>
                <w:szCs w:val="20"/>
                <w:color w:val="auto"/>
              </w:rPr>
            </w:pPr>
            <w:r>
              <w:rPr>
                <w:rFonts w:ascii="Arial" w:cs="Arial" w:eastAsia="Arial" w:hAnsi="Arial"/>
                <w:sz w:val="14"/>
                <w:szCs w:val="14"/>
                <w:b w:val="1"/>
                <w:bCs w:val="1"/>
                <w:color w:val="auto"/>
              </w:rPr>
              <w:t>AGE: 67  DIRECTOR SINCE: AUGUST 2020</w:t>
            </w:r>
          </w:p>
        </w:tc>
        <w:tc>
          <w:tcPr>
            <w:tcW w:w="2380" w:type="dxa"/>
            <w:vAlign w:val="bottom"/>
          </w:tcPr>
          <w:p>
            <w:pPr>
              <w:spacing w:after="0"/>
              <w:rPr>
                <w:sz w:val="17"/>
                <w:szCs w:val="17"/>
                <w:color w:val="auto"/>
              </w:rPr>
            </w:pPr>
          </w:p>
        </w:tc>
      </w:tr>
      <w:tr>
        <w:trPr>
          <w:trHeight w:val="225"/>
        </w:trPr>
        <w:tc>
          <w:tcPr>
            <w:tcW w:w="2420" w:type="dxa"/>
            <w:vAlign w:val="bottom"/>
          </w:tcPr>
          <w:p>
            <w:pPr>
              <w:spacing w:after="0"/>
              <w:rPr>
                <w:sz w:val="19"/>
                <w:szCs w:val="19"/>
                <w:color w:val="auto"/>
              </w:rPr>
            </w:pPr>
          </w:p>
        </w:tc>
        <w:tc>
          <w:tcPr>
            <w:tcW w:w="1400" w:type="dxa"/>
            <w:vAlign w:val="bottom"/>
            <w:tcBorders>
              <w:bottom w:val="single" w:sz="8" w:color="F8991D"/>
            </w:tcBorders>
          </w:tcPr>
          <w:p>
            <w:pPr>
              <w:spacing w:after="0"/>
              <w:rPr>
                <w:sz w:val="19"/>
                <w:szCs w:val="19"/>
                <w:color w:val="auto"/>
              </w:rPr>
            </w:pPr>
          </w:p>
        </w:tc>
        <w:tc>
          <w:tcPr>
            <w:tcW w:w="7200" w:type="dxa"/>
            <w:vAlign w:val="bottom"/>
            <w:gridSpan w:val="2"/>
          </w:tcPr>
          <w:p>
            <w:pPr>
              <w:spacing w:after="0"/>
              <w:rPr>
                <w:sz w:val="19"/>
                <w:szCs w:val="19"/>
                <w:color w:val="auto"/>
              </w:rPr>
            </w:pPr>
          </w:p>
        </w:tc>
      </w:tr>
      <w:tr>
        <w:trPr>
          <w:trHeight w:val="431"/>
        </w:trPr>
        <w:tc>
          <w:tcPr>
            <w:tcW w:w="2420" w:type="dxa"/>
            <w:vAlign w:val="bottom"/>
          </w:tcPr>
          <w:p>
            <w:pPr>
              <w:ind w:left="800"/>
              <w:spacing w:after="0"/>
              <w:rPr>
                <w:sz w:val="20"/>
                <w:szCs w:val="20"/>
                <w:color w:val="auto"/>
              </w:rPr>
            </w:pPr>
            <w:r>
              <w:rPr>
                <w:rFonts w:ascii="Arial" w:cs="Arial" w:eastAsia="Arial" w:hAnsi="Arial"/>
                <w:sz w:val="16"/>
                <w:szCs w:val="16"/>
                <w:color w:val="auto"/>
              </w:rPr>
              <w:t> </w:t>
            </w:r>
          </w:p>
        </w:tc>
        <w:tc>
          <w:tcPr>
            <w:tcW w:w="8600" w:type="dxa"/>
            <w:vAlign w:val="bottom"/>
            <w:gridSpan w:val="3"/>
          </w:tcPr>
          <w:p>
            <w:pPr>
              <w:spacing w:after="0"/>
              <w:rPr>
                <w:sz w:val="20"/>
                <w:szCs w:val="20"/>
                <w:color w:val="auto"/>
              </w:rPr>
            </w:pPr>
            <w:r>
              <w:rPr>
                <w:rFonts w:ascii="Arial" w:cs="Arial" w:eastAsia="Arial" w:hAnsi="Arial"/>
                <w:sz w:val="16"/>
                <w:szCs w:val="16"/>
                <w:color w:val="auto"/>
              </w:rPr>
              <w:t>James A. Johnson has served on our board of directors since August 2020. Mr. Johnson previously served</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as the chief financial officer of Nohla Therapeutics, a cell therapy company, from January 2018 to August</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2019. Prior to Nohla, Mr. Johnson served as the chief financial officer of NanoString Technologies, a publicly</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held provider of life science tools for translational research and molecular diagnostics, from October 2012 to</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December 2017. During his tenure as chief financial officer at NanoString, Mr. Johnson oversaw strategic</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and corporate finance activities from private stage through the company’s initial public offering and additional</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rounds of financing, marking the third initial public offering in his career as a chief financial officer. Prior to</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joining NanoString, Mr. Johnson served as chief financial officer of Relypsa, Inc., a clinical-stage</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biopharmaceutical company. Prior to Relypsa, Mr. Johnson served for nearly 10 years as chief financial</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officer of ZymoGenetics, Inc., until the company was acquired by Bristol-Myers Squibb in October 2010.</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Previously, he served for seven years as chief financial officer of Targeted Genetics Corporation (now</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Armata Pharmaceuticals) and as Vice President of Finance at Immunex Corporation during its evolution from</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product development to commercial operations. Mr. Johnson received a B.A. in business administration from</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 xml:space="preserve">the University of Washington in 1979. </w:t>
            </w:r>
            <w:r>
              <w:rPr>
                <w:rFonts w:ascii="Arial" w:cs="Arial" w:eastAsia="Arial" w:hAnsi="Arial"/>
                <w:sz w:val="16"/>
                <w:szCs w:val="16"/>
                <w:b w:val="1"/>
                <w:bCs w:val="1"/>
                <w:color w:val="255993"/>
              </w:rPr>
              <w:t>We believe that Mr. Johnson’s depth of experience in the</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b w:val="1"/>
                <w:bCs w:val="1"/>
                <w:color w:val="255993"/>
              </w:rPr>
              <w:t>biopharmaceuticals industry, including as chief financial officer of a number of publicly traded</w:t>
            </w:r>
          </w:p>
        </w:tc>
      </w:tr>
      <w:tr>
        <w:trPr>
          <w:trHeight w:val="223"/>
        </w:trPr>
        <w:tc>
          <w:tcPr>
            <w:tcW w:w="2420" w:type="dxa"/>
            <w:vAlign w:val="bottom"/>
          </w:tcPr>
          <w:p>
            <w:pPr>
              <w:spacing w:after="0"/>
              <w:rPr>
                <w:sz w:val="19"/>
                <w:szCs w:val="19"/>
                <w:color w:val="auto"/>
              </w:rPr>
            </w:pPr>
          </w:p>
        </w:tc>
        <w:tc>
          <w:tcPr>
            <w:tcW w:w="6220" w:type="dxa"/>
            <w:vAlign w:val="bottom"/>
            <w:gridSpan w:val="2"/>
          </w:tcPr>
          <w:p>
            <w:pPr>
              <w:spacing w:after="0"/>
              <w:rPr>
                <w:sz w:val="20"/>
                <w:szCs w:val="20"/>
                <w:color w:val="auto"/>
              </w:rPr>
            </w:pPr>
            <w:r>
              <w:rPr>
                <w:rFonts w:ascii="Arial" w:cs="Arial" w:eastAsia="Arial" w:hAnsi="Arial"/>
                <w:sz w:val="16"/>
                <w:szCs w:val="16"/>
                <w:b w:val="1"/>
                <w:bCs w:val="1"/>
                <w:color w:val="255993"/>
              </w:rPr>
              <w:t>biopharmaceutical companies, qualifies him to serve on our board of directors.</w:t>
            </w:r>
          </w:p>
        </w:tc>
        <w:tc>
          <w:tcPr>
            <w:tcW w:w="2380" w:type="dxa"/>
            <w:vAlign w:val="bottom"/>
          </w:tcPr>
          <w:p>
            <w:pPr>
              <w:spacing w:after="0"/>
              <w:rPr>
                <w:sz w:val="19"/>
                <w:szCs w:val="19"/>
                <w:color w:val="auto"/>
              </w:rPr>
            </w:pPr>
          </w:p>
        </w:tc>
      </w:tr>
      <w:tr>
        <w:trPr>
          <w:trHeight w:val="491"/>
        </w:trPr>
        <w:tc>
          <w:tcPr>
            <w:tcW w:w="2420" w:type="dxa"/>
            <w:vAlign w:val="bottom"/>
          </w:tcPr>
          <w:p>
            <w:pPr>
              <w:ind w:left="800"/>
              <w:spacing w:after="0"/>
              <w:rPr>
                <w:sz w:val="20"/>
                <w:szCs w:val="20"/>
                <w:color w:val="auto"/>
              </w:rPr>
            </w:pPr>
            <w:r>
              <w:rPr>
                <w:rFonts w:ascii="Arial" w:cs="Arial" w:eastAsia="Arial" w:hAnsi="Arial"/>
                <w:sz w:val="14"/>
                <w:szCs w:val="14"/>
                <w:color w:val="255993"/>
              </w:rPr>
              <w:t>Athira Pharma, Inc.</w:t>
            </w:r>
          </w:p>
        </w:tc>
        <w:tc>
          <w:tcPr>
            <w:tcW w:w="6220" w:type="dxa"/>
            <w:vAlign w:val="bottom"/>
            <w:gridSpan w:val="2"/>
          </w:tcPr>
          <w:p>
            <w:pPr>
              <w:ind w:left="3000"/>
              <w:spacing w:after="0"/>
              <w:rPr>
                <w:sz w:val="20"/>
                <w:szCs w:val="20"/>
                <w:color w:val="auto"/>
              </w:rPr>
            </w:pPr>
            <w:r>
              <w:rPr>
                <w:rFonts w:ascii="Arial" w:cs="Arial" w:eastAsia="Arial" w:hAnsi="Arial"/>
                <w:sz w:val="14"/>
                <w:szCs w:val="14"/>
                <w:b w:val="1"/>
                <w:bCs w:val="1"/>
                <w:color w:val="255993"/>
              </w:rPr>
              <w:t>13</w:t>
            </w:r>
          </w:p>
        </w:tc>
        <w:tc>
          <w:tcPr>
            <w:tcW w:w="2380" w:type="dxa"/>
            <w:vAlign w:val="bottom"/>
          </w:tcPr>
          <w:p>
            <w:pPr>
              <w:ind w:left="140"/>
              <w:spacing w:after="0"/>
              <w:rPr>
                <w:sz w:val="20"/>
                <w:szCs w:val="20"/>
                <w:color w:val="auto"/>
              </w:rPr>
            </w:pPr>
            <w:r>
              <w:rPr>
                <w:rFonts w:ascii="Arial" w:cs="Arial" w:eastAsia="Arial" w:hAnsi="Arial"/>
                <w:sz w:val="14"/>
                <w:szCs w:val="14"/>
                <w:color w:val="255993"/>
              </w:rPr>
              <w:t>2024 Proxy Statement</w:t>
            </w:r>
          </w:p>
        </w:tc>
      </w:tr>
      <w:tr>
        <w:trPr>
          <w:trHeight w:val="158"/>
        </w:trPr>
        <w:tc>
          <w:tcPr>
            <w:tcW w:w="24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482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r>
    </w:tbl>
    <w:p>
      <w:pPr>
        <w:sectPr>
          <w:pgSz w:w="11900" w:h="16838" w:orient="portrait"/>
          <w:cols w:equalWidth="0" w:num="1">
            <w:col w:w="11020"/>
          </w:cols>
          <w:pgMar w:left="440" w:top="263" w:right="439" w:bottom="1440" w:gutter="0" w:footer="0" w:header="0"/>
        </w:sectPr>
      </w:pPr>
    </w:p>
    <w:bookmarkStart w:id="22" w:name="page23"/>
    <w:bookmarkEnd w:id="22"/>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800"/>
        <w:spacing w:after="0"/>
        <w:rPr>
          <w:sz w:val="20"/>
          <w:szCs w:val="20"/>
          <w:color w:val="auto"/>
        </w:rPr>
      </w:pPr>
      <w:r>
        <w:rPr>
          <w:rFonts w:ascii="Arial" w:cs="Arial" w:eastAsia="Arial" w:hAnsi="Arial"/>
          <w:sz w:val="14"/>
          <w:szCs w:val="14"/>
          <w:color w:val="255993"/>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126365</wp:posOffset>
            </wp:positionV>
            <wp:extent cx="882650" cy="8832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2650" cy="883285"/>
                    </a:xfrm>
                    <a:prstGeom prst="rect">
                      <a:avLst/>
                    </a:prstGeom>
                    <a:noFill/>
                  </pic:spPr>
                </pic:pic>
              </a:graphicData>
            </a:graphic>
          </wp:anchor>
        </w:drawing>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495"/>
        </w:trPr>
        <w:tc>
          <w:tcPr>
            <w:tcW w:w="242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Arial" w:cs="Arial" w:eastAsia="Arial" w:hAnsi="Arial"/>
                <w:sz w:val="40"/>
                <w:szCs w:val="40"/>
                <w:color w:val="255993"/>
              </w:rPr>
              <w:t>Grant Pickering</w:t>
            </w:r>
          </w:p>
        </w:tc>
        <w:tc>
          <w:tcPr>
            <w:tcW w:w="2440" w:type="dxa"/>
            <w:vAlign w:val="bottom"/>
          </w:tcPr>
          <w:p>
            <w:pPr>
              <w:spacing w:after="0"/>
              <w:rPr>
                <w:sz w:val="24"/>
                <w:szCs w:val="24"/>
                <w:color w:val="auto"/>
              </w:rPr>
            </w:pPr>
          </w:p>
        </w:tc>
      </w:tr>
      <w:tr>
        <w:trPr>
          <w:trHeight w:val="196"/>
        </w:trPr>
        <w:tc>
          <w:tcPr>
            <w:tcW w:w="2420" w:type="dxa"/>
            <w:vAlign w:val="bottom"/>
          </w:tcPr>
          <w:p>
            <w:pPr>
              <w:spacing w:after="0"/>
              <w:rPr>
                <w:sz w:val="17"/>
                <w:szCs w:val="17"/>
                <w:color w:val="auto"/>
              </w:rPr>
            </w:pPr>
          </w:p>
        </w:tc>
        <w:tc>
          <w:tcPr>
            <w:tcW w:w="6160" w:type="dxa"/>
            <w:vAlign w:val="bottom"/>
            <w:gridSpan w:val="2"/>
          </w:tcPr>
          <w:p>
            <w:pPr>
              <w:spacing w:after="0"/>
              <w:rPr>
                <w:sz w:val="20"/>
                <w:szCs w:val="20"/>
                <w:color w:val="auto"/>
              </w:rPr>
            </w:pPr>
            <w:r>
              <w:rPr>
                <w:rFonts w:ascii="Arial" w:cs="Arial" w:eastAsia="Arial" w:hAnsi="Arial"/>
                <w:sz w:val="14"/>
                <w:szCs w:val="14"/>
                <w:b w:val="1"/>
                <w:bCs w:val="1"/>
                <w:color w:val="auto"/>
              </w:rPr>
              <w:t>AGE: 56  DIRECTOR SINCE: JANUARY 2022</w:t>
            </w:r>
          </w:p>
        </w:tc>
        <w:tc>
          <w:tcPr>
            <w:tcW w:w="2440" w:type="dxa"/>
            <w:vAlign w:val="bottom"/>
          </w:tcPr>
          <w:p>
            <w:pPr>
              <w:spacing w:after="0"/>
              <w:rPr>
                <w:sz w:val="17"/>
                <w:szCs w:val="17"/>
                <w:color w:val="auto"/>
              </w:rPr>
            </w:pPr>
          </w:p>
        </w:tc>
      </w:tr>
      <w:tr>
        <w:trPr>
          <w:trHeight w:val="225"/>
        </w:trPr>
        <w:tc>
          <w:tcPr>
            <w:tcW w:w="2420" w:type="dxa"/>
            <w:vAlign w:val="bottom"/>
          </w:tcPr>
          <w:p>
            <w:pPr>
              <w:spacing w:after="0"/>
              <w:rPr>
                <w:sz w:val="19"/>
                <w:szCs w:val="19"/>
                <w:color w:val="auto"/>
              </w:rPr>
            </w:pPr>
          </w:p>
        </w:tc>
        <w:tc>
          <w:tcPr>
            <w:tcW w:w="1420" w:type="dxa"/>
            <w:vAlign w:val="bottom"/>
            <w:tcBorders>
              <w:bottom w:val="single" w:sz="8" w:color="F8991D"/>
            </w:tcBorders>
          </w:tcPr>
          <w:p>
            <w:pPr>
              <w:spacing w:after="0"/>
              <w:rPr>
                <w:sz w:val="19"/>
                <w:szCs w:val="19"/>
                <w:color w:val="auto"/>
              </w:rPr>
            </w:pPr>
          </w:p>
        </w:tc>
        <w:tc>
          <w:tcPr>
            <w:tcW w:w="7180" w:type="dxa"/>
            <w:vAlign w:val="bottom"/>
            <w:gridSpan w:val="2"/>
          </w:tcPr>
          <w:p>
            <w:pPr>
              <w:spacing w:after="0"/>
              <w:rPr>
                <w:sz w:val="19"/>
                <w:szCs w:val="19"/>
                <w:color w:val="auto"/>
              </w:rPr>
            </w:pPr>
          </w:p>
        </w:tc>
      </w:tr>
      <w:tr>
        <w:trPr>
          <w:trHeight w:val="431"/>
        </w:trPr>
        <w:tc>
          <w:tcPr>
            <w:tcW w:w="2420" w:type="dxa"/>
            <w:vAlign w:val="bottom"/>
          </w:tcPr>
          <w:p>
            <w:pPr>
              <w:ind w:left="800"/>
              <w:spacing w:after="0"/>
              <w:rPr>
                <w:sz w:val="20"/>
                <w:szCs w:val="20"/>
                <w:color w:val="auto"/>
              </w:rPr>
            </w:pPr>
            <w:r>
              <w:rPr>
                <w:rFonts w:ascii="Arial" w:cs="Arial" w:eastAsia="Arial" w:hAnsi="Arial"/>
                <w:sz w:val="16"/>
                <w:szCs w:val="16"/>
                <w:color w:val="auto"/>
              </w:rPr>
              <w:t> </w:t>
            </w:r>
          </w:p>
        </w:tc>
        <w:tc>
          <w:tcPr>
            <w:tcW w:w="8600" w:type="dxa"/>
            <w:vAlign w:val="bottom"/>
            <w:gridSpan w:val="3"/>
          </w:tcPr>
          <w:p>
            <w:pPr>
              <w:spacing w:after="0"/>
              <w:rPr>
                <w:sz w:val="20"/>
                <w:szCs w:val="20"/>
                <w:color w:val="auto"/>
              </w:rPr>
            </w:pPr>
            <w:r>
              <w:rPr>
                <w:rFonts w:ascii="Arial" w:cs="Arial" w:eastAsia="Arial" w:hAnsi="Arial"/>
                <w:sz w:val="16"/>
                <w:szCs w:val="16"/>
                <w:color w:val="auto"/>
              </w:rPr>
              <w:t>Grant Pickering has served on our board of directors since January 2022. Mr. Pickering co-founded and has</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served as chief executive officer and as a member of the board of directors at Vaxcyte, Inc., a publicly traded</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biotechnology company, since November 2013. Mr. Pickering also served as strategic advisor at Atreca, Inc.,</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a publicly traded biotechnology company, from May 2013 to April 2015. Prior to joining Vaxcyte, Mr.</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Pickering was chief executive officer of Mymetics Corporation, a publicly traded biotechnology company.</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Prior to that, Mr. Pickering served as executive-in-residence at Kleiner Perkins, a venture capital firm, while</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serving as the chief executive officer and as a member of the board of directors at Juvaris BioTherapeutics,</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Inc., a biopharmaceutical company, since March 2008. Prior to that he served as senior vice president of</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operations of Dendreon Corporation, a publicly traded biotechnology company. Mr. Pickering earned an</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M.B.A. from Georgetown University in 1997 with high honors and a B.S. in marketing from Penn State</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 xml:space="preserve">University in 1989. </w:t>
            </w:r>
            <w:r>
              <w:rPr>
                <w:rFonts w:ascii="Arial" w:cs="Arial" w:eastAsia="Arial" w:hAnsi="Arial"/>
                <w:sz w:val="16"/>
                <w:szCs w:val="16"/>
                <w:b w:val="1"/>
                <w:bCs w:val="1"/>
                <w:color w:val="255993"/>
              </w:rPr>
              <w:t>We believe that Mr. Pickering’s experience in the healthcare, biopharmaceutical,</w:t>
            </w:r>
          </w:p>
        </w:tc>
      </w:tr>
      <w:tr>
        <w:trPr>
          <w:trHeight w:val="223"/>
        </w:trPr>
        <w:tc>
          <w:tcPr>
            <w:tcW w:w="2420" w:type="dxa"/>
            <w:vAlign w:val="bottom"/>
          </w:tcPr>
          <w:p>
            <w:pPr>
              <w:spacing w:after="0"/>
              <w:rPr>
                <w:sz w:val="19"/>
                <w:szCs w:val="19"/>
                <w:color w:val="auto"/>
              </w:rPr>
            </w:pPr>
          </w:p>
        </w:tc>
        <w:tc>
          <w:tcPr>
            <w:tcW w:w="6160" w:type="dxa"/>
            <w:vAlign w:val="bottom"/>
            <w:gridSpan w:val="2"/>
          </w:tcPr>
          <w:p>
            <w:pPr>
              <w:spacing w:after="0"/>
              <w:rPr>
                <w:sz w:val="20"/>
                <w:szCs w:val="20"/>
                <w:color w:val="auto"/>
              </w:rPr>
            </w:pPr>
            <w:r>
              <w:rPr>
                <w:rFonts w:ascii="Arial" w:cs="Arial" w:eastAsia="Arial" w:hAnsi="Arial"/>
                <w:sz w:val="16"/>
                <w:szCs w:val="16"/>
                <w:b w:val="1"/>
                <w:bCs w:val="1"/>
                <w:color w:val="255993"/>
              </w:rPr>
              <w:t>and biotechnology industries qualifies him to serve on our board of directors.</w:t>
            </w:r>
          </w:p>
        </w:tc>
        <w:tc>
          <w:tcPr>
            <w:tcW w:w="2440" w:type="dxa"/>
            <w:vAlign w:val="bottom"/>
          </w:tcPr>
          <w:p>
            <w:pPr>
              <w:spacing w:after="0"/>
              <w:rPr>
                <w:sz w:val="19"/>
                <w:szCs w:val="19"/>
                <w:color w:val="auto"/>
              </w:rPr>
            </w:pPr>
          </w:p>
        </w:tc>
      </w:tr>
      <w:tr>
        <w:trPr>
          <w:trHeight w:val="492"/>
        </w:trPr>
        <w:tc>
          <w:tcPr>
            <w:tcW w:w="2420" w:type="dxa"/>
            <w:vAlign w:val="bottom"/>
          </w:tcPr>
          <w:p>
            <w:pPr>
              <w:ind w:left="800"/>
              <w:spacing w:after="0"/>
              <w:rPr>
                <w:sz w:val="20"/>
                <w:szCs w:val="20"/>
                <w:color w:val="auto"/>
              </w:rPr>
            </w:pPr>
            <w:r>
              <w:rPr>
                <w:rFonts w:ascii="Arial" w:cs="Arial" w:eastAsia="Arial" w:hAnsi="Arial"/>
                <w:sz w:val="14"/>
                <w:szCs w:val="14"/>
                <w:color w:val="255993"/>
              </w:rPr>
              <w:t>Athira Pharma, Inc.</w:t>
            </w:r>
          </w:p>
        </w:tc>
        <w:tc>
          <w:tcPr>
            <w:tcW w:w="6160" w:type="dxa"/>
            <w:vAlign w:val="bottom"/>
            <w:gridSpan w:val="2"/>
          </w:tcPr>
          <w:p>
            <w:pPr>
              <w:ind w:left="3000"/>
              <w:spacing w:after="0"/>
              <w:rPr>
                <w:sz w:val="20"/>
                <w:szCs w:val="20"/>
                <w:color w:val="auto"/>
              </w:rPr>
            </w:pPr>
            <w:r>
              <w:rPr>
                <w:rFonts w:ascii="Arial" w:cs="Arial" w:eastAsia="Arial" w:hAnsi="Arial"/>
                <w:sz w:val="14"/>
                <w:szCs w:val="14"/>
                <w:b w:val="1"/>
                <w:bCs w:val="1"/>
                <w:color w:val="255993"/>
              </w:rPr>
              <w:t>14</w:t>
            </w:r>
          </w:p>
        </w:tc>
        <w:tc>
          <w:tcPr>
            <w:tcW w:w="2440" w:type="dxa"/>
            <w:vAlign w:val="bottom"/>
          </w:tcPr>
          <w:p>
            <w:pPr>
              <w:ind w:left="200"/>
              <w:spacing w:after="0"/>
              <w:rPr>
                <w:sz w:val="20"/>
                <w:szCs w:val="20"/>
                <w:color w:val="auto"/>
              </w:rPr>
            </w:pPr>
            <w:r>
              <w:rPr>
                <w:rFonts w:ascii="Arial" w:cs="Arial" w:eastAsia="Arial" w:hAnsi="Arial"/>
                <w:sz w:val="14"/>
                <w:szCs w:val="14"/>
                <w:color w:val="255993"/>
              </w:rPr>
              <w:t>2024 Proxy Statement</w:t>
            </w:r>
          </w:p>
        </w:tc>
      </w:tr>
      <w:tr>
        <w:trPr>
          <w:trHeight w:val="158"/>
        </w:trPr>
        <w:tc>
          <w:tcPr>
            <w:tcW w:w="24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74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tcPr>
          <w:p>
            <w:pPr>
              <w:spacing w:after="0"/>
              <w:rPr>
                <w:sz w:val="13"/>
                <w:szCs w:val="13"/>
                <w:color w:val="auto"/>
              </w:rPr>
            </w:pPr>
          </w:p>
        </w:tc>
      </w:tr>
    </w:tbl>
    <w:p>
      <w:pPr>
        <w:sectPr>
          <w:pgSz w:w="11900" w:h="16838" w:orient="portrait"/>
          <w:cols w:equalWidth="0" w:num="1">
            <w:col w:w="11020"/>
          </w:cols>
          <w:pgMar w:left="440" w:top="263"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4"/>
          <w:szCs w:val="14"/>
          <w:color w:val="255993"/>
        </w:rPr>
        <w:t>Board of Directors and Corporate Governance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DIRECTOR INDEPENDENCE</w:t>
      </w:r>
    </w:p>
    <w:p>
      <w:pPr>
        <w:spacing w:after="0" w:line="108"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Our common stock is listed on the Nasdaq Global Select Market. Under the rules of Nasdaq, independent directors must comprise a majority of a listed company’s board of directors. In addition, the rules of Nasdaq require that, subject to specified exceptions, each member of a listed company’s audit, compensation and nominating and corporate governance committees be independent. Audit committee members must also satisfy the independence criteria set forth in Rule 10A-3 under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1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10"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Our board of directors has undertaken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other than Dr. Litton, none of our directors has a relationship that would interfere with the exercise of independent judgment in carrying out the responsibilities of a director and that each of these directors is “independent” as that term is defined under the rules of Nasdaq. Our board of directors also determined that Mr. Johnson, Mr. Fluke and Mr. Pickering, who comprise our audit committee; Ms. Kosacz, Mr. Johnson and Mr. Pickering, who comprise our compensation committee; and</w:t>
      </w:r>
    </w:p>
    <w:p>
      <w:pPr>
        <w:spacing w:after="0" w:line="1"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Ms. Romano, Ms. Kosacz, Mr. Edelman and Mr. Panzara, who comprise our nominating and corporate governance committee, satisfy the independence standards for those committees established by applicable SEC rules and the rules of Nasdaq. In making this determination, our board of directors considered the relationships that each non-employee director has with us and all other facts and circumstances our board of directors deemed relevant in determining their independence, including the beneficial ownership of our capital stock by each non-employee director.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BOARD LEADERSHIP STRUCTURE</w:t>
      </w:r>
    </w:p>
    <w:p>
      <w:pPr>
        <w:spacing w:after="0" w:line="10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Ms. Romano serves as the independent chairwoman of the board of directors, and Dr. Litton serves as our president and chief executive officer. The roles of chief executive officer and chairperson of the board of directors are currently separated in recognition of the differences between the two roles. We believe that it is in the best interests of our stockholders for the board of directors to make a determination regarding the separation or combination of these roles each time it elects a new chairperson or appoints a chief executive officer, based on the relevant facts and circumstances applicable at such time. Our board has determined it is in the best interests of our stockholders to continue to maintain an independent chairperson to allow Dr. Litton to focus on his primary responsibility for the operational leadership and strategic direction of our company. Our corporate governance guidelines provide that if our board of directors does not have an independent chairperson, the board of directors will appoint a lead independent director.</w:t>
      </w:r>
    </w:p>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Our independent chairperson sets the agenda and serves as the chairperson of meetings of our board of directors and of executive sessions of our non-executive directors, confers separately with management from time to time and facilitates discussion among other board members as appropriate. The chairperson may also, when appropriate, act as spokesperson for the company and perform such other responsibilities that may be designated by a majority of the board of directors from time to time.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ROLE OF BOARD IN RISK OVERSIGHT PROCESS</w:t>
      </w:r>
    </w:p>
    <w:p>
      <w:pPr>
        <w:spacing w:after="0" w:line="108"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Management is responsible for the day-to-day management of risks that the Company faces, in conjunction with our chief compliance officer (who is currently our general counsel) who oversees compliance with certain corporate policies, and our board of directors has an active role, as a whole and also at the committee level, in overseeing the management of our risks. The board of directors is responsible for general oversight of risks and regular review of information regarding our risks, including credit risks, liquidity risks, environmental, social and governance (“ESG”) related risks, cybersecurity risks, and operational risks. Our compensation committee is responsible for overseeing the management of risks relating to our executive compensation plans and arrangements. Our audit</w:t>
      </w:r>
    </w:p>
    <w:p>
      <w:pPr>
        <w:spacing w:after="0" w:line="186"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15</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255993"/>
        </w:rPr>
        <w:t>Board of Directors and Corporate Governance</w:t>
      </w:r>
    </w:p>
    <w:p>
      <w:pPr>
        <w:spacing w:after="0" w:line="104"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committee is responsible for overseeing the management of our risks relating to accounting matters and financial reporting. Our nominating and corporate governance committee is responsible for overseeing the management of our risks associated with the independence of our board of directors. While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affected the board of directors’ leadership structure.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ATTENDANCE AT BOARD AND STOCKHOLDER MEETINGS</w:t>
      </w:r>
    </w:p>
    <w:p>
      <w:pPr>
        <w:spacing w:after="0" w:line="108"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During our fiscal year ended December 31, 2023, our board of directors held eight meetings (including regularly scheduled and special meetings), and each director attended at least 75% of the aggregate of (1) the total number of meetings of the board of directors held during the period for which he or she was a director and (2) the total number of meetings held by all committees on which he or she served during the periods that he or she served.</w:t>
      </w:r>
    </w:p>
    <w:p>
      <w:pPr>
        <w:spacing w:after="0" w:line="110"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Although we do not have a formal policy regarding attendance by members of our board of directors at our annual meetings of stockholders, we encourage, but do not require, directors to attend. Each person who was then a member of our board of directors attended our 2023 annual meeting.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EXECUTIVE SESSIONS OF NON-EMPLOYEE DIRECTORS</w:t>
      </w:r>
    </w:p>
    <w:p>
      <w:pPr>
        <w:spacing w:after="0" w:line="108"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To encourage and enhance communication among non-employee directors, and as required under applicable Nasdaq rules, our corporate governance guidelines provide that the non-employee directors will meet in executive sessions without management directors or management present on a periodic basis. In addition, if any of our non-employee directors are not independent directors, then our independent directors will also meet in executive session on a periodic basis. These executive sessions are chaired by Kelly Romano, our chairwoman of the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BOARD DIVERSITY</w:t>
      </w:r>
    </w:p>
    <w:p>
      <w:pPr>
        <w:spacing w:after="0" w:line="108"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Our board and nominating and corporate governance committee are committed to diversity of experience, gender, race and ethnicity, and seek to ensure that there is diversity of thought among our directors. The Company believes that diversity of thought stems from many factors including professional experience, life experience, socio-economic background, gender, race, ethnicity, religion, skill set, and geographic representation. The Company believes that the backgrounds and qualifications of the directors, considered as a group, should provide a significant composite mix of experience, knowledge, abilities, and stockholder and community representation that will allow the board of directors to fulfill its responsibilities.</w:t>
      </w:r>
    </w:p>
    <w:p>
      <w:pPr>
        <w:spacing w:after="0" w:line="114"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In August 2021, the SEC approved a Nasdaq proposal to adopt listing rules relating to board diversity and disclosure. As approved by the SEC, the Nasdaq listing rules require all Nasdaq listed companies to disclose consistent, transparent diversity statistics regarding their boards of directors. The rules also require most Nasdaq listed companies to have, or explain why they do not have, at least two diverse directors, including one who self-identifies as female and one who self-identifies as either an underrepresented minority or LGBTQ+. Smaller reporting companies satisfy this requirement where the second diverse director self-identifies as female, LGBTQ+, or an underrepresented minority. In this regard, Kelly Romano and Barbara Kosacz each self-identify as female. Accordingly, the Company is in compliance with Nasdaq’s diversity requirement. The Board Diversity Matrix below presents the board of directors’ diversity statistics in the format prescribed by the Nasdaq rules.</w:t>
      </w:r>
    </w:p>
    <w:p>
      <w:pPr>
        <w:spacing w:after="0" w:line="187"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16</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25" w:name="page26"/>
    <w:bookmarkEnd w:id="25"/>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7260"/>
        <w:spacing w:after="0"/>
        <w:rPr>
          <w:sz w:val="20"/>
          <w:szCs w:val="20"/>
          <w:color w:val="auto"/>
        </w:rPr>
      </w:pPr>
      <w:r>
        <w:rPr>
          <w:rFonts w:ascii="Arial" w:cs="Arial" w:eastAsia="Arial" w:hAnsi="Arial"/>
          <w:sz w:val="14"/>
          <w:szCs w:val="14"/>
          <w:color w:val="255993"/>
        </w:rPr>
        <w:t>Board of Directors and Corporate Governance</w:t>
      </w:r>
    </w:p>
    <w:p>
      <w:pPr>
        <w:spacing w:after="0" w:line="11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F8991D"/>
        </w:rPr>
        <w:t>BOARD DIVERSITY MATRIX (AS OF MARCH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94615</wp:posOffset>
            </wp:positionV>
            <wp:extent cx="5966460" cy="925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6460" cy="925830"/>
                    </a:xfrm>
                    <a:prstGeom prst="rect">
                      <a:avLst/>
                    </a:prstGeom>
                    <a:noFill/>
                  </pic:spPr>
                </pic:pic>
              </a:graphicData>
            </a:graphic>
          </wp:anchor>
        </w:drawing>
      </w:r>
    </w:p>
    <w:p>
      <w:pPr>
        <w:spacing w:after="0" w:line="129" w:lineRule="exact"/>
        <w:rPr>
          <w:sz w:val="20"/>
          <w:szCs w:val="20"/>
          <w:color w:val="auto"/>
        </w:rPr>
      </w:pPr>
    </w:p>
    <w:tbl>
      <w:tblPr>
        <w:tblLayout w:type="fixed"/>
        <w:tblInd w:w="800" w:type="dxa"/>
        <w:tblCellMar>
          <w:top w:w="0" w:type="dxa"/>
          <w:left w:w="0" w:type="dxa"/>
          <w:bottom w:w="0" w:type="dxa"/>
          <w:right w:w="0" w:type="dxa"/>
        </w:tblCellMar>
      </w:tblPr>
      <w:tr>
        <w:trPr>
          <w:trHeight w:val="349"/>
        </w:trPr>
        <w:tc>
          <w:tcPr>
            <w:tcW w:w="3480" w:type="dxa"/>
            <w:vAlign w:val="bottom"/>
            <w:shd w:val="clear" w:color="auto" w:fill="255993"/>
          </w:tcPr>
          <w:p>
            <w:pPr>
              <w:ind w:left="80"/>
              <w:spacing w:after="0"/>
              <w:rPr>
                <w:sz w:val="20"/>
                <w:szCs w:val="20"/>
                <w:color w:val="auto"/>
              </w:rPr>
            </w:pPr>
            <w:r>
              <w:rPr>
                <w:rFonts w:ascii="Arial" w:cs="Arial" w:eastAsia="Arial" w:hAnsi="Arial"/>
                <w:sz w:val="14"/>
                <w:szCs w:val="14"/>
                <w:b w:val="1"/>
                <w:bCs w:val="1"/>
                <w:color w:val="FFFFFF"/>
              </w:rPr>
              <w:t>TOTAL NUMBER OF DIRECTORS</w:t>
            </w:r>
          </w:p>
        </w:tc>
        <w:tc>
          <w:tcPr>
            <w:tcW w:w="5920" w:type="dxa"/>
            <w:vAlign w:val="bottom"/>
            <w:shd w:val="clear" w:color="auto" w:fill="F8991D"/>
          </w:tcPr>
          <w:p>
            <w:pPr>
              <w:jc w:val="right"/>
              <w:ind w:right="2768"/>
              <w:spacing w:after="0"/>
              <w:rPr>
                <w:sz w:val="20"/>
                <w:szCs w:val="20"/>
                <w:color w:val="auto"/>
              </w:rPr>
            </w:pPr>
            <w:r>
              <w:rPr>
                <w:rFonts w:ascii="Arial" w:cs="Arial" w:eastAsia="Arial" w:hAnsi="Arial"/>
                <w:sz w:val="14"/>
                <w:szCs w:val="14"/>
                <w:b w:val="1"/>
                <w:bCs w:val="1"/>
                <w:color w:val="FFFFFF"/>
              </w:rPr>
              <w:t>8</w:t>
            </w:r>
          </w:p>
        </w:tc>
      </w:tr>
      <w:tr>
        <w:trPr>
          <w:trHeight w:val="218"/>
        </w:trPr>
        <w:tc>
          <w:tcPr>
            <w:tcW w:w="3480" w:type="dxa"/>
            <w:vAlign w:val="bottom"/>
            <w:shd w:val="clear" w:color="auto" w:fill="255993"/>
          </w:tcPr>
          <w:p>
            <w:pPr>
              <w:spacing w:after="0"/>
              <w:rPr>
                <w:sz w:val="18"/>
                <w:szCs w:val="18"/>
                <w:color w:val="auto"/>
              </w:rPr>
            </w:pPr>
          </w:p>
        </w:tc>
        <w:tc>
          <w:tcPr>
            <w:tcW w:w="5920" w:type="dxa"/>
            <w:vAlign w:val="bottom"/>
            <w:shd w:val="clear" w:color="auto" w:fill="F8991D"/>
          </w:tcPr>
          <w:p>
            <w:pPr>
              <w:spacing w:after="0"/>
              <w:rPr>
                <w:sz w:val="18"/>
                <w:szCs w:val="18"/>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398"/>
        </w:trPr>
        <w:tc>
          <w:tcPr>
            <w:tcW w:w="8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220" w:type="dxa"/>
            <w:vAlign w:val="bottom"/>
            <w:shd w:val="clear" w:color="auto" w:fill="255993"/>
          </w:tcPr>
          <w:p>
            <w:pPr>
              <w:spacing w:after="0"/>
              <w:rPr>
                <w:sz w:val="24"/>
                <w:szCs w:val="24"/>
                <w:color w:val="auto"/>
              </w:rPr>
            </w:pPr>
          </w:p>
        </w:tc>
        <w:tc>
          <w:tcPr>
            <w:tcW w:w="1740" w:type="dxa"/>
            <w:vAlign w:val="bottom"/>
            <w:shd w:val="clear" w:color="auto" w:fill="255993"/>
          </w:tcPr>
          <w:p>
            <w:pPr>
              <w:spacing w:after="0"/>
              <w:rPr>
                <w:sz w:val="24"/>
                <w:szCs w:val="24"/>
                <w:color w:val="auto"/>
              </w:rPr>
            </w:pPr>
          </w:p>
        </w:tc>
        <w:tc>
          <w:tcPr>
            <w:tcW w:w="1500" w:type="dxa"/>
            <w:vAlign w:val="bottom"/>
            <w:shd w:val="clear" w:color="auto" w:fill="255993"/>
          </w:tcPr>
          <w:p>
            <w:pPr>
              <w:spacing w:after="0"/>
              <w:rPr>
                <w:sz w:val="24"/>
                <w:szCs w:val="24"/>
                <w:color w:val="auto"/>
              </w:rPr>
            </w:pPr>
          </w:p>
        </w:tc>
        <w:tc>
          <w:tcPr>
            <w:tcW w:w="1600" w:type="dxa"/>
            <w:vAlign w:val="bottom"/>
            <w:shd w:val="clear" w:color="auto" w:fill="255993"/>
          </w:tcPr>
          <w:p>
            <w:pPr>
              <w:jc w:val="center"/>
              <w:ind w:left="147"/>
              <w:spacing w:after="0"/>
              <w:rPr>
                <w:sz w:val="20"/>
                <w:szCs w:val="20"/>
                <w:color w:val="auto"/>
              </w:rPr>
            </w:pPr>
            <w:r>
              <w:rPr>
                <w:rFonts w:ascii="Arial" w:cs="Arial" w:eastAsia="Arial" w:hAnsi="Arial"/>
                <w:sz w:val="16"/>
                <w:szCs w:val="16"/>
                <w:b w:val="1"/>
                <w:bCs w:val="1"/>
                <w:color w:val="FFFFFF"/>
              </w:rPr>
              <w:t>Did Not</w:t>
            </w:r>
          </w:p>
        </w:tc>
        <w:tc>
          <w:tcPr>
            <w:tcW w:w="820" w:type="dxa"/>
            <w:vAlign w:val="bottom"/>
          </w:tcPr>
          <w:p>
            <w:pPr>
              <w:spacing w:after="0"/>
              <w:rPr>
                <w:sz w:val="24"/>
                <w:szCs w:val="24"/>
                <w:color w:val="auto"/>
              </w:rPr>
            </w:pPr>
          </w:p>
        </w:tc>
      </w:tr>
      <w:tr>
        <w:trPr>
          <w:trHeight w:val="223"/>
        </w:trPr>
        <w:tc>
          <w:tcPr>
            <w:tcW w:w="8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220" w:type="dxa"/>
            <w:vAlign w:val="bottom"/>
            <w:shd w:val="clear" w:color="auto" w:fill="255993"/>
          </w:tcPr>
          <w:p>
            <w:pPr>
              <w:ind w:left="600"/>
              <w:spacing w:after="0"/>
              <w:rPr>
                <w:sz w:val="20"/>
                <w:szCs w:val="20"/>
                <w:color w:val="auto"/>
              </w:rPr>
            </w:pPr>
            <w:r>
              <w:rPr>
                <w:rFonts w:ascii="Arial" w:cs="Arial" w:eastAsia="Arial" w:hAnsi="Arial"/>
                <w:sz w:val="16"/>
                <w:szCs w:val="16"/>
                <w:b w:val="1"/>
                <w:bCs w:val="1"/>
                <w:color w:val="FFFFFF"/>
              </w:rPr>
              <w:t>Female</w:t>
            </w:r>
          </w:p>
        </w:tc>
        <w:tc>
          <w:tcPr>
            <w:tcW w:w="1740" w:type="dxa"/>
            <w:vAlign w:val="bottom"/>
            <w:shd w:val="clear" w:color="auto" w:fill="255993"/>
          </w:tcPr>
          <w:p>
            <w:pPr>
              <w:jc w:val="right"/>
              <w:ind w:right="347"/>
              <w:spacing w:after="0"/>
              <w:rPr>
                <w:sz w:val="20"/>
                <w:szCs w:val="20"/>
                <w:color w:val="auto"/>
              </w:rPr>
            </w:pPr>
            <w:r>
              <w:rPr>
                <w:rFonts w:ascii="Arial" w:cs="Arial" w:eastAsia="Arial" w:hAnsi="Arial"/>
                <w:sz w:val="16"/>
                <w:szCs w:val="16"/>
                <w:b w:val="1"/>
                <w:bCs w:val="1"/>
                <w:color w:val="FFFFFF"/>
              </w:rPr>
              <w:t>Male</w:t>
            </w:r>
          </w:p>
        </w:tc>
        <w:tc>
          <w:tcPr>
            <w:tcW w:w="1500" w:type="dxa"/>
            <w:vAlign w:val="bottom"/>
            <w:shd w:val="clear" w:color="auto" w:fill="255993"/>
          </w:tcPr>
          <w:p>
            <w:pPr>
              <w:jc w:val="center"/>
              <w:ind w:left="167"/>
              <w:spacing w:after="0"/>
              <w:rPr>
                <w:sz w:val="20"/>
                <w:szCs w:val="20"/>
                <w:color w:val="auto"/>
              </w:rPr>
            </w:pPr>
            <w:r>
              <w:rPr>
                <w:rFonts w:ascii="Arial" w:cs="Arial" w:eastAsia="Arial" w:hAnsi="Arial"/>
                <w:sz w:val="16"/>
                <w:szCs w:val="16"/>
                <w:b w:val="1"/>
                <w:bCs w:val="1"/>
                <w:color w:val="FFFFFF"/>
                <w:w w:val="99"/>
              </w:rPr>
              <w:t>Non-Binary</w:t>
            </w:r>
          </w:p>
        </w:tc>
        <w:tc>
          <w:tcPr>
            <w:tcW w:w="1600" w:type="dxa"/>
            <w:vAlign w:val="bottom"/>
            <w:shd w:val="clear" w:color="auto" w:fill="255993"/>
          </w:tcPr>
          <w:p>
            <w:pPr>
              <w:jc w:val="center"/>
              <w:ind w:left="167"/>
              <w:spacing w:after="0"/>
              <w:rPr>
                <w:sz w:val="20"/>
                <w:szCs w:val="20"/>
                <w:color w:val="auto"/>
              </w:rPr>
            </w:pPr>
            <w:r>
              <w:rPr>
                <w:rFonts w:ascii="Arial" w:cs="Arial" w:eastAsia="Arial" w:hAnsi="Arial"/>
                <w:sz w:val="16"/>
                <w:szCs w:val="16"/>
                <w:b w:val="1"/>
                <w:bCs w:val="1"/>
                <w:color w:val="FFFFFF"/>
              </w:rPr>
              <w:t>Disclose Gender</w:t>
            </w:r>
          </w:p>
        </w:tc>
        <w:tc>
          <w:tcPr>
            <w:tcW w:w="820" w:type="dxa"/>
            <w:vAlign w:val="bottom"/>
          </w:tcPr>
          <w:p>
            <w:pPr>
              <w:spacing w:after="0"/>
              <w:rPr>
                <w:sz w:val="19"/>
                <w:szCs w:val="19"/>
                <w:color w:val="auto"/>
              </w:rPr>
            </w:pPr>
          </w:p>
        </w:tc>
      </w:tr>
      <w:tr>
        <w:trPr>
          <w:trHeight w:val="223"/>
        </w:trPr>
        <w:tc>
          <w:tcPr>
            <w:tcW w:w="8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220" w:type="dxa"/>
            <w:vAlign w:val="bottom"/>
            <w:shd w:val="clear" w:color="auto" w:fill="255993"/>
          </w:tcPr>
          <w:p>
            <w:pPr>
              <w:spacing w:after="0"/>
              <w:rPr>
                <w:sz w:val="19"/>
                <w:szCs w:val="19"/>
                <w:color w:val="auto"/>
              </w:rPr>
            </w:pPr>
          </w:p>
        </w:tc>
        <w:tc>
          <w:tcPr>
            <w:tcW w:w="1740" w:type="dxa"/>
            <w:vAlign w:val="bottom"/>
            <w:shd w:val="clear" w:color="auto" w:fill="255993"/>
          </w:tcPr>
          <w:p>
            <w:pPr>
              <w:spacing w:after="0"/>
              <w:rPr>
                <w:sz w:val="19"/>
                <w:szCs w:val="19"/>
                <w:color w:val="auto"/>
              </w:rPr>
            </w:pPr>
          </w:p>
        </w:tc>
        <w:tc>
          <w:tcPr>
            <w:tcW w:w="1500" w:type="dxa"/>
            <w:vAlign w:val="bottom"/>
            <w:shd w:val="clear" w:color="auto" w:fill="255993"/>
          </w:tcPr>
          <w:p>
            <w:pPr>
              <w:spacing w:after="0"/>
              <w:rPr>
                <w:sz w:val="19"/>
                <w:szCs w:val="19"/>
                <w:color w:val="auto"/>
              </w:rPr>
            </w:pPr>
          </w:p>
        </w:tc>
        <w:tc>
          <w:tcPr>
            <w:tcW w:w="1600" w:type="dxa"/>
            <w:vAlign w:val="bottom"/>
            <w:shd w:val="clear" w:color="auto" w:fill="255993"/>
          </w:tcPr>
          <w:p>
            <w:pPr>
              <w:spacing w:after="0"/>
              <w:rPr>
                <w:sz w:val="19"/>
                <w:szCs w:val="19"/>
                <w:color w:val="auto"/>
              </w:rPr>
            </w:pPr>
          </w:p>
        </w:tc>
        <w:tc>
          <w:tcPr>
            <w:tcW w:w="820" w:type="dxa"/>
            <w:vAlign w:val="bottom"/>
          </w:tcPr>
          <w:p>
            <w:pPr>
              <w:spacing w:after="0"/>
              <w:rPr>
                <w:sz w:val="19"/>
                <w:szCs w:val="19"/>
                <w:color w:val="auto"/>
              </w:rPr>
            </w:pPr>
          </w:p>
        </w:tc>
      </w:tr>
      <w:tr>
        <w:trPr>
          <w:trHeight w:val="430"/>
        </w:trPr>
        <w:tc>
          <w:tcPr>
            <w:tcW w:w="800" w:type="dxa"/>
            <w:vAlign w:val="bottom"/>
          </w:tcPr>
          <w:p>
            <w:pPr>
              <w:spacing w:after="0"/>
              <w:rPr>
                <w:sz w:val="24"/>
                <w:szCs w:val="24"/>
                <w:color w:val="auto"/>
              </w:rPr>
            </w:pPr>
          </w:p>
        </w:tc>
        <w:tc>
          <w:tcPr>
            <w:tcW w:w="3340" w:type="dxa"/>
            <w:vAlign w:val="bottom"/>
            <w:shd w:val="clear" w:color="auto" w:fill="F8991D"/>
          </w:tcPr>
          <w:p>
            <w:pPr>
              <w:ind w:left="80"/>
              <w:spacing w:after="0"/>
              <w:rPr>
                <w:sz w:val="20"/>
                <w:szCs w:val="20"/>
                <w:color w:val="auto"/>
              </w:rPr>
            </w:pPr>
            <w:r>
              <w:rPr>
                <w:rFonts w:ascii="Arial" w:cs="Arial" w:eastAsia="Arial" w:hAnsi="Arial"/>
                <w:sz w:val="14"/>
                <w:szCs w:val="14"/>
                <w:b w:val="1"/>
                <w:bCs w:val="1"/>
                <w:color w:val="FFFFFF"/>
              </w:rPr>
              <w:t>PART I: GENDER IDENTITY</w:t>
            </w:r>
          </w:p>
        </w:tc>
        <w:tc>
          <w:tcPr>
            <w:tcW w:w="1220" w:type="dxa"/>
            <w:vAlign w:val="bottom"/>
            <w:shd w:val="clear" w:color="auto" w:fill="F8991D"/>
          </w:tcPr>
          <w:p>
            <w:pPr>
              <w:spacing w:after="0"/>
              <w:rPr>
                <w:sz w:val="24"/>
                <w:szCs w:val="24"/>
                <w:color w:val="auto"/>
              </w:rPr>
            </w:pPr>
          </w:p>
        </w:tc>
        <w:tc>
          <w:tcPr>
            <w:tcW w:w="1740" w:type="dxa"/>
            <w:vAlign w:val="bottom"/>
            <w:shd w:val="clear" w:color="auto" w:fill="F8991D"/>
          </w:tcPr>
          <w:p>
            <w:pPr>
              <w:spacing w:after="0"/>
              <w:rPr>
                <w:sz w:val="24"/>
                <w:szCs w:val="24"/>
                <w:color w:val="auto"/>
              </w:rPr>
            </w:pPr>
          </w:p>
        </w:tc>
        <w:tc>
          <w:tcPr>
            <w:tcW w:w="1500" w:type="dxa"/>
            <w:vAlign w:val="bottom"/>
            <w:shd w:val="clear" w:color="auto" w:fill="F8991D"/>
          </w:tcPr>
          <w:p>
            <w:pPr>
              <w:spacing w:after="0"/>
              <w:rPr>
                <w:sz w:val="24"/>
                <w:szCs w:val="24"/>
                <w:color w:val="auto"/>
              </w:rPr>
            </w:pPr>
          </w:p>
        </w:tc>
        <w:tc>
          <w:tcPr>
            <w:tcW w:w="1600" w:type="dxa"/>
            <w:vAlign w:val="bottom"/>
            <w:shd w:val="clear" w:color="auto" w:fill="F8991D"/>
          </w:tcPr>
          <w:p>
            <w:pPr>
              <w:spacing w:after="0"/>
              <w:rPr>
                <w:sz w:val="24"/>
                <w:szCs w:val="24"/>
                <w:color w:val="auto"/>
              </w:rPr>
            </w:pPr>
          </w:p>
        </w:tc>
        <w:tc>
          <w:tcPr>
            <w:tcW w:w="820" w:type="dxa"/>
            <w:vAlign w:val="bottom"/>
          </w:tcPr>
          <w:p>
            <w:pPr>
              <w:spacing w:after="0"/>
              <w:rPr>
                <w:sz w:val="24"/>
                <w:szCs w:val="24"/>
                <w:color w:val="auto"/>
              </w:rPr>
            </w:pPr>
          </w:p>
        </w:tc>
      </w:tr>
      <w:tr>
        <w:trPr>
          <w:trHeight w:val="218"/>
        </w:trPr>
        <w:tc>
          <w:tcPr>
            <w:tcW w:w="800" w:type="dxa"/>
            <w:vAlign w:val="bottom"/>
          </w:tcPr>
          <w:p>
            <w:pPr>
              <w:spacing w:after="0"/>
              <w:rPr>
                <w:sz w:val="18"/>
                <w:szCs w:val="18"/>
                <w:color w:val="auto"/>
              </w:rPr>
            </w:pPr>
          </w:p>
        </w:tc>
        <w:tc>
          <w:tcPr>
            <w:tcW w:w="3340" w:type="dxa"/>
            <w:vAlign w:val="bottom"/>
            <w:shd w:val="clear" w:color="auto" w:fill="F8991D"/>
          </w:tcPr>
          <w:p>
            <w:pPr>
              <w:spacing w:after="0"/>
              <w:rPr>
                <w:sz w:val="18"/>
                <w:szCs w:val="18"/>
                <w:color w:val="auto"/>
              </w:rPr>
            </w:pPr>
          </w:p>
        </w:tc>
        <w:tc>
          <w:tcPr>
            <w:tcW w:w="1220" w:type="dxa"/>
            <w:vAlign w:val="bottom"/>
            <w:shd w:val="clear" w:color="auto" w:fill="F8991D"/>
          </w:tcPr>
          <w:p>
            <w:pPr>
              <w:spacing w:after="0"/>
              <w:rPr>
                <w:sz w:val="18"/>
                <w:szCs w:val="18"/>
                <w:color w:val="auto"/>
              </w:rPr>
            </w:pPr>
          </w:p>
        </w:tc>
        <w:tc>
          <w:tcPr>
            <w:tcW w:w="1740" w:type="dxa"/>
            <w:vAlign w:val="bottom"/>
            <w:shd w:val="clear" w:color="auto" w:fill="F8991D"/>
          </w:tcPr>
          <w:p>
            <w:pPr>
              <w:spacing w:after="0"/>
              <w:rPr>
                <w:sz w:val="18"/>
                <w:szCs w:val="18"/>
                <w:color w:val="auto"/>
              </w:rPr>
            </w:pPr>
          </w:p>
        </w:tc>
        <w:tc>
          <w:tcPr>
            <w:tcW w:w="1500" w:type="dxa"/>
            <w:vAlign w:val="bottom"/>
            <w:shd w:val="clear" w:color="auto" w:fill="F8991D"/>
          </w:tcPr>
          <w:p>
            <w:pPr>
              <w:spacing w:after="0"/>
              <w:rPr>
                <w:sz w:val="18"/>
                <w:szCs w:val="18"/>
                <w:color w:val="auto"/>
              </w:rPr>
            </w:pPr>
          </w:p>
        </w:tc>
        <w:tc>
          <w:tcPr>
            <w:tcW w:w="1600" w:type="dxa"/>
            <w:vAlign w:val="bottom"/>
            <w:shd w:val="clear" w:color="auto" w:fill="F8991D"/>
          </w:tcPr>
          <w:p>
            <w:pPr>
              <w:spacing w:after="0"/>
              <w:rPr>
                <w:sz w:val="18"/>
                <w:szCs w:val="18"/>
                <w:color w:val="auto"/>
              </w:rPr>
            </w:pPr>
          </w:p>
        </w:tc>
        <w:tc>
          <w:tcPr>
            <w:tcW w:w="820" w:type="dxa"/>
            <w:vAlign w:val="bottom"/>
          </w:tcPr>
          <w:p>
            <w:pPr>
              <w:spacing w:after="0"/>
              <w:rPr>
                <w:sz w:val="18"/>
                <w:szCs w:val="18"/>
                <w:color w:val="auto"/>
              </w:rPr>
            </w:pPr>
          </w:p>
        </w:tc>
      </w:tr>
      <w:tr>
        <w:trPr>
          <w:trHeight w:val="430"/>
        </w:trPr>
        <w:tc>
          <w:tcPr>
            <w:tcW w:w="800" w:type="dxa"/>
            <w:vAlign w:val="bottom"/>
          </w:tcPr>
          <w:p>
            <w:pPr>
              <w:spacing w:after="0"/>
              <w:rPr>
                <w:sz w:val="24"/>
                <w:szCs w:val="24"/>
                <w:color w:val="auto"/>
              </w:rPr>
            </w:pPr>
          </w:p>
        </w:tc>
        <w:tc>
          <w:tcPr>
            <w:tcW w:w="3340" w:type="dxa"/>
            <w:vAlign w:val="bottom"/>
            <w:shd w:val="clear" w:color="auto" w:fill="EBEBEB"/>
          </w:tcPr>
          <w:p>
            <w:pPr>
              <w:ind w:left="80"/>
              <w:spacing w:after="0"/>
              <w:rPr>
                <w:sz w:val="20"/>
                <w:szCs w:val="20"/>
                <w:color w:val="auto"/>
              </w:rPr>
            </w:pPr>
            <w:r>
              <w:rPr>
                <w:rFonts w:ascii="Arial" w:cs="Arial" w:eastAsia="Arial" w:hAnsi="Arial"/>
                <w:sz w:val="14"/>
                <w:szCs w:val="14"/>
                <w:b w:val="1"/>
                <w:bCs w:val="1"/>
                <w:color w:val="auto"/>
              </w:rPr>
              <w:t>Directors</w:t>
            </w:r>
          </w:p>
        </w:tc>
        <w:tc>
          <w:tcPr>
            <w:tcW w:w="1220" w:type="dxa"/>
            <w:vAlign w:val="bottom"/>
            <w:shd w:val="clear" w:color="auto" w:fill="EBEBEB"/>
          </w:tcPr>
          <w:p>
            <w:pPr>
              <w:jc w:val="center"/>
              <w:ind w:left="467"/>
              <w:spacing w:after="0"/>
              <w:rPr>
                <w:sz w:val="20"/>
                <w:szCs w:val="20"/>
                <w:color w:val="auto"/>
              </w:rPr>
            </w:pPr>
            <w:r>
              <w:rPr>
                <w:rFonts w:ascii="Arial" w:cs="Arial" w:eastAsia="Arial" w:hAnsi="Arial"/>
                <w:sz w:val="14"/>
                <w:szCs w:val="14"/>
                <w:color w:val="auto"/>
              </w:rPr>
              <w:t>2</w:t>
            </w:r>
          </w:p>
        </w:tc>
        <w:tc>
          <w:tcPr>
            <w:tcW w:w="1740" w:type="dxa"/>
            <w:vAlign w:val="bottom"/>
            <w:shd w:val="clear" w:color="auto" w:fill="EBEBEB"/>
          </w:tcPr>
          <w:p>
            <w:pPr>
              <w:jc w:val="center"/>
              <w:ind w:left="467"/>
              <w:spacing w:after="0"/>
              <w:rPr>
                <w:sz w:val="20"/>
                <w:szCs w:val="20"/>
                <w:color w:val="auto"/>
              </w:rPr>
            </w:pPr>
            <w:r>
              <w:rPr>
                <w:rFonts w:ascii="Arial" w:cs="Arial" w:eastAsia="Arial" w:hAnsi="Arial"/>
                <w:sz w:val="14"/>
                <w:szCs w:val="14"/>
                <w:color w:val="auto"/>
              </w:rPr>
              <w:t>5</w:t>
            </w:r>
          </w:p>
        </w:tc>
        <w:tc>
          <w:tcPr>
            <w:tcW w:w="1500" w:type="dxa"/>
            <w:vAlign w:val="bottom"/>
            <w:shd w:val="clear" w:color="auto" w:fill="EBEBEB"/>
          </w:tcPr>
          <w:p>
            <w:pPr>
              <w:jc w:val="center"/>
              <w:ind w:left="167"/>
              <w:spacing w:after="0"/>
              <w:rPr>
                <w:sz w:val="20"/>
                <w:szCs w:val="20"/>
                <w:color w:val="auto"/>
              </w:rPr>
            </w:pPr>
            <w:r>
              <w:rPr>
                <w:rFonts w:ascii="Arial" w:cs="Arial" w:eastAsia="Arial" w:hAnsi="Arial"/>
                <w:sz w:val="14"/>
                <w:szCs w:val="14"/>
                <w:color w:val="auto"/>
                <w:w w:val="99"/>
              </w:rPr>
              <w:t>—</w:t>
            </w:r>
          </w:p>
        </w:tc>
        <w:tc>
          <w:tcPr>
            <w:tcW w:w="1600" w:type="dxa"/>
            <w:vAlign w:val="bottom"/>
            <w:shd w:val="clear" w:color="auto" w:fill="EBEBEB"/>
          </w:tcPr>
          <w:p>
            <w:pPr>
              <w:jc w:val="center"/>
              <w:ind w:left="167"/>
              <w:spacing w:after="0"/>
              <w:rPr>
                <w:sz w:val="20"/>
                <w:szCs w:val="20"/>
                <w:color w:val="auto"/>
              </w:rPr>
            </w:pPr>
            <w:r>
              <w:rPr>
                <w:rFonts w:ascii="Arial" w:cs="Arial" w:eastAsia="Arial" w:hAnsi="Arial"/>
                <w:sz w:val="14"/>
                <w:szCs w:val="14"/>
                <w:color w:val="auto"/>
              </w:rPr>
              <w:t>1</w:t>
            </w:r>
          </w:p>
        </w:tc>
        <w:tc>
          <w:tcPr>
            <w:tcW w:w="820" w:type="dxa"/>
            <w:vAlign w:val="bottom"/>
          </w:tcPr>
          <w:p>
            <w:pPr>
              <w:spacing w:after="0"/>
              <w:rPr>
                <w:sz w:val="24"/>
                <w:szCs w:val="24"/>
                <w:color w:val="auto"/>
              </w:rPr>
            </w:pPr>
          </w:p>
        </w:tc>
      </w:tr>
      <w:tr>
        <w:trPr>
          <w:trHeight w:val="218"/>
        </w:trPr>
        <w:tc>
          <w:tcPr>
            <w:tcW w:w="800" w:type="dxa"/>
            <w:vAlign w:val="bottom"/>
          </w:tcPr>
          <w:p>
            <w:pPr>
              <w:spacing w:after="0"/>
              <w:rPr>
                <w:sz w:val="18"/>
                <w:szCs w:val="18"/>
                <w:color w:val="auto"/>
              </w:rPr>
            </w:pPr>
          </w:p>
        </w:tc>
        <w:tc>
          <w:tcPr>
            <w:tcW w:w="3340" w:type="dxa"/>
            <w:vAlign w:val="bottom"/>
            <w:shd w:val="clear" w:color="auto" w:fill="EBEBEB"/>
          </w:tcPr>
          <w:p>
            <w:pPr>
              <w:spacing w:after="0"/>
              <w:rPr>
                <w:sz w:val="18"/>
                <w:szCs w:val="18"/>
                <w:color w:val="auto"/>
              </w:rPr>
            </w:pPr>
          </w:p>
        </w:tc>
        <w:tc>
          <w:tcPr>
            <w:tcW w:w="1220" w:type="dxa"/>
            <w:vAlign w:val="bottom"/>
            <w:shd w:val="clear" w:color="auto" w:fill="EBEBEB"/>
          </w:tcPr>
          <w:p>
            <w:pPr>
              <w:spacing w:after="0"/>
              <w:rPr>
                <w:sz w:val="18"/>
                <w:szCs w:val="18"/>
                <w:color w:val="auto"/>
              </w:rPr>
            </w:pPr>
          </w:p>
        </w:tc>
        <w:tc>
          <w:tcPr>
            <w:tcW w:w="1740" w:type="dxa"/>
            <w:vAlign w:val="bottom"/>
            <w:shd w:val="clear" w:color="auto" w:fill="EBEBEB"/>
          </w:tcPr>
          <w:p>
            <w:pPr>
              <w:spacing w:after="0"/>
              <w:rPr>
                <w:sz w:val="18"/>
                <w:szCs w:val="18"/>
                <w:color w:val="auto"/>
              </w:rPr>
            </w:pPr>
          </w:p>
        </w:tc>
        <w:tc>
          <w:tcPr>
            <w:tcW w:w="1500" w:type="dxa"/>
            <w:vAlign w:val="bottom"/>
            <w:shd w:val="clear" w:color="auto" w:fill="EBEBEB"/>
          </w:tcPr>
          <w:p>
            <w:pPr>
              <w:spacing w:after="0"/>
              <w:rPr>
                <w:sz w:val="18"/>
                <w:szCs w:val="18"/>
                <w:color w:val="auto"/>
              </w:rPr>
            </w:pPr>
          </w:p>
        </w:tc>
        <w:tc>
          <w:tcPr>
            <w:tcW w:w="1600" w:type="dxa"/>
            <w:vAlign w:val="bottom"/>
            <w:shd w:val="clear" w:color="auto" w:fill="EBEBEB"/>
          </w:tcPr>
          <w:p>
            <w:pPr>
              <w:spacing w:after="0"/>
              <w:rPr>
                <w:sz w:val="18"/>
                <w:szCs w:val="18"/>
                <w:color w:val="auto"/>
              </w:rPr>
            </w:pPr>
          </w:p>
        </w:tc>
        <w:tc>
          <w:tcPr>
            <w:tcW w:w="820" w:type="dxa"/>
            <w:vAlign w:val="bottom"/>
          </w:tcPr>
          <w:p>
            <w:pPr>
              <w:spacing w:after="0"/>
              <w:rPr>
                <w:sz w:val="18"/>
                <w:szCs w:val="18"/>
                <w:color w:val="auto"/>
              </w:rPr>
            </w:pPr>
          </w:p>
        </w:tc>
      </w:tr>
      <w:tr>
        <w:trPr>
          <w:trHeight w:val="430"/>
        </w:trPr>
        <w:tc>
          <w:tcPr>
            <w:tcW w:w="800" w:type="dxa"/>
            <w:vAlign w:val="bottom"/>
          </w:tcPr>
          <w:p>
            <w:pPr>
              <w:spacing w:after="0"/>
              <w:rPr>
                <w:sz w:val="24"/>
                <w:szCs w:val="24"/>
                <w:color w:val="auto"/>
              </w:rPr>
            </w:pPr>
          </w:p>
        </w:tc>
        <w:tc>
          <w:tcPr>
            <w:tcW w:w="3340" w:type="dxa"/>
            <w:vAlign w:val="bottom"/>
            <w:shd w:val="clear" w:color="auto" w:fill="6CCAD0"/>
          </w:tcPr>
          <w:p>
            <w:pPr>
              <w:ind w:left="80"/>
              <w:spacing w:after="0"/>
              <w:rPr>
                <w:sz w:val="20"/>
                <w:szCs w:val="20"/>
                <w:color w:val="auto"/>
              </w:rPr>
            </w:pPr>
            <w:r>
              <w:rPr>
                <w:rFonts w:ascii="Arial" w:cs="Arial" w:eastAsia="Arial" w:hAnsi="Arial"/>
                <w:sz w:val="14"/>
                <w:szCs w:val="14"/>
                <w:b w:val="1"/>
                <w:bCs w:val="1"/>
                <w:color w:val="FFFFFF"/>
              </w:rPr>
              <w:t>PART II: DEMOGRAPHIC BACKGROUND</w:t>
            </w:r>
          </w:p>
        </w:tc>
        <w:tc>
          <w:tcPr>
            <w:tcW w:w="1220" w:type="dxa"/>
            <w:vAlign w:val="bottom"/>
            <w:shd w:val="clear" w:color="auto" w:fill="6CCAD0"/>
          </w:tcPr>
          <w:p>
            <w:pPr>
              <w:spacing w:after="0"/>
              <w:rPr>
                <w:sz w:val="24"/>
                <w:szCs w:val="24"/>
                <w:color w:val="auto"/>
              </w:rPr>
            </w:pPr>
          </w:p>
        </w:tc>
        <w:tc>
          <w:tcPr>
            <w:tcW w:w="1740" w:type="dxa"/>
            <w:vAlign w:val="bottom"/>
            <w:shd w:val="clear" w:color="auto" w:fill="6CCAD0"/>
          </w:tcPr>
          <w:p>
            <w:pPr>
              <w:spacing w:after="0"/>
              <w:rPr>
                <w:sz w:val="24"/>
                <w:szCs w:val="24"/>
                <w:color w:val="auto"/>
              </w:rPr>
            </w:pPr>
          </w:p>
        </w:tc>
        <w:tc>
          <w:tcPr>
            <w:tcW w:w="1500" w:type="dxa"/>
            <w:vAlign w:val="bottom"/>
            <w:shd w:val="clear" w:color="auto" w:fill="6CCAD0"/>
          </w:tcPr>
          <w:p>
            <w:pPr>
              <w:spacing w:after="0"/>
              <w:rPr>
                <w:sz w:val="24"/>
                <w:szCs w:val="24"/>
                <w:color w:val="auto"/>
              </w:rPr>
            </w:pPr>
          </w:p>
        </w:tc>
        <w:tc>
          <w:tcPr>
            <w:tcW w:w="1600" w:type="dxa"/>
            <w:vAlign w:val="bottom"/>
            <w:shd w:val="clear" w:color="auto" w:fill="6CCAD0"/>
          </w:tcPr>
          <w:p>
            <w:pPr>
              <w:spacing w:after="0"/>
              <w:rPr>
                <w:sz w:val="24"/>
                <w:szCs w:val="24"/>
                <w:color w:val="auto"/>
              </w:rPr>
            </w:pPr>
          </w:p>
        </w:tc>
        <w:tc>
          <w:tcPr>
            <w:tcW w:w="820" w:type="dxa"/>
            <w:vAlign w:val="bottom"/>
          </w:tcPr>
          <w:p>
            <w:pPr>
              <w:spacing w:after="0"/>
              <w:rPr>
                <w:sz w:val="24"/>
                <w:szCs w:val="24"/>
                <w:color w:val="auto"/>
              </w:rPr>
            </w:pPr>
          </w:p>
        </w:tc>
      </w:tr>
      <w:tr>
        <w:trPr>
          <w:trHeight w:val="218"/>
        </w:trPr>
        <w:tc>
          <w:tcPr>
            <w:tcW w:w="800" w:type="dxa"/>
            <w:vAlign w:val="bottom"/>
          </w:tcPr>
          <w:p>
            <w:pPr>
              <w:spacing w:after="0"/>
              <w:rPr>
                <w:sz w:val="18"/>
                <w:szCs w:val="18"/>
                <w:color w:val="auto"/>
              </w:rPr>
            </w:pPr>
          </w:p>
        </w:tc>
        <w:tc>
          <w:tcPr>
            <w:tcW w:w="3340" w:type="dxa"/>
            <w:vAlign w:val="bottom"/>
            <w:shd w:val="clear" w:color="auto" w:fill="6CCAD0"/>
          </w:tcPr>
          <w:p>
            <w:pPr>
              <w:spacing w:after="0"/>
              <w:rPr>
                <w:sz w:val="18"/>
                <w:szCs w:val="18"/>
                <w:color w:val="auto"/>
              </w:rPr>
            </w:pPr>
          </w:p>
        </w:tc>
        <w:tc>
          <w:tcPr>
            <w:tcW w:w="1220" w:type="dxa"/>
            <w:vAlign w:val="bottom"/>
            <w:shd w:val="clear" w:color="auto" w:fill="6CCAD0"/>
          </w:tcPr>
          <w:p>
            <w:pPr>
              <w:spacing w:after="0"/>
              <w:rPr>
                <w:sz w:val="18"/>
                <w:szCs w:val="18"/>
                <w:color w:val="auto"/>
              </w:rPr>
            </w:pPr>
          </w:p>
        </w:tc>
        <w:tc>
          <w:tcPr>
            <w:tcW w:w="1740" w:type="dxa"/>
            <w:vAlign w:val="bottom"/>
            <w:shd w:val="clear" w:color="auto" w:fill="6CCAD0"/>
          </w:tcPr>
          <w:p>
            <w:pPr>
              <w:spacing w:after="0"/>
              <w:rPr>
                <w:sz w:val="18"/>
                <w:szCs w:val="18"/>
                <w:color w:val="auto"/>
              </w:rPr>
            </w:pPr>
          </w:p>
        </w:tc>
        <w:tc>
          <w:tcPr>
            <w:tcW w:w="1500" w:type="dxa"/>
            <w:vAlign w:val="bottom"/>
            <w:shd w:val="clear" w:color="auto" w:fill="6CCAD0"/>
          </w:tcPr>
          <w:p>
            <w:pPr>
              <w:spacing w:after="0"/>
              <w:rPr>
                <w:sz w:val="18"/>
                <w:szCs w:val="18"/>
                <w:color w:val="auto"/>
              </w:rPr>
            </w:pPr>
          </w:p>
        </w:tc>
        <w:tc>
          <w:tcPr>
            <w:tcW w:w="1600" w:type="dxa"/>
            <w:vAlign w:val="bottom"/>
            <w:shd w:val="clear" w:color="auto" w:fill="6CCAD0"/>
          </w:tcPr>
          <w:p>
            <w:pPr>
              <w:spacing w:after="0"/>
              <w:rPr>
                <w:sz w:val="18"/>
                <w:szCs w:val="18"/>
                <w:color w:val="auto"/>
              </w:rPr>
            </w:pPr>
          </w:p>
        </w:tc>
        <w:tc>
          <w:tcPr>
            <w:tcW w:w="820" w:type="dxa"/>
            <w:vAlign w:val="bottom"/>
          </w:tcPr>
          <w:p>
            <w:pPr>
              <w:spacing w:after="0"/>
              <w:rPr>
                <w:sz w:val="18"/>
                <w:szCs w:val="18"/>
                <w:color w:val="auto"/>
              </w:rPr>
            </w:pPr>
          </w:p>
        </w:tc>
      </w:tr>
      <w:tr>
        <w:trPr>
          <w:trHeight w:val="430"/>
        </w:trPr>
        <w:tc>
          <w:tcPr>
            <w:tcW w:w="800" w:type="dxa"/>
            <w:vAlign w:val="bottom"/>
          </w:tcPr>
          <w:p>
            <w:pPr>
              <w:spacing w:after="0"/>
              <w:rPr>
                <w:sz w:val="24"/>
                <w:szCs w:val="24"/>
                <w:color w:val="auto"/>
              </w:rPr>
            </w:pPr>
          </w:p>
        </w:tc>
        <w:tc>
          <w:tcPr>
            <w:tcW w:w="3340" w:type="dxa"/>
            <w:vAlign w:val="bottom"/>
            <w:shd w:val="clear" w:color="auto" w:fill="EBEBEB"/>
          </w:tcPr>
          <w:p>
            <w:pPr>
              <w:ind w:left="80"/>
              <w:spacing w:after="0"/>
              <w:rPr>
                <w:sz w:val="20"/>
                <w:szCs w:val="20"/>
                <w:color w:val="auto"/>
              </w:rPr>
            </w:pPr>
            <w:r>
              <w:rPr>
                <w:rFonts w:ascii="Arial" w:cs="Arial" w:eastAsia="Arial" w:hAnsi="Arial"/>
                <w:sz w:val="14"/>
                <w:szCs w:val="14"/>
                <w:b w:val="1"/>
                <w:bCs w:val="1"/>
                <w:color w:val="auto"/>
              </w:rPr>
              <w:t>African American or Black</w:t>
            </w:r>
          </w:p>
        </w:tc>
        <w:tc>
          <w:tcPr>
            <w:tcW w:w="1220" w:type="dxa"/>
            <w:vAlign w:val="bottom"/>
            <w:shd w:val="clear" w:color="auto" w:fill="EBEBEB"/>
          </w:tcPr>
          <w:p>
            <w:pPr>
              <w:jc w:val="center"/>
              <w:ind w:left="487"/>
              <w:spacing w:after="0"/>
              <w:rPr>
                <w:sz w:val="20"/>
                <w:szCs w:val="20"/>
                <w:color w:val="auto"/>
              </w:rPr>
            </w:pPr>
            <w:r>
              <w:rPr>
                <w:rFonts w:ascii="Arial" w:cs="Arial" w:eastAsia="Arial" w:hAnsi="Arial"/>
                <w:sz w:val="14"/>
                <w:szCs w:val="14"/>
                <w:color w:val="auto"/>
                <w:w w:val="99"/>
              </w:rPr>
              <w:t>—</w:t>
            </w:r>
          </w:p>
        </w:tc>
        <w:tc>
          <w:tcPr>
            <w:tcW w:w="1740" w:type="dxa"/>
            <w:vAlign w:val="bottom"/>
            <w:shd w:val="clear" w:color="auto" w:fill="EBEBEB"/>
          </w:tcPr>
          <w:p>
            <w:pPr>
              <w:jc w:val="center"/>
              <w:ind w:left="447"/>
              <w:spacing w:after="0"/>
              <w:rPr>
                <w:sz w:val="20"/>
                <w:szCs w:val="20"/>
                <w:color w:val="auto"/>
              </w:rPr>
            </w:pPr>
            <w:r>
              <w:rPr>
                <w:rFonts w:ascii="Arial" w:cs="Arial" w:eastAsia="Arial" w:hAnsi="Arial"/>
                <w:sz w:val="14"/>
                <w:szCs w:val="14"/>
                <w:color w:val="auto"/>
                <w:w w:val="99"/>
              </w:rPr>
              <w:t>—</w:t>
            </w:r>
          </w:p>
        </w:tc>
        <w:tc>
          <w:tcPr>
            <w:tcW w:w="1500" w:type="dxa"/>
            <w:vAlign w:val="bottom"/>
            <w:shd w:val="clear" w:color="auto" w:fill="EBEBEB"/>
          </w:tcPr>
          <w:p>
            <w:pPr>
              <w:jc w:val="center"/>
              <w:ind w:left="167"/>
              <w:spacing w:after="0"/>
              <w:rPr>
                <w:sz w:val="20"/>
                <w:szCs w:val="20"/>
                <w:color w:val="auto"/>
              </w:rPr>
            </w:pPr>
            <w:r>
              <w:rPr>
                <w:rFonts w:ascii="Arial" w:cs="Arial" w:eastAsia="Arial" w:hAnsi="Arial"/>
                <w:sz w:val="14"/>
                <w:szCs w:val="14"/>
                <w:color w:val="auto"/>
                <w:w w:val="99"/>
              </w:rPr>
              <w:t>—</w:t>
            </w:r>
          </w:p>
        </w:tc>
        <w:tc>
          <w:tcPr>
            <w:tcW w:w="1600" w:type="dxa"/>
            <w:vAlign w:val="bottom"/>
            <w:shd w:val="clear" w:color="auto" w:fill="EBEBEB"/>
          </w:tcPr>
          <w:p>
            <w:pPr>
              <w:jc w:val="center"/>
              <w:ind w:left="187"/>
              <w:spacing w:after="0"/>
              <w:rPr>
                <w:sz w:val="20"/>
                <w:szCs w:val="20"/>
                <w:color w:val="auto"/>
              </w:rPr>
            </w:pPr>
            <w:r>
              <w:rPr>
                <w:rFonts w:ascii="Arial" w:cs="Arial" w:eastAsia="Arial" w:hAnsi="Arial"/>
                <w:sz w:val="14"/>
                <w:szCs w:val="14"/>
                <w:color w:val="auto"/>
                <w:w w:val="99"/>
              </w:rPr>
              <w:t>—</w:t>
            </w:r>
          </w:p>
        </w:tc>
        <w:tc>
          <w:tcPr>
            <w:tcW w:w="820" w:type="dxa"/>
            <w:vAlign w:val="bottom"/>
          </w:tcPr>
          <w:p>
            <w:pPr>
              <w:spacing w:after="0"/>
              <w:rPr>
                <w:sz w:val="24"/>
                <w:szCs w:val="24"/>
                <w:color w:val="auto"/>
              </w:rPr>
            </w:pPr>
          </w:p>
        </w:tc>
      </w:tr>
      <w:tr>
        <w:trPr>
          <w:trHeight w:val="218"/>
        </w:trPr>
        <w:tc>
          <w:tcPr>
            <w:tcW w:w="800" w:type="dxa"/>
            <w:vAlign w:val="bottom"/>
          </w:tcPr>
          <w:p>
            <w:pPr>
              <w:spacing w:after="0"/>
              <w:rPr>
                <w:sz w:val="18"/>
                <w:szCs w:val="18"/>
                <w:color w:val="auto"/>
              </w:rPr>
            </w:pPr>
          </w:p>
        </w:tc>
        <w:tc>
          <w:tcPr>
            <w:tcW w:w="3340" w:type="dxa"/>
            <w:vAlign w:val="bottom"/>
            <w:shd w:val="clear" w:color="auto" w:fill="EBEBEB"/>
          </w:tcPr>
          <w:p>
            <w:pPr>
              <w:spacing w:after="0"/>
              <w:rPr>
                <w:sz w:val="18"/>
                <w:szCs w:val="18"/>
                <w:color w:val="auto"/>
              </w:rPr>
            </w:pPr>
          </w:p>
        </w:tc>
        <w:tc>
          <w:tcPr>
            <w:tcW w:w="1220" w:type="dxa"/>
            <w:vAlign w:val="bottom"/>
            <w:shd w:val="clear" w:color="auto" w:fill="EBEBEB"/>
          </w:tcPr>
          <w:p>
            <w:pPr>
              <w:spacing w:after="0"/>
              <w:rPr>
                <w:sz w:val="18"/>
                <w:szCs w:val="18"/>
                <w:color w:val="auto"/>
              </w:rPr>
            </w:pPr>
          </w:p>
        </w:tc>
        <w:tc>
          <w:tcPr>
            <w:tcW w:w="1740" w:type="dxa"/>
            <w:vAlign w:val="bottom"/>
            <w:shd w:val="clear" w:color="auto" w:fill="EBEBEB"/>
          </w:tcPr>
          <w:p>
            <w:pPr>
              <w:spacing w:after="0"/>
              <w:rPr>
                <w:sz w:val="18"/>
                <w:szCs w:val="18"/>
                <w:color w:val="auto"/>
              </w:rPr>
            </w:pPr>
          </w:p>
        </w:tc>
        <w:tc>
          <w:tcPr>
            <w:tcW w:w="1500" w:type="dxa"/>
            <w:vAlign w:val="bottom"/>
            <w:shd w:val="clear" w:color="auto" w:fill="EBEBEB"/>
          </w:tcPr>
          <w:p>
            <w:pPr>
              <w:spacing w:after="0"/>
              <w:rPr>
                <w:sz w:val="18"/>
                <w:szCs w:val="18"/>
                <w:color w:val="auto"/>
              </w:rPr>
            </w:pPr>
          </w:p>
        </w:tc>
        <w:tc>
          <w:tcPr>
            <w:tcW w:w="1600" w:type="dxa"/>
            <w:vAlign w:val="bottom"/>
            <w:shd w:val="clear" w:color="auto" w:fill="EBEBEB"/>
          </w:tcPr>
          <w:p>
            <w:pPr>
              <w:spacing w:after="0"/>
              <w:rPr>
                <w:sz w:val="18"/>
                <w:szCs w:val="18"/>
                <w:color w:val="auto"/>
              </w:rPr>
            </w:pPr>
          </w:p>
        </w:tc>
        <w:tc>
          <w:tcPr>
            <w:tcW w:w="820" w:type="dxa"/>
            <w:vAlign w:val="bottom"/>
          </w:tcPr>
          <w:p>
            <w:pPr>
              <w:spacing w:after="0"/>
              <w:rPr>
                <w:sz w:val="18"/>
                <w:szCs w:val="18"/>
                <w:color w:val="auto"/>
              </w:rPr>
            </w:pPr>
          </w:p>
        </w:tc>
      </w:tr>
      <w:tr>
        <w:trPr>
          <w:trHeight w:val="430"/>
        </w:trPr>
        <w:tc>
          <w:tcPr>
            <w:tcW w:w="800" w:type="dxa"/>
            <w:vAlign w:val="bottom"/>
          </w:tcPr>
          <w:p>
            <w:pPr>
              <w:spacing w:after="0"/>
              <w:rPr>
                <w:sz w:val="24"/>
                <w:szCs w:val="24"/>
                <w:color w:val="auto"/>
              </w:rPr>
            </w:pPr>
          </w:p>
        </w:tc>
        <w:tc>
          <w:tcPr>
            <w:tcW w:w="3340" w:type="dxa"/>
            <w:vAlign w:val="bottom"/>
            <w:shd w:val="clear" w:color="auto" w:fill="FAFAFA"/>
          </w:tcPr>
          <w:p>
            <w:pPr>
              <w:ind w:left="80"/>
              <w:spacing w:after="0"/>
              <w:rPr>
                <w:sz w:val="20"/>
                <w:szCs w:val="20"/>
                <w:color w:val="auto"/>
              </w:rPr>
            </w:pPr>
            <w:r>
              <w:rPr>
                <w:rFonts w:ascii="Arial" w:cs="Arial" w:eastAsia="Arial" w:hAnsi="Arial"/>
                <w:sz w:val="14"/>
                <w:szCs w:val="14"/>
                <w:b w:val="1"/>
                <w:bCs w:val="1"/>
                <w:color w:val="auto"/>
              </w:rPr>
              <w:t>Alaskan Native or Native American</w:t>
            </w:r>
          </w:p>
        </w:tc>
        <w:tc>
          <w:tcPr>
            <w:tcW w:w="1220" w:type="dxa"/>
            <w:vAlign w:val="bottom"/>
            <w:shd w:val="clear" w:color="auto" w:fill="FAFAFA"/>
          </w:tcPr>
          <w:p>
            <w:pPr>
              <w:jc w:val="center"/>
              <w:ind w:left="487"/>
              <w:spacing w:after="0"/>
              <w:rPr>
                <w:sz w:val="20"/>
                <w:szCs w:val="20"/>
                <w:color w:val="auto"/>
              </w:rPr>
            </w:pPr>
            <w:r>
              <w:rPr>
                <w:rFonts w:ascii="Arial" w:cs="Arial" w:eastAsia="Arial" w:hAnsi="Arial"/>
                <w:sz w:val="14"/>
                <w:szCs w:val="14"/>
                <w:color w:val="auto"/>
                <w:w w:val="99"/>
              </w:rPr>
              <w:t>—</w:t>
            </w:r>
          </w:p>
        </w:tc>
        <w:tc>
          <w:tcPr>
            <w:tcW w:w="1740" w:type="dxa"/>
            <w:vAlign w:val="bottom"/>
            <w:shd w:val="clear" w:color="auto" w:fill="FAFAFA"/>
          </w:tcPr>
          <w:p>
            <w:pPr>
              <w:jc w:val="center"/>
              <w:ind w:left="447"/>
              <w:spacing w:after="0"/>
              <w:rPr>
                <w:sz w:val="20"/>
                <w:szCs w:val="20"/>
                <w:color w:val="auto"/>
              </w:rPr>
            </w:pPr>
            <w:r>
              <w:rPr>
                <w:rFonts w:ascii="Arial" w:cs="Arial" w:eastAsia="Arial" w:hAnsi="Arial"/>
                <w:sz w:val="14"/>
                <w:szCs w:val="14"/>
                <w:color w:val="auto"/>
                <w:w w:val="99"/>
              </w:rPr>
              <w:t>—</w:t>
            </w:r>
          </w:p>
        </w:tc>
        <w:tc>
          <w:tcPr>
            <w:tcW w:w="1500" w:type="dxa"/>
            <w:vAlign w:val="bottom"/>
            <w:shd w:val="clear" w:color="auto" w:fill="FAFAFA"/>
          </w:tcPr>
          <w:p>
            <w:pPr>
              <w:jc w:val="center"/>
              <w:ind w:left="167"/>
              <w:spacing w:after="0"/>
              <w:rPr>
                <w:sz w:val="20"/>
                <w:szCs w:val="20"/>
                <w:color w:val="auto"/>
              </w:rPr>
            </w:pPr>
            <w:r>
              <w:rPr>
                <w:rFonts w:ascii="Arial" w:cs="Arial" w:eastAsia="Arial" w:hAnsi="Arial"/>
                <w:sz w:val="14"/>
                <w:szCs w:val="14"/>
                <w:color w:val="auto"/>
                <w:w w:val="99"/>
              </w:rPr>
              <w:t>—</w:t>
            </w:r>
          </w:p>
        </w:tc>
        <w:tc>
          <w:tcPr>
            <w:tcW w:w="1600" w:type="dxa"/>
            <w:vAlign w:val="bottom"/>
            <w:shd w:val="clear" w:color="auto" w:fill="FAFAFA"/>
          </w:tcPr>
          <w:p>
            <w:pPr>
              <w:jc w:val="center"/>
              <w:ind w:left="187"/>
              <w:spacing w:after="0"/>
              <w:rPr>
                <w:sz w:val="20"/>
                <w:szCs w:val="20"/>
                <w:color w:val="auto"/>
              </w:rPr>
            </w:pPr>
            <w:r>
              <w:rPr>
                <w:rFonts w:ascii="Arial" w:cs="Arial" w:eastAsia="Arial" w:hAnsi="Arial"/>
                <w:sz w:val="14"/>
                <w:szCs w:val="14"/>
                <w:color w:val="auto"/>
                <w:w w:val="99"/>
              </w:rPr>
              <w:t>—</w:t>
            </w:r>
          </w:p>
        </w:tc>
        <w:tc>
          <w:tcPr>
            <w:tcW w:w="820" w:type="dxa"/>
            <w:vAlign w:val="bottom"/>
          </w:tcPr>
          <w:p>
            <w:pPr>
              <w:spacing w:after="0"/>
              <w:rPr>
                <w:sz w:val="24"/>
                <w:szCs w:val="24"/>
                <w:color w:val="auto"/>
              </w:rPr>
            </w:pPr>
          </w:p>
        </w:tc>
      </w:tr>
      <w:tr>
        <w:trPr>
          <w:trHeight w:val="218"/>
        </w:trPr>
        <w:tc>
          <w:tcPr>
            <w:tcW w:w="800" w:type="dxa"/>
            <w:vAlign w:val="bottom"/>
          </w:tcPr>
          <w:p>
            <w:pPr>
              <w:spacing w:after="0"/>
              <w:rPr>
                <w:sz w:val="18"/>
                <w:szCs w:val="18"/>
                <w:color w:val="auto"/>
              </w:rPr>
            </w:pPr>
          </w:p>
        </w:tc>
        <w:tc>
          <w:tcPr>
            <w:tcW w:w="3340" w:type="dxa"/>
            <w:vAlign w:val="bottom"/>
            <w:shd w:val="clear" w:color="auto" w:fill="FAFAFA"/>
          </w:tcPr>
          <w:p>
            <w:pPr>
              <w:spacing w:after="0"/>
              <w:rPr>
                <w:sz w:val="18"/>
                <w:szCs w:val="18"/>
                <w:color w:val="auto"/>
              </w:rPr>
            </w:pPr>
          </w:p>
        </w:tc>
        <w:tc>
          <w:tcPr>
            <w:tcW w:w="1220" w:type="dxa"/>
            <w:vAlign w:val="bottom"/>
            <w:shd w:val="clear" w:color="auto" w:fill="FAFAFA"/>
          </w:tcPr>
          <w:p>
            <w:pPr>
              <w:spacing w:after="0"/>
              <w:rPr>
                <w:sz w:val="18"/>
                <w:szCs w:val="18"/>
                <w:color w:val="auto"/>
              </w:rPr>
            </w:pPr>
          </w:p>
        </w:tc>
        <w:tc>
          <w:tcPr>
            <w:tcW w:w="1740" w:type="dxa"/>
            <w:vAlign w:val="bottom"/>
            <w:shd w:val="clear" w:color="auto" w:fill="FAFAFA"/>
          </w:tcPr>
          <w:p>
            <w:pPr>
              <w:spacing w:after="0"/>
              <w:rPr>
                <w:sz w:val="18"/>
                <w:szCs w:val="18"/>
                <w:color w:val="auto"/>
              </w:rPr>
            </w:pPr>
          </w:p>
        </w:tc>
        <w:tc>
          <w:tcPr>
            <w:tcW w:w="1500" w:type="dxa"/>
            <w:vAlign w:val="bottom"/>
            <w:shd w:val="clear" w:color="auto" w:fill="FAFAFA"/>
          </w:tcPr>
          <w:p>
            <w:pPr>
              <w:spacing w:after="0"/>
              <w:rPr>
                <w:sz w:val="18"/>
                <w:szCs w:val="18"/>
                <w:color w:val="auto"/>
              </w:rPr>
            </w:pPr>
          </w:p>
        </w:tc>
        <w:tc>
          <w:tcPr>
            <w:tcW w:w="1600" w:type="dxa"/>
            <w:vAlign w:val="bottom"/>
            <w:shd w:val="clear" w:color="auto" w:fill="FAFAFA"/>
          </w:tcPr>
          <w:p>
            <w:pPr>
              <w:spacing w:after="0"/>
              <w:rPr>
                <w:sz w:val="18"/>
                <w:szCs w:val="18"/>
                <w:color w:val="auto"/>
              </w:rPr>
            </w:pPr>
          </w:p>
        </w:tc>
        <w:tc>
          <w:tcPr>
            <w:tcW w:w="820" w:type="dxa"/>
            <w:vAlign w:val="bottom"/>
          </w:tcPr>
          <w:p>
            <w:pPr>
              <w:spacing w:after="0"/>
              <w:rPr>
                <w:sz w:val="18"/>
                <w:szCs w:val="18"/>
                <w:color w:val="auto"/>
              </w:rPr>
            </w:pPr>
          </w:p>
        </w:tc>
      </w:tr>
      <w:tr>
        <w:trPr>
          <w:trHeight w:val="430"/>
        </w:trPr>
        <w:tc>
          <w:tcPr>
            <w:tcW w:w="800" w:type="dxa"/>
            <w:vAlign w:val="bottom"/>
          </w:tcPr>
          <w:p>
            <w:pPr>
              <w:spacing w:after="0"/>
              <w:rPr>
                <w:sz w:val="24"/>
                <w:szCs w:val="24"/>
                <w:color w:val="auto"/>
              </w:rPr>
            </w:pPr>
          </w:p>
        </w:tc>
        <w:tc>
          <w:tcPr>
            <w:tcW w:w="3340" w:type="dxa"/>
            <w:vAlign w:val="bottom"/>
            <w:shd w:val="clear" w:color="auto" w:fill="EBEBEB"/>
          </w:tcPr>
          <w:p>
            <w:pPr>
              <w:ind w:left="80"/>
              <w:spacing w:after="0"/>
              <w:rPr>
                <w:sz w:val="20"/>
                <w:szCs w:val="20"/>
                <w:color w:val="auto"/>
              </w:rPr>
            </w:pPr>
            <w:r>
              <w:rPr>
                <w:rFonts w:ascii="Arial" w:cs="Arial" w:eastAsia="Arial" w:hAnsi="Arial"/>
                <w:sz w:val="14"/>
                <w:szCs w:val="14"/>
                <w:b w:val="1"/>
                <w:bCs w:val="1"/>
                <w:color w:val="auto"/>
              </w:rPr>
              <w:t>Asian</w:t>
            </w:r>
          </w:p>
        </w:tc>
        <w:tc>
          <w:tcPr>
            <w:tcW w:w="1220" w:type="dxa"/>
            <w:vAlign w:val="bottom"/>
            <w:shd w:val="clear" w:color="auto" w:fill="EBEBEB"/>
          </w:tcPr>
          <w:p>
            <w:pPr>
              <w:jc w:val="center"/>
              <w:ind w:left="487"/>
              <w:spacing w:after="0"/>
              <w:rPr>
                <w:sz w:val="20"/>
                <w:szCs w:val="20"/>
                <w:color w:val="auto"/>
              </w:rPr>
            </w:pPr>
            <w:r>
              <w:rPr>
                <w:rFonts w:ascii="Arial" w:cs="Arial" w:eastAsia="Arial" w:hAnsi="Arial"/>
                <w:sz w:val="14"/>
                <w:szCs w:val="14"/>
                <w:color w:val="auto"/>
                <w:w w:val="99"/>
              </w:rPr>
              <w:t>—</w:t>
            </w:r>
          </w:p>
        </w:tc>
        <w:tc>
          <w:tcPr>
            <w:tcW w:w="1740" w:type="dxa"/>
            <w:vAlign w:val="bottom"/>
            <w:shd w:val="clear" w:color="auto" w:fill="EBEBEB"/>
          </w:tcPr>
          <w:p>
            <w:pPr>
              <w:jc w:val="center"/>
              <w:ind w:left="447"/>
              <w:spacing w:after="0"/>
              <w:rPr>
                <w:sz w:val="20"/>
                <w:szCs w:val="20"/>
                <w:color w:val="auto"/>
              </w:rPr>
            </w:pPr>
            <w:r>
              <w:rPr>
                <w:rFonts w:ascii="Arial" w:cs="Arial" w:eastAsia="Arial" w:hAnsi="Arial"/>
                <w:sz w:val="14"/>
                <w:szCs w:val="14"/>
                <w:color w:val="auto"/>
                <w:w w:val="99"/>
              </w:rPr>
              <w:t>—</w:t>
            </w:r>
          </w:p>
        </w:tc>
        <w:tc>
          <w:tcPr>
            <w:tcW w:w="1500" w:type="dxa"/>
            <w:vAlign w:val="bottom"/>
            <w:shd w:val="clear" w:color="auto" w:fill="EBEBEB"/>
          </w:tcPr>
          <w:p>
            <w:pPr>
              <w:jc w:val="center"/>
              <w:ind w:left="167"/>
              <w:spacing w:after="0"/>
              <w:rPr>
                <w:sz w:val="20"/>
                <w:szCs w:val="20"/>
                <w:color w:val="auto"/>
              </w:rPr>
            </w:pPr>
            <w:r>
              <w:rPr>
                <w:rFonts w:ascii="Arial" w:cs="Arial" w:eastAsia="Arial" w:hAnsi="Arial"/>
                <w:sz w:val="14"/>
                <w:szCs w:val="14"/>
                <w:color w:val="auto"/>
                <w:w w:val="99"/>
              </w:rPr>
              <w:t>—</w:t>
            </w:r>
          </w:p>
        </w:tc>
        <w:tc>
          <w:tcPr>
            <w:tcW w:w="1600" w:type="dxa"/>
            <w:vAlign w:val="bottom"/>
            <w:shd w:val="clear" w:color="auto" w:fill="EBEBEB"/>
          </w:tcPr>
          <w:p>
            <w:pPr>
              <w:jc w:val="center"/>
              <w:ind w:left="187"/>
              <w:spacing w:after="0"/>
              <w:rPr>
                <w:sz w:val="20"/>
                <w:szCs w:val="20"/>
                <w:color w:val="auto"/>
              </w:rPr>
            </w:pPr>
            <w:r>
              <w:rPr>
                <w:rFonts w:ascii="Arial" w:cs="Arial" w:eastAsia="Arial" w:hAnsi="Arial"/>
                <w:sz w:val="14"/>
                <w:szCs w:val="14"/>
                <w:color w:val="auto"/>
                <w:w w:val="99"/>
              </w:rPr>
              <w:t>—</w:t>
            </w:r>
          </w:p>
        </w:tc>
        <w:tc>
          <w:tcPr>
            <w:tcW w:w="820" w:type="dxa"/>
            <w:vAlign w:val="bottom"/>
          </w:tcPr>
          <w:p>
            <w:pPr>
              <w:spacing w:after="0"/>
              <w:rPr>
                <w:sz w:val="24"/>
                <w:szCs w:val="24"/>
                <w:color w:val="auto"/>
              </w:rPr>
            </w:pPr>
          </w:p>
        </w:tc>
      </w:tr>
      <w:tr>
        <w:trPr>
          <w:trHeight w:val="218"/>
        </w:trPr>
        <w:tc>
          <w:tcPr>
            <w:tcW w:w="800" w:type="dxa"/>
            <w:vAlign w:val="bottom"/>
          </w:tcPr>
          <w:p>
            <w:pPr>
              <w:spacing w:after="0"/>
              <w:rPr>
                <w:sz w:val="18"/>
                <w:szCs w:val="18"/>
                <w:color w:val="auto"/>
              </w:rPr>
            </w:pPr>
          </w:p>
        </w:tc>
        <w:tc>
          <w:tcPr>
            <w:tcW w:w="3340" w:type="dxa"/>
            <w:vAlign w:val="bottom"/>
            <w:shd w:val="clear" w:color="auto" w:fill="EBEBEB"/>
          </w:tcPr>
          <w:p>
            <w:pPr>
              <w:spacing w:after="0"/>
              <w:rPr>
                <w:sz w:val="18"/>
                <w:szCs w:val="18"/>
                <w:color w:val="auto"/>
              </w:rPr>
            </w:pPr>
          </w:p>
        </w:tc>
        <w:tc>
          <w:tcPr>
            <w:tcW w:w="1220" w:type="dxa"/>
            <w:vAlign w:val="bottom"/>
            <w:shd w:val="clear" w:color="auto" w:fill="EBEBEB"/>
          </w:tcPr>
          <w:p>
            <w:pPr>
              <w:spacing w:after="0"/>
              <w:rPr>
                <w:sz w:val="18"/>
                <w:szCs w:val="18"/>
                <w:color w:val="auto"/>
              </w:rPr>
            </w:pPr>
          </w:p>
        </w:tc>
        <w:tc>
          <w:tcPr>
            <w:tcW w:w="1740" w:type="dxa"/>
            <w:vAlign w:val="bottom"/>
            <w:shd w:val="clear" w:color="auto" w:fill="EBEBEB"/>
          </w:tcPr>
          <w:p>
            <w:pPr>
              <w:spacing w:after="0"/>
              <w:rPr>
                <w:sz w:val="18"/>
                <w:szCs w:val="18"/>
                <w:color w:val="auto"/>
              </w:rPr>
            </w:pPr>
          </w:p>
        </w:tc>
        <w:tc>
          <w:tcPr>
            <w:tcW w:w="1500" w:type="dxa"/>
            <w:vAlign w:val="bottom"/>
            <w:shd w:val="clear" w:color="auto" w:fill="EBEBEB"/>
          </w:tcPr>
          <w:p>
            <w:pPr>
              <w:spacing w:after="0"/>
              <w:rPr>
                <w:sz w:val="18"/>
                <w:szCs w:val="18"/>
                <w:color w:val="auto"/>
              </w:rPr>
            </w:pPr>
          </w:p>
        </w:tc>
        <w:tc>
          <w:tcPr>
            <w:tcW w:w="1600" w:type="dxa"/>
            <w:vAlign w:val="bottom"/>
            <w:shd w:val="clear" w:color="auto" w:fill="EBEBEB"/>
          </w:tcPr>
          <w:p>
            <w:pPr>
              <w:spacing w:after="0"/>
              <w:rPr>
                <w:sz w:val="18"/>
                <w:szCs w:val="18"/>
                <w:color w:val="auto"/>
              </w:rPr>
            </w:pPr>
          </w:p>
        </w:tc>
        <w:tc>
          <w:tcPr>
            <w:tcW w:w="820" w:type="dxa"/>
            <w:vAlign w:val="bottom"/>
          </w:tcPr>
          <w:p>
            <w:pPr>
              <w:spacing w:after="0"/>
              <w:rPr>
                <w:sz w:val="18"/>
                <w:szCs w:val="18"/>
                <w:color w:val="auto"/>
              </w:rPr>
            </w:pPr>
          </w:p>
        </w:tc>
      </w:tr>
      <w:tr>
        <w:trPr>
          <w:trHeight w:val="430"/>
        </w:trPr>
        <w:tc>
          <w:tcPr>
            <w:tcW w:w="800" w:type="dxa"/>
            <w:vAlign w:val="bottom"/>
          </w:tcPr>
          <w:p>
            <w:pPr>
              <w:spacing w:after="0"/>
              <w:rPr>
                <w:sz w:val="24"/>
                <w:szCs w:val="24"/>
                <w:color w:val="auto"/>
              </w:rPr>
            </w:pPr>
          </w:p>
        </w:tc>
        <w:tc>
          <w:tcPr>
            <w:tcW w:w="3340" w:type="dxa"/>
            <w:vAlign w:val="bottom"/>
            <w:shd w:val="clear" w:color="auto" w:fill="FAFAFA"/>
          </w:tcPr>
          <w:p>
            <w:pPr>
              <w:ind w:left="80"/>
              <w:spacing w:after="0"/>
              <w:rPr>
                <w:sz w:val="20"/>
                <w:szCs w:val="20"/>
                <w:color w:val="auto"/>
              </w:rPr>
            </w:pPr>
            <w:r>
              <w:rPr>
                <w:rFonts w:ascii="Arial" w:cs="Arial" w:eastAsia="Arial" w:hAnsi="Arial"/>
                <w:sz w:val="14"/>
                <w:szCs w:val="14"/>
                <w:b w:val="1"/>
                <w:bCs w:val="1"/>
                <w:color w:val="auto"/>
              </w:rPr>
              <w:t>Hispanic or Latinx</w:t>
            </w:r>
          </w:p>
        </w:tc>
        <w:tc>
          <w:tcPr>
            <w:tcW w:w="1220" w:type="dxa"/>
            <w:vAlign w:val="bottom"/>
            <w:shd w:val="clear" w:color="auto" w:fill="FAFAFA"/>
          </w:tcPr>
          <w:p>
            <w:pPr>
              <w:jc w:val="center"/>
              <w:ind w:left="487"/>
              <w:spacing w:after="0"/>
              <w:rPr>
                <w:sz w:val="20"/>
                <w:szCs w:val="20"/>
                <w:color w:val="auto"/>
              </w:rPr>
            </w:pPr>
            <w:r>
              <w:rPr>
                <w:rFonts w:ascii="Arial" w:cs="Arial" w:eastAsia="Arial" w:hAnsi="Arial"/>
                <w:sz w:val="14"/>
                <w:szCs w:val="14"/>
                <w:color w:val="auto"/>
                <w:w w:val="99"/>
              </w:rPr>
              <w:t>—</w:t>
            </w:r>
          </w:p>
        </w:tc>
        <w:tc>
          <w:tcPr>
            <w:tcW w:w="1740" w:type="dxa"/>
            <w:vAlign w:val="bottom"/>
            <w:shd w:val="clear" w:color="auto" w:fill="FAFAFA"/>
          </w:tcPr>
          <w:p>
            <w:pPr>
              <w:jc w:val="center"/>
              <w:ind w:left="447"/>
              <w:spacing w:after="0"/>
              <w:rPr>
                <w:sz w:val="20"/>
                <w:szCs w:val="20"/>
                <w:color w:val="auto"/>
              </w:rPr>
            </w:pPr>
            <w:r>
              <w:rPr>
                <w:rFonts w:ascii="Arial" w:cs="Arial" w:eastAsia="Arial" w:hAnsi="Arial"/>
                <w:sz w:val="14"/>
                <w:szCs w:val="14"/>
                <w:color w:val="auto"/>
                <w:w w:val="99"/>
              </w:rPr>
              <w:t>—</w:t>
            </w:r>
          </w:p>
        </w:tc>
        <w:tc>
          <w:tcPr>
            <w:tcW w:w="1500" w:type="dxa"/>
            <w:vAlign w:val="bottom"/>
            <w:shd w:val="clear" w:color="auto" w:fill="FAFAFA"/>
          </w:tcPr>
          <w:p>
            <w:pPr>
              <w:jc w:val="center"/>
              <w:ind w:left="167"/>
              <w:spacing w:after="0"/>
              <w:rPr>
                <w:sz w:val="20"/>
                <w:szCs w:val="20"/>
                <w:color w:val="auto"/>
              </w:rPr>
            </w:pPr>
            <w:r>
              <w:rPr>
                <w:rFonts w:ascii="Arial" w:cs="Arial" w:eastAsia="Arial" w:hAnsi="Arial"/>
                <w:sz w:val="14"/>
                <w:szCs w:val="14"/>
                <w:color w:val="auto"/>
                <w:w w:val="99"/>
              </w:rPr>
              <w:t>—</w:t>
            </w:r>
          </w:p>
        </w:tc>
        <w:tc>
          <w:tcPr>
            <w:tcW w:w="1600" w:type="dxa"/>
            <w:vAlign w:val="bottom"/>
            <w:shd w:val="clear" w:color="auto" w:fill="FAFAFA"/>
          </w:tcPr>
          <w:p>
            <w:pPr>
              <w:jc w:val="center"/>
              <w:ind w:left="187"/>
              <w:spacing w:after="0"/>
              <w:rPr>
                <w:sz w:val="20"/>
                <w:szCs w:val="20"/>
                <w:color w:val="auto"/>
              </w:rPr>
            </w:pPr>
            <w:r>
              <w:rPr>
                <w:rFonts w:ascii="Arial" w:cs="Arial" w:eastAsia="Arial" w:hAnsi="Arial"/>
                <w:sz w:val="14"/>
                <w:szCs w:val="14"/>
                <w:color w:val="auto"/>
                <w:w w:val="99"/>
              </w:rPr>
              <w:t>—</w:t>
            </w:r>
          </w:p>
        </w:tc>
        <w:tc>
          <w:tcPr>
            <w:tcW w:w="820" w:type="dxa"/>
            <w:vAlign w:val="bottom"/>
          </w:tcPr>
          <w:p>
            <w:pPr>
              <w:spacing w:after="0"/>
              <w:rPr>
                <w:sz w:val="24"/>
                <w:szCs w:val="24"/>
                <w:color w:val="auto"/>
              </w:rPr>
            </w:pPr>
          </w:p>
        </w:tc>
      </w:tr>
      <w:tr>
        <w:trPr>
          <w:trHeight w:val="218"/>
        </w:trPr>
        <w:tc>
          <w:tcPr>
            <w:tcW w:w="800" w:type="dxa"/>
            <w:vAlign w:val="bottom"/>
          </w:tcPr>
          <w:p>
            <w:pPr>
              <w:spacing w:after="0"/>
              <w:rPr>
                <w:sz w:val="18"/>
                <w:szCs w:val="18"/>
                <w:color w:val="auto"/>
              </w:rPr>
            </w:pPr>
          </w:p>
        </w:tc>
        <w:tc>
          <w:tcPr>
            <w:tcW w:w="3340" w:type="dxa"/>
            <w:vAlign w:val="bottom"/>
            <w:shd w:val="clear" w:color="auto" w:fill="FAFAFA"/>
          </w:tcPr>
          <w:p>
            <w:pPr>
              <w:spacing w:after="0"/>
              <w:rPr>
                <w:sz w:val="18"/>
                <w:szCs w:val="18"/>
                <w:color w:val="auto"/>
              </w:rPr>
            </w:pPr>
          </w:p>
        </w:tc>
        <w:tc>
          <w:tcPr>
            <w:tcW w:w="1220" w:type="dxa"/>
            <w:vAlign w:val="bottom"/>
            <w:shd w:val="clear" w:color="auto" w:fill="FAFAFA"/>
          </w:tcPr>
          <w:p>
            <w:pPr>
              <w:spacing w:after="0"/>
              <w:rPr>
                <w:sz w:val="18"/>
                <w:szCs w:val="18"/>
                <w:color w:val="auto"/>
              </w:rPr>
            </w:pPr>
          </w:p>
        </w:tc>
        <w:tc>
          <w:tcPr>
            <w:tcW w:w="1740" w:type="dxa"/>
            <w:vAlign w:val="bottom"/>
            <w:shd w:val="clear" w:color="auto" w:fill="FAFAFA"/>
          </w:tcPr>
          <w:p>
            <w:pPr>
              <w:spacing w:after="0"/>
              <w:rPr>
                <w:sz w:val="18"/>
                <w:szCs w:val="18"/>
                <w:color w:val="auto"/>
              </w:rPr>
            </w:pPr>
          </w:p>
        </w:tc>
        <w:tc>
          <w:tcPr>
            <w:tcW w:w="1500" w:type="dxa"/>
            <w:vAlign w:val="bottom"/>
            <w:shd w:val="clear" w:color="auto" w:fill="FAFAFA"/>
          </w:tcPr>
          <w:p>
            <w:pPr>
              <w:spacing w:after="0"/>
              <w:rPr>
                <w:sz w:val="18"/>
                <w:szCs w:val="18"/>
                <w:color w:val="auto"/>
              </w:rPr>
            </w:pPr>
          </w:p>
        </w:tc>
        <w:tc>
          <w:tcPr>
            <w:tcW w:w="1600" w:type="dxa"/>
            <w:vAlign w:val="bottom"/>
            <w:shd w:val="clear" w:color="auto" w:fill="FAFAFA"/>
          </w:tcPr>
          <w:p>
            <w:pPr>
              <w:spacing w:after="0"/>
              <w:rPr>
                <w:sz w:val="18"/>
                <w:szCs w:val="18"/>
                <w:color w:val="auto"/>
              </w:rPr>
            </w:pPr>
          </w:p>
        </w:tc>
        <w:tc>
          <w:tcPr>
            <w:tcW w:w="820" w:type="dxa"/>
            <w:vAlign w:val="bottom"/>
          </w:tcPr>
          <w:p>
            <w:pPr>
              <w:spacing w:after="0"/>
              <w:rPr>
                <w:sz w:val="18"/>
                <w:szCs w:val="18"/>
                <w:color w:val="auto"/>
              </w:rPr>
            </w:pPr>
          </w:p>
        </w:tc>
      </w:tr>
      <w:tr>
        <w:trPr>
          <w:trHeight w:val="430"/>
        </w:trPr>
        <w:tc>
          <w:tcPr>
            <w:tcW w:w="800" w:type="dxa"/>
            <w:vAlign w:val="bottom"/>
          </w:tcPr>
          <w:p>
            <w:pPr>
              <w:spacing w:after="0"/>
              <w:rPr>
                <w:sz w:val="24"/>
                <w:szCs w:val="24"/>
                <w:color w:val="auto"/>
              </w:rPr>
            </w:pPr>
          </w:p>
        </w:tc>
        <w:tc>
          <w:tcPr>
            <w:tcW w:w="3340" w:type="dxa"/>
            <w:vAlign w:val="bottom"/>
            <w:shd w:val="clear" w:color="auto" w:fill="EBEBEB"/>
          </w:tcPr>
          <w:p>
            <w:pPr>
              <w:ind w:left="80"/>
              <w:spacing w:after="0"/>
              <w:rPr>
                <w:sz w:val="20"/>
                <w:szCs w:val="20"/>
                <w:color w:val="auto"/>
              </w:rPr>
            </w:pPr>
            <w:r>
              <w:rPr>
                <w:rFonts w:ascii="Arial" w:cs="Arial" w:eastAsia="Arial" w:hAnsi="Arial"/>
                <w:sz w:val="14"/>
                <w:szCs w:val="14"/>
                <w:b w:val="1"/>
                <w:bCs w:val="1"/>
                <w:color w:val="auto"/>
              </w:rPr>
              <w:t>Native Hawaiian or Pacific Islander</w:t>
            </w:r>
          </w:p>
        </w:tc>
        <w:tc>
          <w:tcPr>
            <w:tcW w:w="1220" w:type="dxa"/>
            <w:vAlign w:val="bottom"/>
            <w:shd w:val="clear" w:color="auto" w:fill="EBEBEB"/>
          </w:tcPr>
          <w:p>
            <w:pPr>
              <w:jc w:val="center"/>
              <w:ind w:left="487"/>
              <w:spacing w:after="0"/>
              <w:rPr>
                <w:sz w:val="20"/>
                <w:szCs w:val="20"/>
                <w:color w:val="auto"/>
              </w:rPr>
            </w:pPr>
            <w:r>
              <w:rPr>
                <w:rFonts w:ascii="Arial" w:cs="Arial" w:eastAsia="Arial" w:hAnsi="Arial"/>
                <w:sz w:val="14"/>
                <w:szCs w:val="14"/>
                <w:color w:val="auto"/>
                <w:w w:val="99"/>
              </w:rPr>
              <w:t>—</w:t>
            </w:r>
          </w:p>
        </w:tc>
        <w:tc>
          <w:tcPr>
            <w:tcW w:w="1740" w:type="dxa"/>
            <w:vAlign w:val="bottom"/>
            <w:shd w:val="clear" w:color="auto" w:fill="EBEBEB"/>
          </w:tcPr>
          <w:p>
            <w:pPr>
              <w:jc w:val="center"/>
              <w:ind w:left="447"/>
              <w:spacing w:after="0"/>
              <w:rPr>
                <w:sz w:val="20"/>
                <w:szCs w:val="20"/>
                <w:color w:val="auto"/>
              </w:rPr>
            </w:pPr>
            <w:r>
              <w:rPr>
                <w:rFonts w:ascii="Arial" w:cs="Arial" w:eastAsia="Arial" w:hAnsi="Arial"/>
                <w:sz w:val="14"/>
                <w:szCs w:val="14"/>
                <w:color w:val="auto"/>
                <w:w w:val="99"/>
              </w:rPr>
              <w:t>—</w:t>
            </w:r>
          </w:p>
        </w:tc>
        <w:tc>
          <w:tcPr>
            <w:tcW w:w="1500" w:type="dxa"/>
            <w:vAlign w:val="bottom"/>
            <w:shd w:val="clear" w:color="auto" w:fill="EBEBEB"/>
          </w:tcPr>
          <w:p>
            <w:pPr>
              <w:jc w:val="center"/>
              <w:ind w:left="167"/>
              <w:spacing w:after="0"/>
              <w:rPr>
                <w:sz w:val="20"/>
                <w:szCs w:val="20"/>
                <w:color w:val="auto"/>
              </w:rPr>
            </w:pPr>
            <w:r>
              <w:rPr>
                <w:rFonts w:ascii="Arial" w:cs="Arial" w:eastAsia="Arial" w:hAnsi="Arial"/>
                <w:sz w:val="14"/>
                <w:szCs w:val="14"/>
                <w:color w:val="auto"/>
                <w:w w:val="99"/>
              </w:rPr>
              <w:t>—</w:t>
            </w:r>
          </w:p>
        </w:tc>
        <w:tc>
          <w:tcPr>
            <w:tcW w:w="1600" w:type="dxa"/>
            <w:vAlign w:val="bottom"/>
            <w:shd w:val="clear" w:color="auto" w:fill="EBEBEB"/>
          </w:tcPr>
          <w:p>
            <w:pPr>
              <w:jc w:val="center"/>
              <w:ind w:left="187"/>
              <w:spacing w:after="0"/>
              <w:rPr>
                <w:sz w:val="20"/>
                <w:szCs w:val="20"/>
                <w:color w:val="auto"/>
              </w:rPr>
            </w:pPr>
            <w:r>
              <w:rPr>
                <w:rFonts w:ascii="Arial" w:cs="Arial" w:eastAsia="Arial" w:hAnsi="Arial"/>
                <w:sz w:val="14"/>
                <w:szCs w:val="14"/>
                <w:color w:val="auto"/>
                <w:w w:val="99"/>
              </w:rPr>
              <w:t>—</w:t>
            </w:r>
          </w:p>
        </w:tc>
        <w:tc>
          <w:tcPr>
            <w:tcW w:w="820" w:type="dxa"/>
            <w:vAlign w:val="bottom"/>
          </w:tcPr>
          <w:p>
            <w:pPr>
              <w:spacing w:after="0"/>
              <w:rPr>
                <w:sz w:val="24"/>
                <w:szCs w:val="24"/>
                <w:color w:val="auto"/>
              </w:rPr>
            </w:pPr>
          </w:p>
        </w:tc>
      </w:tr>
      <w:tr>
        <w:trPr>
          <w:trHeight w:val="218"/>
        </w:trPr>
        <w:tc>
          <w:tcPr>
            <w:tcW w:w="800" w:type="dxa"/>
            <w:vAlign w:val="bottom"/>
          </w:tcPr>
          <w:p>
            <w:pPr>
              <w:spacing w:after="0"/>
              <w:rPr>
                <w:sz w:val="18"/>
                <w:szCs w:val="18"/>
                <w:color w:val="auto"/>
              </w:rPr>
            </w:pPr>
          </w:p>
        </w:tc>
        <w:tc>
          <w:tcPr>
            <w:tcW w:w="3340" w:type="dxa"/>
            <w:vAlign w:val="bottom"/>
            <w:shd w:val="clear" w:color="auto" w:fill="EBEBEB"/>
          </w:tcPr>
          <w:p>
            <w:pPr>
              <w:spacing w:after="0"/>
              <w:rPr>
                <w:sz w:val="18"/>
                <w:szCs w:val="18"/>
                <w:color w:val="auto"/>
              </w:rPr>
            </w:pPr>
          </w:p>
        </w:tc>
        <w:tc>
          <w:tcPr>
            <w:tcW w:w="1220" w:type="dxa"/>
            <w:vAlign w:val="bottom"/>
            <w:shd w:val="clear" w:color="auto" w:fill="EBEBEB"/>
          </w:tcPr>
          <w:p>
            <w:pPr>
              <w:spacing w:after="0"/>
              <w:rPr>
                <w:sz w:val="18"/>
                <w:szCs w:val="18"/>
                <w:color w:val="auto"/>
              </w:rPr>
            </w:pPr>
          </w:p>
        </w:tc>
        <w:tc>
          <w:tcPr>
            <w:tcW w:w="1740" w:type="dxa"/>
            <w:vAlign w:val="bottom"/>
            <w:shd w:val="clear" w:color="auto" w:fill="EBEBEB"/>
          </w:tcPr>
          <w:p>
            <w:pPr>
              <w:spacing w:after="0"/>
              <w:rPr>
                <w:sz w:val="18"/>
                <w:szCs w:val="18"/>
                <w:color w:val="auto"/>
              </w:rPr>
            </w:pPr>
          </w:p>
        </w:tc>
        <w:tc>
          <w:tcPr>
            <w:tcW w:w="1500" w:type="dxa"/>
            <w:vAlign w:val="bottom"/>
            <w:shd w:val="clear" w:color="auto" w:fill="EBEBEB"/>
          </w:tcPr>
          <w:p>
            <w:pPr>
              <w:spacing w:after="0"/>
              <w:rPr>
                <w:sz w:val="18"/>
                <w:szCs w:val="18"/>
                <w:color w:val="auto"/>
              </w:rPr>
            </w:pPr>
          </w:p>
        </w:tc>
        <w:tc>
          <w:tcPr>
            <w:tcW w:w="1600" w:type="dxa"/>
            <w:vAlign w:val="bottom"/>
            <w:shd w:val="clear" w:color="auto" w:fill="EBEBEB"/>
          </w:tcPr>
          <w:p>
            <w:pPr>
              <w:spacing w:after="0"/>
              <w:rPr>
                <w:sz w:val="18"/>
                <w:szCs w:val="18"/>
                <w:color w:val="auto"/>
              </w:rPr>
            </w:pPr>
          </w:p>
        </w:tc>
        <w:tc>
          <w:tcPr>
            <w:tcW w:w="820" w:type="dxa"/>
            <w:vAlign w:val="bottom"/>
          </w:tcPr>
          <w:p>
            <w:pPr>
              <w:spacing w:after="0"/>
              <w:rPr>
                <w:sz w:val="18"/>
                <w:szCs w:val="18"/>
                <w:color w:val="auto"/>
              </w:rPr>
            </w:pPr>
          </w:p>
        </w:tc>
      </w:tr>
      <w:tr>
        <w:trPr>
          <w:trHeight w:val="430"/>
        </w:trPr>
        <w:tc>
          <w:tcPr>
            <w:tcW w:w="800" w:type="dxa"/>
            <w:vAlign w:val="bottom"/>
          </w:tcPr>
          <w:p>
            <w:pPr>
              <w:spacing w:after="0"/>
              <w:rPr>
                <w:sz w:val="24"/>
                <w:szCs w:val="24"/>
                <w:color w:val="auto"/>
              </w:rPr>
            </w:pPr>
          </w:p>
        </w:tc>
        <w:tc>
          <w:tcPr>
            <w:tcW w:w="3340" w:type="dxa"/>
            <w:vAlign w:val="bottom"/>
            <w:shd w:val="clear" w:color="auto" w:fill="FAFAFA"/>
          </w:tcPr>
          <w:p>
            <w:pPr>
              <w:ind w:left="80"/>
              <w:spacing w:after="0"/>
              <w:rPr>
                <w:sz w:val="20"/>
                <w:szCs w:val="20"/>
                <w:color w:val="auto"/>
              </w:rPr>
            </w:pPr>
            <w:r>
              <w:rPr>
                <w:rFonts w:ascii="Arial" w:cs="Arial" w:eastAsia="Arial" w:hAnsi="Arial"/>
                <w:sz w:val="14"/>
                <w:szCs w:val="14"/>
                <w:b w:val="1"/>
                <w:bCs w:val="1"/>
                <w:color w:val="auto"/>
              </w:rPr>
              <w:t>White</w:t>
            </w:r>
          </w:p>
        </w:tc>
        <w:tc>
          <w:tcPr>
            <w:tcW w:w="1220" w:type="dxa"/>
            <w:vAlign w:val="bottom"/>
            <w:shd w:val="clear" w:color="auto" w:fill="FAFAFA"/>
          </w:tcPr>
          <w:p>
            <w:pPr>
              <w:jc w:val="center"/>
              <w:ind w:left="467"/>
              <w:spacing w:after="0"/>
              <w:rPr>
                <w:sz w:val="20"/>
                <w:szCs w:val="20"/>
                <w:color w:val="auto"/>
              </w:rPr>
            </w:pPr>
            <w:r>
              <w:rPr>
                <w:rFonts w:ascii="Arial" w:cs="Arial" w:eastAsia="Arial" w:hAnsi="Arial"/>
                <w:sz w:val="14"/>
                <w:szCs w:val="14"/>
                <w:color w:val="auto"/>
              </w:rPr>
              <w:t>2</w:t>
            </w:r>
          </w:p>
        </w:tc>
        <w:tc>
          <w:tcPr>
            <w:tcW w:w="1740" w:type="dxa"/>
            <w:vAlign w:val="bottom"/>
            <w:shd w:val="clear" w:color="auto" w:fill="FAFAFA"/>
          </w:tcPr>
          <w:p>
            <w:pPr>
              <w:jc w:val="center"/>
              <w:ind w:left="467"/>
              <w:spacing w:after="0"/>
              <w:rPr>
                <w:sz w:val="20"/>
                <w:szCs w:val="20"/>
                <w:color w:val="auto"/>
              </w:rPr>
            </w:pPr>
            <w:r>
              <w:rPr>
                <w:rFonts w:ascii="Arial" w:cs="Arial" w:eastAsia="Arial" w:hAnsi="Arial"/>
                <w:sz w:val="14"/>
                <w:szCs w:val="14"/>
                <w:color w:val="auto"/>
              </w:rPr>
              <w:t>5</w:t>
            </w:r>
          </w:p>
        </w:tc>
        <w:tc>
          <w:tcPr>
            <w:tcW w:w="1500" w:type="dxa"/>
            <w:vAlign w:val="bottom"/>
            <w:shd w:val="clear" w:color="auto" w:fill="FAFAFA"/>
          </w:tcPr>
          <w:p>
            <w:pPr>
              <w:jc w:val="center"/>
              <w:ind w:left="167"/>
              <w:spacing w:after="0"/>
              <w:rPr>
                <w:sz w:val="20"/>
                <w:szCs w:val="20"/>
                <w:color w:val="auto"/>
              </w:rPr>
            </w:pPr>
            <w:r>
              <w:rPr>
                <w:rFonts w:ascii="Arial" w:cs="Arial" w:eastAsia="Arial" w:hAnsi="Arial"/>
                <w:sz w:val="14"/>
                <w:szCs w:val="14"/>
                <w:color w:val="auto"/>
                <w:w w:val="99"/>
              </w:rPr>
              <w:t>—</w:t>
            </w:r>
          </w:p>
        </w:tc>
        <w:tc>
          <w:tcPr>
            <w:tcW w:w="1600" w:type="dxa"/>
            <w:vAlign w:val="bottom"/>
            <w:shd w:val="clear" w:color="auto" w:fill="FAFAFA"/>
          </w:tcPr>
          <w:p>
            <w:pPr>
              <w:jc w:val="center"/>
              <w:ind w:left="187"/>
              <w:spacing w:after="0"/>
              <w:rPr>
                <w:sz w:val="20"/>
                <w:szCs w:val="20"/>
                <w:color w:val="auto"/>
              </w:rPr>
            </w:pPr>
            <w:r>
              <w:rPr>
                <w:rFonts w:ascii="Arial" w:cs="Arial" w:eastAsia="Arial" w:hAnsi="Arial"/>
                <w:sz w:val="14"/>
                <w:szCs w:val="14"/>
                <w:color w:val="auto"/>
                <w:w w:val="99"/>
              </w:rPr>
              <w:t>—</w:t>
            </w:r>
          </w:p>
        </w:tc>
        <w:tc>
          <w:tcPr>
            <w:tcW w:w="820" w:type="dxa"/>
            <w:vAlign w:val="bottom"/>
          </w:tcPr>
          <w:p>
            <w:pPr>
              <w:spacing w:after="0"/>
              <w:rPr>
                <w:sz w:val="24"/>
                <w:szCs w:val="24"/>
                <w:color w:val="auto"/>
              </w:rPr>
            </w:pPr>
          </w:p>
        </w:tc>
      </w:tr>
      <w:tr>
        <w:trPr>
          <w:trHeight w:val="218"/>
        </w:trPr>
        <w:tc>
          <w:tcPr>
            <w:tcW w:w="800" w:type="dxa"/>
            <w:vAlign w:val="bottom"/>
          </w:tcPr>
          <w:p>
            <w:pPr>
              <w:spacing w:after="0"/>
              <w:rPr>
                <w:sz w:val="18"/>
                <w:szCs w:val="18"/>
                <w:color w:val="auto"/>
              </w:rPr>
            </w:pPr>
          </w:p>
        </w:tc>
        <w:tc>
          <w:tcPr>
            <w:tcW w:w="3340" w:type="dxa"/>
            <w:vAlign w:val="bottom"/>
            <w:shd w:val="clear" w:color="auto" w:fill="FAFAFA"/>
          </w:tcPr>
          <w:p>
            <w:pPr>
              <w:spacing w:after="0"/>
              <w:rPr>
                <w:sz w:val="18"/>
                <w:szCs w:val="18"/>
                <w:color w:val="auto"/>
              </w:rPr>
            </w:pPr>
          </w:p>
        </w:tc>
        <w:tc>
          <w:tcPr>
            <w:tcW w:w="1220" w:type="dxa"/>
            <w:vAlign w:val="bottom"/>
            <w:shd w:val="clear" w:color="auto" w:fill="FAFAFA"/>
          </w:tcPr>
          <w:p>
            <w:pPr>
              <w:spacing w:after="0"/>
              <w:rPr>
                <w:sz w:val="18"/>
                <w:szCs w:val="18"/>
                <w:color w:val="auto"/>
              </w:rPr>
            </w:pPr>
          </w:p>
        </w:tc>
        <w:tc>
          <w:tcPr>
            <w:tcW w:w="1740" w:type="dxa"/>
            <w:vAlign w:val="bottom"/>
            <w:shd w:val="clear" w:color="auto" w:fill="FAFAFA"/>
          </w:tcPr>
          <w:p>
            <w:pPr>
              <w:spacing w:after="0"/>
              <w:rPr>
                <w:sz w:val="18"/>
                <w:szCs w:val="18"/>
                <w:color w:val="auto"/>
              </w:rPr>
            </w:pPr>
          </w:p>
        </w:tc>
        <w:tc>
          <w:tcPr>
            <w:tcW w:w="1500" w:type="dxa"/>
            <w:vAlign w:val="bottom"/>
            <w:shd w:val="clear" w:color="auto" w:fill="FAFAFA"/>
          </w:tcPr>
          <w:p>
            <w:pPr>
              <w:spacing w:after="0"/>
              <w:rPr>
                <w:sz w:val="18"/>
                <w:szCs w:val="18"/>
                <w:color w:val="auto"/>
              </w:rPr>
            </w:pPr>
          </w:p>
        </w:tc>
        <w:tc>
          <w:tcPr>
            <w:tcW w:w="1600" w:type="dxa"/>
            <w:vAlign w:val="bottom"/>
            <w:shd w:val="clear" w:color="auto" w:fill="FAFAFA"/>
          </w:tcPr>
          <w:p>
            <w:pPr>
              <w:spacing w:after="0"/>
              <w:rPr>
                <w:sz w:val="18"/>
                <w:szCs w:val="18"/>
                <w:color w:val="auto"/>
              </w:rPr>
            </w:pPr>
          </w:p>
        </w:tc>
        <w:tc>
          <w:tcPr>
            <w:tcW w:w="820" w:type="dxa"/>
            <w:vAlign w:val="bottom"/>
          </w:tcPr>
          <w:p>
            <w:pPr>
              <w:spacing w:after="0"/>
              <w:rPr>
                <w:sz w:val="18"/>
                <w:szCs w:val="18"/>
                <w:color w:val="auto"/>
              </w:rPr>
            </w:pPr>
          </w:p>
        </w:tc>
      </w:tr>
      <w:tr>
        <w:trPr>
          <w:trHeight w:val="430"/>
        </w:trPr>
        <w:tc>
          <w:tcPr>
            <w:tcW w:w="800" w:type="dxa"/>
            <w:vAlign w:val="bottom"/>
          </w:tcPr>
          <w:p>
            <w:pPr>
              <w:spacing w:after="0"/>
              <w:rPr>
                <w:sz w:val="24"/>
                <w:szCs w:val="24"/>
                <w:color w:val="auto"/>
              </w:rPr>
            </w:pPr>
          </w:p>
        </w:tc>
        <w:tc>
          <w:tcPr>
            <w:tcW w:w="3340" w:type="dxa"/>
            <w:vAlign w:val="bottom"/>
            <w:shd w:val="clear" w:color="auto" w:fill="EBEBEB"/>
          </w:tcPr>
          <w:p>
            <w:pPr>
              <w:ind w:left="80"/>
              <w:spacing w:after="0"/>
              <w:rPr>
                <w:sz w:val="20"/>
                <w:szCs w:val="20"/>
                <w:color w:val="auto"/>
              </w:rPr>
            </w:pPr>
            <w:r>
              <w:rPr>
                <w:rFonts w:ascii="Arial" w:cs="Arial" w:eastAsia="Arial" w:hAnsi="Arial"/>
                <w:sz w:val="14"/>
                <w:szCs w:val="14"/>
                <w:b w:val="1"/>
                <w:bCs w:val="1"/>
                <w:color w:val="auto"/>
              </w:rPr>
              <w:t>Two or More Races or Ethnicities</w:t>
            </w:r>
          </w:p>
        </w:tc>
        <w:tc>
          <w:tcPr>
            <w:tcW w:w="1220" w:type="dxa"/>
            <w:vAlign w:val="bottom"/>
            <w:shd w:val="clear" w:color="auto" w:fill="EBEBEB"/>
          </w:tcPr>
          <w:p>
            <w:pPr>
              <w:jc w:val="center"/>
              <w:ind w:left="487"/>
              <w:spacing w:after="0"/>
              <w:rPr>
                <w:sz w:val="20"/>
                <w:szCs w:val="20"/>
                <w:color w:val="auto"/>
              </w:rPr>
            </w:pPr>
            <w:r>
              <w:rPr>
                <w:rFonts w:ascii="Arial" w:cs="Arial" w:eastAsia="Arial" w:hAnsi="Arial"/>
                <w:sz w:val="14"/>
                <w:szCs w:val="14"/>
                <w:color w:val="auto"/>
                <w:w w:val="99"/>
              </w:rPr>
              <w:t>—</w:t>
            </w:r>
          </w:p>
        </w:tc>
        <w:tc>
          <w:tcPr>
            <w:tcW w:w="1740" w:type="dxa"/>
            <w:vAlign w:val="bottom"/>
            <w:shd w:val="clear" w:color="auto" w:fill="EBEBEB"/>
          </w:tcPr>
          <w:p>
            <w:pPr>
              <w:jc w:val="center"/>
              <w:ind w:left="447"/>
              <w:spacing w:after="0"/>
              <w:rPr>
                <w:sz w:val="20"/>
                <w:szCs w:val="20"/>
                <w:color w:val="auto"/>
              </w:rPr>
            </w:pPr>
            <w:r>
              <w:rPr>
                <w:rFonts w:ascii="Arial" w:cs="Arial" w:eastAsia="Arial" w:hAnsi="Arial"/>
                <w:sz w:val="14"/>
                <w:szCs w:val="14"/>
                <w:color w:val="auto"/>
                <w:w w:val="99"/>
              </w:rPr>
              <w:t>—</w:t>
            </w:r>
          </w:p>
        </w:tc>
        <w:tc>
          <w:tcPr>
            <w:tcW w:w="1500" w:type="dxa"/>
            <w:vAlign w:val="bottom"/>
            <w:shd w:val="clear" w:color="auto" w:fill="EBEBEB"/>
          </w:tcPr>
          <w:p>
            <w:pPr>
              <w:jc w:val="center"/>
              <w:ind w:left="167"/>
              <w:spacing w:after="0"/>
              <w:rPr>
                <w:sz w:val="20"/>
                <w:szCs w:val="20"/>
                <w:color w:val="auto"/>
              </w:rPr>
            </w:pPr>
            <w:r>
              <w:rPr>
                <w:rFonts w:ascii="Arial" w:cs="Arial" w:eastAsia="Arial" w:hAnsi="Arial"/>
                <w:sz w:val="14"/>
                <w:szCs w:val="14"/>
                <w:color w:val="auto"/>
                <w:w w:val="99"/>
              </w:rPr>
              <w:t>—</w:t>
            </w:r>
          </w:p>
        </w:tc>
        <w:tc>
          <w:tcPr>
            <w:tcW w:w="1600" w:type="dxa"/>
            <w:vAlign w:val="bottom"/>
            <w:shd w:val="clear" w:color="auto" w:fill="EBEBEB"/>
          </w:tcPr>
          <w:p>
            <w:pPr>
              <w:jc w:val="center"/>
              <w:ind w:left="187"/>
              <w:spacing w:after="0"/>
              <w:rPr>
                <w:sz w:val="20"/>
                <w:szCs w:val="20"/>
                <w:color w:val="auto"/>
              </w:rPr>
            </w:pPr>
            <w:r>
              <w:rPr>
                <w:rFonts w:ascii="Arial" w:cs="Arial" w:eastAsia="Arial" w:hAnsi="Arial"/>
                <w:sz w:val="14"/>
                <w:szCs w:val="14"/>
                <w:color w:val="auto"/>
                <w:w w:val="99"/>
              </w:rPr>
              <w:t>—</w:t>
            </w:r>
          </w:p>
        </w:tc>
        <w:tc>
          <w:tcPr>
            <w:tcW w:w="820" w:type="dxa"/>
            <w:vAlign w:val="bottom"/>
          </w:tcPr>
          <w:p>
            <w:pPr>
              <w:spacing w:after="0"/>
              <w:rPr>
                <w:sz w:val="24"/>
                <w:szCs w:val="24"/>
                <w:color w:val="auto"/>
              </w:rPr>
            </w:pPr>
          </w:p>
        </w:tc>
      </w:tr>
      <w:tr>
        <w:trPr>
          <w:trHeight w:val="218"/>
        </w:trPr>
        <w:tc>
          <w:tcPr>
            <w:tcW w:w="800" w:type="dxa"/>
            <w:vAlign w:val="bottom"/>
          </w:tcPr>
          <w:p>
            <w:pPr>
              <w:spacing w:after="0"/>
              <w:rPr>
                <w:sz w:val="18"/>
                <w:szCs w:val="18"/>
                <w:color w:val="auto"/>
              </w:rPr>
            </w:pPr>
          </w:p>
        </w:tc>
        <w:tc>
          <w:tcPr>
            <w:tcW w:w="3340" w:type="dxa"/>
            <w:vAlign w:val="bottom"/>
            <w:shd w:val="clear" w:color="auto" w:fill="EBEBEB"/>
          </w:tcPr>
          <w:p>
            <w:pPr>
              <w:spacing w:after="0"/>
              <w:rPr>
                <w:sz w:val="18"/>
                <w:szCs w:val="18"/>
                <w:color w:val="auto"/>
              </w:rPr>
            </w:pPr>
          </w:p>
        </w:tc>
        <w:tc>
          <w:tcPr>
            <w:tcW w:w="1220" w:type="dxa"/>
            <w:vAlign w:val="bottom"/>
            <w:shd w:val="clear" w:color="auto" w:fill="EBEBEB"/>
          </w:tcPr>
          <w:p>
            <w:pPr>
              <w:spacing w:after="0"/>
              <w:rPr>
                <w:sz w:val="18"/>
                <w:szCs w:val="18"/>
                <w:color w:val="auto"/>
              </w:rPr>
            </w:pPr>
          </w:p>
        </w:tc>
        <w:tc>
          <w:tcPr>
            <w:tcW w:w="1740" w:type="dxa"/>
            <w:vAlign w:val="bottom"/>
            <w:shd w:val="clear" w:color="auto" w:fill="EBEBEB"/>
          </w:tcPr>
          <w:p>
            <w:pPr>
              <w:spacing w:after="0"/>
              <w:rPr>
                <w:sz w:val="18"/>
                <w:szCs w:val="18"/>
                <w:color w:val="auto"/>
              </w:rPr>
            </w:pPr>
          </w:p>
        </w:tc>
        <w:tc>
          <w:tcPr>
            <w:tcW w:w="1500" w:type="dxa"/>
            <w:vAlign w:val="bottom"/>
            <w:shd w:val="clear" w:color="auto" w:fill="EBEBEB"/>
          </w:tcPr>
          <w:p>
            <w:pPr>
              <w:spacing w:after="0"/>
              <w:rPr>
                <w:sz w:val="18"/>
                <w:szCs w:val="18"/>
                <w:color w:val="auto"/>
              </w:rPr>
            </w:pPr>
          </w:p>
        </w:tc>
        <w:tc>
          <w:tcPr>
            <w:tcW w:w="1600" w:type="dxa"/>
            <w:vAlign w:val="bottom"/>
            <w:shd w:val="clear" w:color="auto" w:fill="EBEBEB"/>
          </w:tcPr>
          <w:p>
            <w:pPr>
              <w:spacing w:after="0"/>
              <w:rPr>
                <w:sz w:val="18"/>
                <w:szCs w:val="18"/>
                <w:color w:val="auto"/>
              </w:rPr>
            </w:pPr>
          </w:p>
        </w:tc>
        <w:tc>
          <w:tcPr>
            <w:tcW w:w="820" w:type="dxa"/>
            <w:vAlign w:val="bottom"/>
          </w:tcPr>
          <w:p>
            <w:pPr>
              <w:spacing w:after="0"/>
              <w:rPr>
                <w:sz w:val="18"/>
                <w:szCs w:val="18"/>
                <w:color w:val="auto"/>
              </w:rPr>
            </w:pPr>
          </w:p>
        </w:tc>
      </w:tr>
      <w:tr>
        <w:trPr>
          <w:trHeight w:val="430"/>
        </w:trPr>
        <w:tc>
          <w:tcPr>
            <w:tcW w:w="800" w:type="dxa"/>
            <w:vAlign w:val="bottom"/>
          </w:tcPr>
          <w:p>
            <w:pPr>
              <w:spacing w:after="0"/>
              <w:rPr>
                <w:sz w:val="24"/>
                <w:szCs w:val="24"/>
                <w:color w:val="auto"/>
              </w:rPr>
            </w:pPr>
          </w:p>
        </w:tc>
        <w:tc>
          <w:tcPr>
            <w:tcW w:w="3340" w:type="dxa"/>
            <w:vAlign w:val="bottom"/>
            <w:shd w:val="clear" w:color="auto" w:fill="FAFAFA"/>
          </w:tcPr>
          <w:p>
            <w:pPr>
              <w:ind w:left="80"/>
              <w:spacing w:after="0"/>
              <w:rPr>
                <w:sz w:val="20"/>
                <w:szCs w:val="20"/>
                <w:color w:val="auto"/>
              </w:rPr>
            </w:pPr>
            <w:r>
              <w:rPr>
                <w:rFonts w:ascii="Arial" w:cs="Arial" w:eastAsia="Arial" w:hAnsi="Arial"/>
                <w:sz w:val="14"/>
                <w:szCs w:val="14"/>
                <w:b w:val="1"/>
                <w:bCs w:val="1"/>
                <w:color w:val="auto"/>
              </w:rPr>
              <w:t>LGBTQ+</w:t>
            </w:r>
          </w:p>
        </w:tc>
        <w:tc>
          <w:tcPr>
            <w:tcW w:w="1220" w:type="dxa"/>
            <w:vAlign w:val="bottom"/>
            <w:shd w:val="clear" w:color="auto" w:fill="FAFAFA"/>
          </w:tcPr>
          <w:p>
            <w:pPr>
              <w:jc w:val="center"/>
              <w:ind w:left="487"/>
              <w:spacing w:after="0"/>
              <w:rPr>
                <w:sz w:val="20"/>
                <w:szCs w:val="20"/>
                <w:color w:val="auto"/>
              </w:rPr>
            </w:pPr>
            <w:r>
              <w:rPr>
                <w:rFonts w:ascii="Arial" w:cs="Arial" w:eastAsia="Arial" w:hAnsi="Arial"/>
                <w:sz w:val="14"/>
                <w:szCs w:val="14"/>
                <w:color w:val="auto"/>
                <w:w w:val="99"/>
              </w:rPr>
              <w:t>—</w:t>
            </w:r>
          </w:p>
        </w:tc>
        <w:tc>
          <w:tcPr>
            <w:tcW w:w="1740" w:type="dxa"/>
            <w:vAlign w:val="bottom"/>
            <w:shd w:val="clear" w:color="auto" w:fill="FAFAFA"/>
          </w:tcPr>
          <w:p>
            <w:pPr>
              <w:jc w:val="center"/>
              <w:ind w:left="447"/>
              <w:spacing w:after="0"/>
              <w:rPr>
                <w:sz w:val="20"/>
                <w:szCs w:val="20"/>
                <w:color w:val="auto"/>
              </w:rPr>
            </w:pPr>
            <w:r>
              <w:rPr>
                <w:rFonts w:ascii="Arial" w:cs="Arial" w:eastAsia="Arial" w:hAnsi="Arial"/>
                <w:sz w:val="14"/>
                <w:szCs w:val="14"/>
                <w:color w:val="auto"/>
                <w:w w:val="99"/>
              </w:rPr>
              <w:t>—</w:t>
            </w:r>
          </w:p>
        </w:tc>
        <w:tc>
          <w:tcPr>
            <w:tcW w:w="1500" w:type="dxa"/>
            <w:vAlign w:val="bottom"/>
            <w:shd w:val="clear" w:color="auto" w:fill="FAFAFA"/>
          </w:tcPr>
          <w:p>
            <w:pPr>
              <w:jc w:val="center"/>
              <w:ind w:left="167"/>
              <w:spacing w:after="0"/>
              <w:rPr>
                <w:sz w:val="20"/>
                <w:szCs w:val="20"/>
                <w:color w:val="auto"/>
              </w:rPr>
            </w:pPr>
            <w:r>
              <w:rPr>
                <w:rFonts w:ascii="Arial" w:cs="Arial" w:eastAsia="Arial" w:hAnsi="Arial"/>
                <w:sz w:val="14"/>
                <w:szCs w:val="14"/>
                <w:color w:val="auto"/>
                <w:w w:val="99"/>
              </w:rPr>
              <w:t>—</w:t>
            </w:r>
          </w:p>
        </w:tc>
        <w:tc>
          <w:tcPr>
            <w:tcW w:w="1600" w:type="dxa"/>
            <w:vAlign w:val="bottom"/>
            <w:shd w:val="clear" w:color="auto" w:fill="FAFAFA"/>
          </w:tcPr>
          <w:p>
            <w:pPr>
              <w:jc w:val="center"/>
              <w:ind w:left="187"/>
              <w:spacing w:after="0"/>
              <w:rPr>
                <w:sz w:val="20"/>
                <w:szCs w:val="20"/>
                <w:color w:val="auto"/>
              </w:rPr>
            </w:pPr>
            <w:r>
              <w:rPr>
                <w:rFonts w:ascii="Arial" w:cs="Arial" w:eastAsia="Arial" w:hAnsi="Arial"/>
                <w:sz w:val="14"/>
                <w:szCs w:val="14"/>
                <w:color w:val="auto"/>
                <w:w w:val="99"/>
              </w:rPr>
              <w:t>—</w:t>
            </w:r>
          </w:p>
        </w:tc>
        <w:tc>
          <w:tcPr>
            <w:tcW w:w="820" w:type="dxa"/>
            <w:vAlign w:val="bottom"/>
          </w:tcPr>
          <w:p>
            <w:pPr>
              <w:spacing w:after="0"/>
              <w:rPr>
                <w:sz w:val="24"/>
                <w:szCs w:val="24"/>
                <w:color w:val="auto"/>
              </w:rPr>
            </w:pPr>
          </w:p>
        </w:tc>
      </w:tr>
      <w:tr>
        <w:trPr>
          <w:trHeight w:val="218"/>
        </w:trPr>
        <w:tc>
          <w:tcPr>
            <w:tcW w:w="800" w:type="dxa"/>
            <w:vAlign w:val="bottom"/>
          </w:tcPr>
          <w:p>
            <w:pPr>
              <w:spacing w:after="0"/>
              <w:rPr>
                <w:sz w:val="18"/>
                <w:szCs w:val="18"/>
                <w:color w:val="auto"/>
              </w:rPr>
            </w:pPr>
          </w:p>
        </w:tc>
        <w:tc>
          <w:tcPr>
            <w:tcW w:w="3340" w:type="dxa"/>
            <w:vAlign w:val="bottom"/>
            <w:shd w:val="clear" w:color="auto" w:fill="FAFAFA"/>
          </w:tcPr>
          <w:p>
            <w:pPr>
              <w:spacing w:after="0"/>
              <w:rPr>
                <w:sz w:val="18"/>
                <w:szCs w:val="18"/>
                <w:color w:val="auto"/>
              </w:rPr>
            </w:pPr>
          </w:p>
        </w:tc>
        <w:tc>
          <w:tcPr>
            <w:tcW w:w="1220" w:type="dxa"/>
            <w:vAlign w:val="bottom"/>
            <w:shd w:val="clear" w:color="auto" w:fill="FAFAFA"/>
          </w:tcPr>
          <w:p>
            <w:pPr>
              <w:spacing w:after="0"/>
              <w:rPr>
                <w:sz w:val="18"/>
                <w:szCs w:val="18"/>
                <w:color w:val="auto"/>
              </w:rPr>
            </w:pPr>
          </w:p>
        </w:tc>
        <w:tc>
          <w:tcPr>
            <w:tcW w:w="1740" w:type="dxa"/>
            <w:vAlign w:val="bottom"/>
            <w:shd w:val="clear" w:color="auto" w:fill="FAFAFA"/>
          </w:tcPr>
          <w:p>
            <w:pPr>
              <w:spacing w:after="0"/>
              <w:rPr>
                <w:sz w:val="18"/>
                <w:szCs w:val="18"/>
                <w:color w:val="auto"/>
              </w:rPr>
            </w:pPr>
          </w:p>
        </w:tc>
        <w:tc>
          <w:tcPr>
            <w:tcW w:w="1500" w:type="dxa"/>
            <w:vAlign w:val="bottom"/>
            <w:shd w:val="clear" w:color="auto" w:fill="FAFAFA"/>
          </w:tcPr>
          <w:p>
            <w:pPr>
              <w:spacing w:after="0"/>
              <w:rPr>
                <w:sz w:val="18"/>
                <w:szCs w:val="18"/>
                <w:color w:val="auto"/>
              </w:rPr>
            </w:pPr>
          </w:p>
        </w:tc>
        <w:tc>
          <w:tcPr>
            <w:tcW w:w="1600" w:type="dxa"/>
            <w:vAlign w:val="bottom"/>
            <w:shd w:val="clear" w:color="auto" w:fill="FAFAFA"/>
          </w:tcPr>
          <w:p>
            <w:pPr>
              <w:spacing w:after="0"/>
              <w:rPr>
                <w:sz w:val="18"/>
                <w:szCs w:val="18"/>
                <w:color w:val="auto"/>
              </w:rPr>
            </w:pPr>
          </w:p>
        </w:tc>
        <w:tc>
          <w:tcPr>
            <w:tcW w:w="820" w:type="dxa"/>
            <w:vAlign w:val="bottom"/>
          </w:tcPr>
          <w:p>
            <w:pPr>
              <w:spacing w:after="0"/>
              <w:rPr>
                <w:sz w:val="18"/>
                <w:szCs w:val="18"/>
                <w:color w:val="auto"/>
              </w:rPr>
            </w:pPr>
          </w:p>
        </w:tc>
      </w:tr>
      <w:tr>
        <w:trPr>
          <w:trHeight w:val="430"/>
        </w:trPr>
        <w:tc>
          <w:tcPr>
            <w:tcW w:w="800" w:type="dxa"/>
            <w:vAlign w:val="bottom"/>
          </w:tcPr>
          <w:p>
            <w:pPr>
              <w:spacing w:after="0"/>
              <w:rPr>
                <w:sz w:val="24"/>
                <w:szCs w:val="24"/>
                <w:color w:val="auto"/>
              </w:rPr>
            </w:pPr>
          </w:p>
        </w:tc>
        <w:tc>
          <w:tcPr>
            <w:tcW w:w="3340" w:type="dxa"/>
            <w:vAlign w:val="bottom"/>
            <w:shd w:val="clear" w:color="auto" w:fill="EBEBEB"/>
          </w:tcPr>
          <w:p>
            <w:pPr>
              <w:ind w:left="80"/>
              <w:spacing w:after="0"/>
              <w:rPr>
                <w:sz w:val="20"/>
                <w:szCs w:val="20"/>
                <w:color w:val="auto"/>
              </w:rPr>
            </w:pPr>
            <w:r>
              <w:rPr>
                <w:rFonts w:ascii="Arial" w:cs="Arial" w:eastAsia="Arial" w:hAnsi="Arial"/>
                <w:sz w:val="14"/>
                <w:szCs w:val="14"/>
                <w:b w:val="1"/>
                <w:bCs w:val="1"/>
                <w:color w:val="auto"/>
              </w:rPr>
              <w:t>Did Not Disclose Demographic Background</w:t>
            </w:r>
          </w:p>
        </w:tc>
        <w:tc>
          <w:tcPr>
            <w:tcW w:w="1220" w:type="dxa"/>
            <w:vAlign w:val="bottom"/>
            <w:shd w:val="clear" w:color="auto" w:fill="EBEBEB"/>
          </w:tcPr>
          <w:p>
            <w:pPr>
              <w:jc w:val="center"/>
              <w:ind w:left="487"/>
              <w:spacing w:after="0"/>
              <w:rPr>
                <w:sz w:val="20"/>
                <w:szCs w:val="20"/>
                <w:color w:val="auto"/>
              </w:rPr>
            </w:pPr>
            <w:r>
              <w:rPr>
                <w:rFonts w:ascii="Arial" w:cs="Arial" w:eastAsia="Arial" w:hAnsi="Arial"/>
                <w:sz w:val="14"/>
                <w:szCs w:val="14"/>
                <w:color w:val="auto"/>
                <w:w w:val="99"/>
              </w:rPr>
              <w:t>—</w:t>
            </w:r>
          </w:p>
        </w:tc>
        <w:tc>
          <w:tcPr>
            <w:tcW w:w="1740" w:type="dxa"/>
            <w:vAlign w:val="bottom"/>
            <w:shd w:val="clear" w:color="auto" w:fill="EBEBEB"/>
          </w:tcPr>
          <w:p>
            <w:pPr>
              <w:jc w:val="center"/>
              <w:ind w:left="447"/>
              <w:spacing w:after="0"/>
              <w:rPr>
                <w:sz w:val="20"/>
                <w:szCs w:val="20"/>
                <w:color w:val="auto"/>
              </w:rPr>
            </w:pPr>
            <w:r>
              <w:rPr>
                <w:rFonts w:ascii="Arial" w:cs="Arial" w:eastAsia="Arial" w:hAnsi="Arial"/>
                <w:sz w:val="14"/>
                <w:szCs w:val="14"/>
                <w:color w:val="auto"/>
                <w:w w:val="99"/>
              </w:rPr>
              <w:t>—</w:t>
            </w:r>
          </w:p>
        </w:tc>
        <w:tc>
          <w:tcPr>
            <w:tcW w:w="1500" w:type="dxa"/>
            <w:vAlign w:val="bottom"/>
            <w:shd w:val="clear" w:color="auto" w:fill="EBEBEB"/>
          </w:tcPr>
          <w:p>
            <w:pPr>
              <w:jc w:val="center"/>
              <w:ind w:left="167"/>
              <w:spacing w:after="0"/>
              <w:rPr>
                <w:sz w:val="20"/>
                <w:szCs w:val="20"/>
                <w:color w:val="auto"/>
              </w:rPr>
            </w:pPr>
            <w:r>
              <w:rPr>
                <w:rFonts w:ascii="Arial" w:cs="Arial" w:eastAsia="Arial" w:hAnsi="Arial"/>
                <w:sz w:val="14"/>
                <w:szCs w:val="14"/>
                <w:color w:val="auto"/>
                <w:w w:val="99"/>
              </w:rPr>
              <w:t>—</w:t>
            </w:r>
          </w:p>
        </w:tc>
        <w:tc>
          <w:tcPr>
            <w:tcW w:w="1600" w:type="dxa"/>
            <w:vAlign w:val="bottom"/>
            <w:shd w:val="clear" w:color="auto" w:fill="EBEBEB"/>
          </w:tcPr>
          <w:p>
            <w:pPr>
              <w:jc w:val="center"/>
              <w:ind w:left="167"/>
              <w:spacing w:after="0"/>
              <w:rPr>
                <w:sz w:val="20"/>
                <w:szCs w:val="20"/>
                <w:color w:val="auto"/>
              </w:rPr>
            </w:pPr>
            <w:r>
              <w:rPr>
                <w:rFonts w:ascii="Arial" w:cs="Arial" w:eastAsia="Arial" w:hAnsi="Arial"/>
                <w:sz w:val="14"/>
                <w:szCs w:val="14"/>
                <w:color w:val="auto"/>
              </w:rPr>
              <w:t>1</w:t>
            </w:r>
          </w:p>
        </w:tc>
        <w:tc>
          <w:tcPr>
            <w:tcW w:w="820" w:type="dxa"/>
            <w:vAlign w:val="bottom"/>
          </w:tcPr>
          <w:p>
            <w:pPr>
              <w:spacing w:after="0"/>
              <w:rPr>
                <w:sz w:val="24"/>
                <w:szCs w:val="24"/>
                <w:color w:val="auto"/>
              </w:rPr>
            </w:pPr>
          </w:p>
        </w:tc>
      </w:tr>
      <w:tr>
        <w:trPr>
          <w:trHeight w:val="191"/>
        </w:trPr>
        <w:tc>
          <w:tcPr>
            <w:tcW w:w="800" w:type="dxa"/>
            <w:vAlign w:val="bottom"/>
          </w:tcPr>
          <w:p>
            <w:pPr>
              <w:spacing w:after="0"/>
              <w:rPr>
                <w:sz w:val="16"/>
                <w:szCs w:val="16"/>
                <w:color w:val="auto"/>
              </w:rPr>
            </w:pPr>
          </w:p>
        </w:tc>
        <w:tc>
          <w:tcPr>
            <w:tcW w:w="3340" w:type="dxa"/>
            <w:vAlign w:val="bottom"/>
            <w:shd w:val="clear" w:color="auto" w:fill="EBEBEB"/>
          </w:tcPr>
          <w:p>
            <w:pPr>
              <w:spacing w:after="0"/>
              <w:rPr>
                <w:sz w:val="16"/>
                <w:szCs w:val="16"/>
                <w:color w:val="auto"/>
              </w:rPr>
            </w:pPr>
          </w:p>
        </w:tc>
        <w:tc>
          <w:tcPr>
            <w:tcW w:w="1220" w:type="dxa"/>
            <w:vAlign w:val="bottom"/>
            <w:shd w:val="clear" w:color="auto" w:fill="EBEBEB"/>
          </w:tcPr>
          <w:p>
            <w:pPr>
              <w:spacing w:after="0"/>
              <w:rPr>
                <w:sz w:val="16"/>
                <w:szCs w:val="16"/>
                <w:color w:val="auto"/>
              </w:rPr>
            </w:pPr>
          </w:p>
        </w:tc>
        <w:tc>
          <w:tcPr>
            <w:tcW w:w="1740" w:type="dxa"/>
            <w:vAlign w:val="bottom"/>
            <w:shd w:val="clear" w:color="auto" w:fill="EBEBEB"/>
          </w:tcPr>
          <w:p>
            <w:pPr>
              <w:spacing w:after="0"/>
              <w:rPr>
                <w:sz w:val="16"/>
                <w:szCs w:val="16"/>
                <w:color w:val="auto"/>
              </w:rPr>
            </w:pPr>
          </w:p>
        </w:tc>
        <w:tc>
          <w:tcPr>
            <w:tcW w:w="1500" w:type="dxa"/>
            <w:vAlign w:val="bottom"/>
            <w:shd w:val="clear" w:color="auto" w:fill="EBEBEB"/>
          </w:tcPr>
          <w:p>
            <w:pPr>
              <w:spacing w:after="0"/>
              <w:rPr>
                <w:sz w:val="16"/>
                <w:szCs w:val="16"/>
                <w:color w:val="auto"/>
              </w:rPr>
            </w:pPr>
          </w:p>
        </w:tc>
        <w:tc>
          <w:tcPr>
            <w:tcW w:w="1600" w:type="dxa"/>
            <w:vAlign w:val="bottom"/>
            <w:shd w:val="clear" w:color="auto" w:fill="EBEBEB"/>
          </w:tcPr>
          <w:p>
            <w:pPr>
              <w:spacing w:after="0"/>
              <w:rPr>
                <w:sz w:val="16"/>
                <w:szCs w:val="16"/>
                <w:color w:val="auto"/>
              </w:rPr>
            </w:pPr>
          </w:p>
        </w:tc>
        <w:tc>
          <w:tcPr>
            <w:tcW w:w="820" w:type="dxa"/>
            <w:vAlign w:val="bottom"/>
          </w:tcPr>
          <w:p>
            <w:pPr>
              <w:spacing w:after="0"/>
              <w:rPr>
                <w:sz w:val="16"/>
                <w:szCs w:val="16"/>
                <w:color w:val="auto"/>
              </w:rPr>
            </w:pPr>
          </w:p>
        </w:tc>
      </w:tr>
      <w:tr>
        <w:trPr>
          <w:trHeight w:val="403"/>
        </w:trPr>
        <w:tc>
          <w:tcPr>
            <w:tcW w:w="800" w:type="dxa"/>
            <w:vAlign w:val="bottom"/>
          </w:tcPr>
          <w:p>
            <w:pPr>
              <w:spacing w:after="0"/>
              <w:rPr>
                <w:sz w:val="24"/>
                <w:szCs w:val="24"/>
                <w:color w:val="auto"/>
              </w:rPr>
            </w:pPr>
          </w:p>
        </w:tc>
        <w:tc>
          <w:tcPr>
            <w:tcW w:w="3340" w:type="dxa"/>
            <w:vAlign w:val="bottom"/>
          </w:tcPr>
          <w:p>
            <w:pPr>
              <w:spacing w:after="0"/>
              <w:rPr>
                <w:sz w:val="20"/>
                <w:szCs w:val="20"/>
                <w:color w:val="auto"/>
              </w:rPr>
            </w:pPr>
            <w:r>
              <w:rPr>
                <w:rFonts w:ascii="Arial" w:cs="Arial" w:eastAsia="Arial" w:hAnsi="Arial"/>
                <w:sz w:val="14"/>
                <w:szCs w:val="14"/>
                <w:color w:val="255993"/>
              </w:rPr>
              <w:t>Athira Pharma, Inc.</w:t>
            </w:r>
          </w:p>
        </w:tc>
        <w:tc>
          <w:tcPr>
            <w:tcW w:w="1220" w:type="dxa"/>
            <w:vAlign w:val="bottom"/>
          </w:tcPr>
          <w:p>
            <w:pPr>
              <w:spacing w:after="0"/>
              <w:rPr>
                <w:sz w:val="24"/>
                <w:szCs w:val="24"/>
                <w:color w:val="auto"/>
              </w:rPr>
            </w:pPr>
          </w:p>
        </w:tc>
        <w:tc>
          <w:tcPr>
            <w:tcW w:w="1740" w:type="dxa"/>
            <w:vAlign w:val="bottom"/>
          </w:tcPr>
          <w:p>
            <w:pPr>
              <w:jc w:val="right"/>
              <w:ind w:right="1447"/>
              <w:spacing w:after="0"/>
              <w:rPr>
                <w:sz w:val="20"/>
                <w:szCs w:val="20"/>
                <w:color w:val="auto"/>
              </w:rPr>
            </w:pPr>
            <w:r>
              <w:rPr>
                <w:rFonts w:ascii="Arial" w:cs="Arial" w:eastAsia="Arial" w:hAnsi="Arial"/>
                <w:sz w:val="14"/>
                <w:szCs w:val="14"/>
                <w:b w:val="1"/>
                <w:bCs w:val="1"/>
                <w:color w:val="255993"/>
              </w:rPr>
              <w:t>17</w:t>
            </w:r>
          </w:p>
        </w:tc>
        <w:tc>
          <w:tcPr>
            <w:tcW w:w="1500" w:type="dxa"/>
            <w:vAlign w:val="bottom"/>
          </w:tcPr>
          <w:p>
            <w:pPr>
              <w:spacing w:after="0"/>
              <w:rPr>
                <w:sz w:val="24"/>
                <w:szCs w:val="24"/>
                <w:color w:val="auto"/>
              </w:rPr>
            </w:pPr>
          </w:p>
        </w:tc>
        <w:tc>
          <w:tcPr>
            <w:tcW w:w="2420" w:type="dxa"/>
            <w:vAlign w:val="bottom"/>
            <w:gridSpan w:val="2"/>
          </w:tcPr>
          <w:p>
            <w:pPr>
              <w:jc w:val="center"/>
              <w:ind w:right="640"/>
              <w:spacing w:after="0"/>
              <w:rPr>
                <w:sz w:val="20"/>
                <w:szCs w:val="20"/>
                <w:color w:val="auto"/>
              </w:rPr>
            </w:pPr>
            <w:r>
              <w:rPr>
                <w:rFonts w:ascii="Arial" w:cs="Arial" w:eastAsia="Arial" w:hAnsi="Arial"/>
                <w:sz w:val="14"/>
                <w:szCs w:val="14"/>
                <w:color w:val="255993"/>
              </w:rPr>
              <w:t>2024 Proxy Statement</w:t>
            </w:r>
          </w:p>
        </w:tc>
      </w:tr>
      <w:tr>
        <w:trPr>
          <w:trHeight w:val="158"/>
        </w:trPr>
        <w:tc>
          <w:tcPr>
            <w:tcW w:w="800" w:type="dxa"/>
            <w:vAlign w:val="bottom"/>
            <w:tcBorders>
              <w:bottom w:val="single" w:sz="8" w:color="auto"/>
            </w:tcBorders>
          </w:tcPr>
          <w:p>
            <w:pPr>
              <w:spacing w:after="0"/>
              <w:rPr>
                <w:sz w:val="13"/>
                <w:szCs w:val="13"/>
                <w:color w:val="auto"/>
              </w:rPr>
            </w:pPr>
          </w:p>
        </w:tc>
        <w:tc>
          <w:tcPr>
            <w:tcW w:w="3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-779145</wp:posOffset>
            </wp:positionV>
            <wp:extent cx="596646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6460" cy="34290"/>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-1190625</wp:posOffset>
            </wp:positionV>
            <wp:extent cx="596646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6460" cy="34290"/>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-1602105</wp:posOffset>
            </wp:positionV>
            <wp:extent cx="596646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6460" cy="34290"/>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-2013585</wp:posOffset>
            </wp:positionV>
            <wp:extent cx="596646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6460" cy="34290"/>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-2425065</wp:posOffset>
            </wp:positionV>
            <wp:extent cx="596646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66460" cy="34290"/>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-2836545</wp:posOffset>
            </wp:positionV>
            <wp:extent cx="596646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6460" cy="34290"/>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-3248025</wp:posOffset>
            </wp:positionV>
            <wp:extent cx="596646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6460" cy="34290"/>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-3659505</wp:posOffset>
            </wp:positionV>
            <wp:extent cx="596646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66460" cy="34290"/>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-4070985</wp:posOffset>
            </wp:positionV>
            <wp:extent cx="596646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6460" cy="34290"/>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-4482465</wp:posOffset>
            </wp:positionV>
            <wp:extent cx="596646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6460" cy="34290"/>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-4893945</wp:posOffset>
            </wp:positionV>
            <wp:extent cx="596646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6460" cy="3429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255993"/>
        </w:rPr>
        <w:t>Board of Directors and Corporate Governance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BOARD COMMITTEES</w:t>
      </w:r>
    </w:p>
    <w:p>
      <w:pPr>
        <w:spacing w:after="0" w:line="108"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As of the date of this proxy statement, our board of directors has three separately designated standing committees: an audit committee, a compensation committee and a nominating and corporate governance committee. Our board of directors may also establish other committees from time to time.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Each committee has the composition and the responsibilities described below.</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AUDIT COMMITTEE</w:t>
      </w:r>
    </w:p>
    <w:p>
      <w:pPr>
        <w:spacing w:after="0" w:line="113"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The members of our audit committee are Messrs. Johnson, Fluke and Pickering, each of whom is a non-employee member of our board of directors. Our audit committee chairman, Mr. Johnson, is our audit committee financial expert, as that term is defined under the SEC rules implementing Section 407 of the Sarbanes-Oxley Act of 2002, and possesses financial sophistication, as defined under the rules of Nasdaq. Our audit committee oversees our corporate accounting and financial reporting process and assists our board of directors in monitoring our financial systems. Our audit committee operates under a written charter that specifies its duties and responsibilities and satisfies the applicable listing standards of Nasdaq, which is available on our website at https://investors.athira.com/corporate-governance/governance-overview. Our board of directors has determined that each of Messrs. Johnson, Fluke and Pickering is independent for audit committee purposes, as that term is defined in the rules of the SEC and the applicable Nasdaq rules, and have sufficient knowledge in financial and auditing matters to serve on the audit committee. During our fiscal year ended December 31, 2023, our audit committee held four meetings (including regularly scheduled and special meetings).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Our audit committee:</w:t>
      </w:r>
    </w:p>
    <w:p>
      <w:pPr>
        <w:spacing w:after="0" w:line="140" w:lineRule="exact"/>
        <w:rPr>
          <w:sz w:val="20"/>
          <w:szCs w:val="20"/>
          <w:color w:val="auto"/>
        </w:rPr>
      </w:pPr>
    </w:p>
    <w:p>
      <w:pPr>
        <w:ind w:left="140" w:right="580" w:hanging="134"/>
        <w:spacing w:after="0" w:line="272" w:lineRule="auto"/>
        <w:tabs>
          <w:tab w:leader="none" w:pos="140" w:val="left"/>
        </w:tabs>
        <w:numPr>
          <w:ilvl w:val="0"/>
          <w:numId w:val="15"/>
        </w:numPr>
        <w:rPr>
          <w:rFonts w:ascii="Arial" w:cs="Arial" w:eastAsia="Arial" w:hAnsi="Arial"/>
          <w:sz w:val="16"/>
          <w:szCs w:val="16"/>
          <w:color w:val="255993"/>
        </w:rPr>
      </w:pPr>
      <w:r>
        <w:rPr>
          <w:rFonts w:ascii="Arial" w:cs="Arial" w:eastAsia="Arial" w:hAnsi="Arial"/>
          <w:sz w:val="16"/>
          <w:szCs w:val="16"/>
          <w:color w:val="auto"/>
        </w:rPr>
        <w:t>selects, retains, compensates, evaluates, oversees and, where appropriate, terminates our independent registered public accounting firm;</w:t>
      </w:r>
    </w:p>
    <w:p>
      <w:pPr>
        <w:spacing w:after="0" w:line="1" w:lineRule="exact"/>
        <w:rPr>
          <w:rFonts w:ascii="Arial" w:cs="Arial" w:eastAsia="Arial" w:hAnsi="Arial"/>
          <w:sz w:val="16"/>
          <w:szCs w:val="16"/>
          <w:color w:val="255993"/>
        </w:rPr>
      </w:pPr>
    </w:p>
    <w:p>
      <w:pPr>
        <w:ind w:left="140" w:right="300" w:hanging="134"/>
        <w:spacing w:after="0" w:line="272" w:lineRule="auto"/>
        <w:tabs>
          <w:tab w:leader="none" w:pos="140" w:val="left"/>
        </w:tabs>
        <w:numPr>
          <w:ilvl w:val="0"/>
          <w:numId w:val="15"/>
        </w:numPr>
        <w:rPr>
          <w:rFonts w:ascii="Arial" w:cs="Arial" w:eastAsia="Arial" w:hAnsi="Arial"/>
          <w:sz w:val="16"/>
          <w:szCs w:val="16"/>
          <w:color w:val="255993"/>
        </w:rPr>
      </w:pPr>
      <w:r>
        <w:rPr>
          <w:rFonts w:ascii="Arial" w:cs="Arial" w:eastAsia="Arial" w:hAnsi="Arial"/>
          <w:sz w:val="16"/>
          <w:szCs w:val="16"/>
          <w:color w:val="auto"/>
        </w:rPr>
        <w:t>reviews and approves the scope and plans for the audits and the audit fees and approves all non-audit and tax services to be performed by the independent audit;</w:t>
      </w:r>
    </w:p>
    <w:p>
      <w:pPr>
        <w:spacing w:after="0" w:line="1" w:lineRule="exact"/>
        <w:rPr>
          <w:rFonts w:ascii="Arial" w:cs="Arial" w:eastAsia="Arial" w:hAnsi="Arial"/>
          <w:sz w:val="16"/>
          <w:szCs w:val="16"/>
          <w:color w:val="255993"/>
        </w:rPr>
      </w:pPr>
    </w:p>
    <w:p>
      <w:pPr>
        <w:ind w:left="140" w:hanging="134"/>
        <w:spacing w:after="0"/>
        <w:tabs>
          <w:tab w:leader="none" w:pos="140" w:val="left"/>
        </w:tabs>
        <w:numPr>
          <w:ilvl w:val="0"/>
          <w:numId w:val="15"/>
        </w:numPr>
        <w:rPr>
          <w:rFonts w:ascii="Arial" w:cs="Arial" w:eastAsia="Arial" w:hAnsi="Arial"/>
          <w:sz w:val="16"/>
          <w:szCs w:val="16"/>
          <w:color w:val="255993"/>
        </w:rPr>
      </w:pPr>
      <w:r>
        <w:rPr>
          <w:rFonts w:ascii="Arial" w:cs="Arial" w:eastAsia="Arial" w:hAnsi="Arial"/>
          <w:sz w:val="16"/>
          <w:szCs w:val="16"/>
          <w:color w:val="auto"/>
        </w:rPr>
        <w:t>evaluates the independence and qualification of the independent registered public accounting firm;</w:t>
      </w:r>
    </w:p>
    <w:p>
      <w:pPr>
        <w:spacing w:after="0" w:line="32" w:lineRule="exact"/>
        <w:rPr>
          <w:rFonts w:ascii="Arial" w:cs="Arial" w:eastAsia="Arial" w:hAnsi="Arial"/>
          <w:sz w:val="16"/>
          <w:szCs w:val="16"/>
          <w:color w:val="255993"/>
        </w:rPr>
      </w:pPr>
    </w:p>
    <w:p>
      <w:pPr>
        <w:ind w:left="140" w:hanging="134"/>
        <w:spacing w:after="0"/>
        <w:tabs>
          <w:tab w:leader="none" w:pos="140" w:val="left"/>
        </w:tabs>
        <w:numPr>
          <w:ilvl w:val="0"/>
          <w:numId w:val="15"/>
        </w:numPr>
        <w:rPr>
          <w:rFonts w:ascii="Arial" w:cs="Arial" w:eastAsia="Arial" w:hAnsi="Arial"/>
          <w:sz w:val="16"/>
          <w:szCs w:val="16"/>
          <w:color w:val="255993"/>
        </w:rPr>
      </w:pPr>
      <w:r>
        <w:rPr>
          <w:rFonts w:ascii="Arial" w:cs="Arial" w:eastAsia="Arial" w:hAnsi="Arial"/>
          <w:sz w:val="16"/>
          <w:szCs w:val="16"/>
          <w:color w:val="auto"/>
        </w:rPr>
        <w:t>reviews internal controls and integrity of financial statements;</w:t>
      </w:r>
    </w:p>
    <w:p>
      <w:pPr>
        <w:spacing w:after="0" w:line="45" w:lineRule="exact"/>
        <w:rPr>
          <w:rFonts w:ascii="Arial" w:cs="Arial" w:eastAsia="Arial" w:hAnsi="Arial"/>
          <w:sz w:val="16"/>
          <w:szCs w:val="16"/>
          <w:color w:val="255993"/>
        </w:rPr>
      </w:pPr>
    </w:p>
    <w:p>
      <w:pPr>
        <w:ind w:left="140" w:hanging="134"/>
        <w:spacing w:after="0"/>
        <w:tabs>
          <w:tab w:leader="none" w:pos="140" w:val="left"/>
        </w:tabs>
        <w:numPr>
          <w:ilvl w:val="0"/>
          <w:numId w:val="15"/>
        </w:numPr>
        <w:rPr>
          <w:rFonts w:ascii="Arial" w:cs="Arial" w:eastAsia="Arial" w:hAnsi="Arial"/>
          <w:sz w:val="16"/>
          <w:szCs w:val="16"/>
          <w:color w:val="255993"/>
        </w:rPr>
      </w:pPr>
      <w:r>
        <w:rPr>
          <w:rFonts w:ascii="Arial" w:cs="Arial" w:eastAsia="Arial" w:hAnsi="Arial"/>
          <w:sz w:val="16"/>
          <w:szCs w:val="16"/>
          <w:color w:val="auto"/>
        </w:rPr>
        <w:t>reviews financial information presentation, earnings press releases and guidance;</w:t>
      </w:r>
    </w:p>
    <w:p>
      <w:pPr>
        <w:spacing w:after="0" w:line="45" w:lineRule="exact"/>
        <w:rPr>
          <w:rFonts w:ascii="Arial" w:cs="Arial" w:eastAsia="Arial" w:hAnsi="Arial"/>
          <w:sz w:val="16"/>
          <w:szCs w:val="16"/>
          <w:color w:val="255993"/>
        </w:rPr>
      </w:pPr>
    </w:p>
    <w:p>
      <w:pPr>
        <w:ind w:left="140" w:hanging="134"/>
        <w:spacing w:after="0"/>
        <w:tabs>
          <w:tab w:leader="none" w:pos="140" w:val="left"/>
        </w:tabs>
        <w:numPr>
          <w:ilvl w:val="0"/>
          <w:numId w:val="15"/>
        </w:numPr>
        <w:rPr>
          <w:rFonts w:ascii="Arial" w:cs="Arial" w:eastAsia="Arial" w:hAnsi="Arial"/>
          <w:sz w:val="16"/>
          <w:szCs w:val="16"/>
          <w:color w:val="255993"/>
        </w:rPr>
      </w:pPr>
      <w:r>
        <w:rPr>
          <w:rFonts w:ascii="Arial" w:cs="Arial" w:eastAsia="Arial" w:hAnsi="Arial"/>
          <w:sz w:val="16"/>
          <w:szCs w:val="16"/>
          <w:color w:val="auto"/>
        </w:rPr>
        <w:t>oversees the design, implementation and performance of our internal audit function, if any;</w:t>
      </w:r>
    </w:p>
    <w:p>
      <w:pPr>
        <w:spacing w:after="0" w:line="32" w:lineRule="exact"/>
        <w:rPr>
          <w:rFonts w:ascii="Arial" w:cs="Arial" w:eastAsia="Arial" w:hAnsi="Arial"/>
          <w:sz w:val="16"/>
          <w:szCs w:val="16"/>
          <w:color w:val="255993"/>
        </w:rPr>
      </w:pPr>
    </w:p>
    <w:p>
      <w:pPr>
        <w:ind w:left="140" w:right="580" w:hanging="134"/>
        <w:spacing w:after="0" w:line="272" w:lineRule="auto"/>
        <w:tabs>
          <w:tab w:leader="none" w:pos="140" w:val="left"/>
        </w:tabs>
        <w:numPr>
          <w:ilvl w:val="0"/>
          <w:numId w:val="15"/>
        </w:numPr>
        <w:rPr>
          <w:rFonts w:ascii="Arial" w:cs="Arial" w:eastAsia="Arial" w:hAnsi="Arial"/>
          <w:sz w:val="16"/>
          <w:szCs w:val="16"/>
          <w:color w:val="255993"/>
        </w:rPr>
      </w:pPr>
      <w:r>
        <w:rPr>
          <w:rFonts w:ascii="Arial" w:cs="Arial" w:eastAsia="Arial" w:hAnsi="Arial"/>
          <w:sz w:val="16"/>
          <w:szCs w:val="16"/>
          <w:color w:val="auto"/>
        </w:rPr>
        <w:t>sets hiring policies with regard to the hiring of employees and former employees of our independent auditor and oversees compliance with such policies;</w:t>
      </w:r>
    </w:p>
    <w:p>
      <w:pPr>
        <w:spacing w:after="0" w:line="1" w:lineRule="exact"/>
        <w:rPr>
          <w:rFonts w:ascii="Arial" w:cs="Arial" w:eastAsia="Arial" w:hAnsi="Arial"/>
          <w:sz w:val="16"/>
          <w:szCs w:val="16"/>
          <w:color w:val="255993"/>
        </w:rPr>
      </w:pPr>
    </w:p>
    <w:p>
      <w:pPr>
        <w:ind w:left="140" w:hanging="134"/>
        <w:spacing w:after="0"/>
        <w:tabs>
          <w:tab w:leader="none" w:pos="140" w:val="left"/>
        </w:tabs>
        <w:numPr>
          <w:ilvl w:val="0"/>
          <w:numId w:val="15"/>
        </w:numPr>
        <w:rPr>
          <w:rFonts w:ascii="Arial" w:cs="Arial" w:eastAsia="Arial" w:hAnsi="Arial"/>
          <w:sz w:val="16"/>
          <w:szCs w:val="16"/>
          <w:color w:val="255993"/>
        </w:rPr>
      </w:pPr>
      <w:r>
        <w:rPr>
          <w:rFonts w:ascii="Arial" w:cs="Arial" w:eastAsia="Arial" w:hAnsi="Arial"/>
          <w:sz w:val="16"/>
          <w:szCs w:val="16"/>
          <w:color w:val="auto"/>
        </w:rPr>
        <w:t>reviews and monitors compliance with our Investment Policy and approves any amendments or deviations;</w:t>
      </w:r>
    </w:p>
    <w:p>
      <w:pPr>
        <w:spacing w:after="0" w:line="45" w:lineRule="exact"/>
        <w:rPr>
          <w:rFonts w:ascii="Arial" w:cs="Arial" w:eastAsia="Arial" w:hAnsi="Arial"/>
          <w:sz w:val="16"/>
          <w:szCs w:val="16"/>
          <w:color w:val="255993"/>
        </w:rPr>
      </w:pPr>
    </w:p>
    <w:p>
      <w:pPr>
        <w:ind w:left="140" w:hanging="134"/>
        <w:spacing w:after="0"/>
        <w:tabs>
          <w:tab w:leader="none" w:pos="140" w:val="left"/>
        </w:tabs>
        <w:numPr>
          <w:ilvl w:val="0"/>
          <w:numId w:val="15"/>
        </w:numPr>
        <w:rPr>
          <w:rFonts w:ascii="Arial" w:cs="Arial" w:eastAsia="Arial" w:hAnsi="Arial"/>
          <w:sz w:val="16"/>
          <w:szCs w:val="16"/>
          <w:color w:val="255993"/>
        </w:rPr>
      </w:pPr>
      <w:r>
        <w:rPr>
          <w:rFonts w:ascii="Arial" w:cs="Arial" w:eastAsia="Arial" w:hAnsi="Arial"/>
          <w:sz w:val="16"/>
          <w:szCs w:val="16"/>
          <w:color w:val="auto"/>
        </w:rPr>
        <w:t>reviews, approves and monitors related party transactions;</w:t>
      </w:r>
    </w:p>
    <w:p>
      <w:pPr>
        <w:spacing w:after="0" w:line="32" w:lineRule="exact"/>
        <w:rPr>
          <w:rFonts w:ascii="Arial" w:cs="Arial" w:eastAsia="Arial" w:hAnsi="Arial"/>
          <w:sz w:val="16"/>
          <w:szCs w:val="16"/>
          <w:color w:val="255993"/>
        </w:rPr>
      </w:pPr>
    </w:p>
    <w:p>
      <w:pPr>
        <w:ind w:left="140" w:hanging="134"/>
        <w:spacing w:after="0"/>
        <w:tabs>
          <w:tab w:leader="none" w:pos="140" w:val="left"/>
        </w:tabs>
        <w:numPr>
          <w:ilvl w:val="0"/>
          <w:numId w:val="15"/>
        </w:numPr>
        <w:rPr>
          <w:rFonts w:ascii="Arial" w:cs="Arial" w:eastAsia="Arial" w:hAnsi="Arial"/>
          <w:sz w:val="16"/>
          <w:szCs w:val="16"/>
          <w:color w:val="255993"/>
        </w:rPr>
      </w:pPr>
      <w:r>
        <w:rPr>
          <w:rFonts w:ascii="Arial" w:cs="Arial" w:eastAsia="Arial" w:hAnsi="Arial"/>
          <w:sz w:val="16"/>
          <w:szCs w:val="16"/>
          <w:color w:val="auto"/>
        </w:rPr>
        <w:t>develops, approves, reviews and monitors compliance with our Code of Business Conduct and Ethics;</w:t>
      </w:r>
    </w:p>
    <w:p>
      <w:pPr>
        <w:spacing w:after="0" w:line="45" w:lineRule="exact"/>
        <w:rPr>
          <w:rFonts w:ascii="Arial" w:cs="Arial" w:eastAsia="Arial" w:hAnsi="Arial"/>
          <w:sz w:val="16"/>
          <w:szCs w:val="16"/>
          <w:color w:val="255993"/>
        </w:rPr>
      </w:pPr>
    </w:p>
    <w:p>
      <w:pPr>
        <w:ind w:left="140" w:hanging="134"/>
        <w:spacing w:after="0"/>
        <w:tabs>
          <w:tab w:leader="none" w:pos="140" w:val="left"/>
        </w:tabs>
        <w:numPr>
          <w:ilvl w:val="0"/>
          <w:numId w:val="15"/>
        </w:numPr>
        <w:rPr>
          <w:rFonts w:ascii="Arial" w:cs="Arial" w:eastAsia="Arial" w:hAnsi="Arial"/>
          <w:sz w:val="16"/>
          <w:szCs w:val="16"/>
          <w:color w:val="255993"/>
        </w:rPr>
      </w:pPr>
      <w:r>
        <w:rPr>
          <w:rFonts w:ascii="Arial" w:cs="Arial" w:eastAsia="Arial" w:hAnsi="Arial"/>
          <w:sz w:val="16"/>
          <w:szCs w:val="16"/>
          <w:color w:val="auto"/>
        </w:rPr>
        <w:t>adopts and oversees procedures to address complaints regarding accounting, internal accounting controls or auditing matters;</w:t>
      </w:r>
    </w:p>
    <w:p>
      <w:pPr>
        <w:spacing w:after="0" w:line="45" w:lineRule="exact"/>
        <w:rPr>
          <w:rFonts w:ascii="Arial" w:cs="Arial" w:eastAsia="Arial" w:hAnsi="Arial"/>
          <w:sz w:val="16"/>
          <w:szCs w:val="16"/>
          <w:color w:val="255993"/>
        </w:rPr>
      </w:pPr>
    </w:p>
    <w:p>
      <w:pPr>
        <w:ind w:left="140" w:hanging="134"/>
        <w:spacing w:after="0"/>
        <w:tabs>
          <w:tab w:leader="none" w:pos="140" w:val="left"/>
        </w:tabs>
        <w:numPr>
          <w:ilvl w:val="0"/>
          <w:numId w:val="15"/>
        </w:numPr>
        <w:rPr>
          <w:rFonts w:ascii="Arial" w:cs="Arial" w:eastAsia="Arial" w:hAnsi="Arial"/>
          <w:sz w:val="16"/>
          <w:szCs w:val="16"/>
          <w:color w:val="255993"/>
        </w:rPr>
      </w:pPr>
      <w:r>
        <w:rPr>
          <w:rFonts w:ascii="Arial" w:cs="Arial" w:eastAsia="Arial" w:hAnsi="Arial"/>
          <w:sz w:val="16"/>
          <w:szCs w:val="16"/>
          <w:color w:val="auto"/>
        </w:rPr>
        <w:t>reviews and discusses with our management and the independent auditor our compliance with various laws;</w:t>
      </w:r>
    </w:p>
    <w:p>
      <w:pPr>
        <w:spacing w:after="0" w:line="32" w:lineRule="exact"/>
        <w:rPr>
          <w:rFonts w:ascii="Arial" w:cs="Arial" w:eastAsia="Arial" w:hAnsi="Arial"/>
          <w:sz w:val="16"/>
          <w:szCs w:val="16"/>
          <w:color w:val="255993"/>
        </w:rPr>
      </w:pPr>
    </w:p>
    <w:p>
      <w:pPr>
        <w:ind w:left="140" w:right="560" w:hanging="134"/>
        <w:spacing w:after="0" w:line="272" w:lineRule="auto"/>
        <w:tabs>
          <w:tab w:leader="none" w:pos="140" w:val="left"/>
        </w:tabs>
        <w:numPr>
          <w:ilvl w:val="0"/>
          <w:numId w:val="15"/>
        </w:numPr>
        <w:rPr>
          <w:rFonts w:ascii="Arial" w:cs="Arial" w:eastAsia="Arial" w:hAnsi="Arial"/>
          <w:sz w:val="16"/>
          <w:szCs w:val="16"/>
          <w:color w:val="255993"/>
        </w:rPr>
      </w:pPr>
      <w:r>
        <w:rPr>
          <w:rFonts w:ascii="Arial" w:cs="Arial" w:eastAsia="Arial" w:hAnsi="Arial"/>
          <w:sz w:val="16"/>
          <w:szCs w:val="16"/>
          <w:color w:val="auto"/>
        </w:rPr>
        <w:t>reviews and discusses with management our independent auditor guidelines and policies to identify, monitor, and address enterprise risks;</w:t>
      </w:r>
    </w:p>
    <w:p>
      <w:pPr>
        <w:spacing w:after="0" w:line="1" w:lineRule="exact"/>
        <w:rPr>
          <w:rFonts w:ascii="Arial" w:cs="Arial" w:eastAsia="Arial" w:hAnsi="Arial"/>
          <w:sz w:val="16"/>
          <w:szCs w:val="16"/>
          <w:color w:val="255993"/>
        </w:rPr>
      </w:pPr>
    </w:p>
    <w:p>
      <w:pPr>
        <w:ind w:left="140" w:hanging="134"/>
        <w:spacing w:after="0"/>
        <w:tabs>
          <w:tab w:leader="none" w:pos="140" w:val="left"/>
        </w:tabs>
        <w:numPr>
          <w:ilvl w:val="0"/>
          <w:numId w:val="15"/>
        </w:numPr>
        <w:rPr>
          <w:rFonts w:ascii="Arial" w:cs="Arial" w:eastAsia="Arial" w:hAnsi="Arial"/>
          <w:sz w:val="16"/>
          <w:szCs w:val="16"/>
          <w:color w:val="255993"/>
        </w:rPr>
      </w:pPr>
      <w:r>
        <w:rPr>
          <w:rFonts w:ascii="Arial" w:cs="Arial" w:eastAsia="Arial" w:hAnsi="Arial"/>
          <w:sz w:val="16"/>
          <w:szCs w:val="16"/>
          <w:color w:val="auto"/>
        </w:rPr>
        <w:t>engages independent legal, accounting and other advisors;</w:t>
      </w:r>
    </w:p>
    <w:p>
      <w:pPr>
        <w:spacing w:after="0" w:line="32" w:lineRule="exact"/>
        <w:rPr>
          <w:rFonts w:ascii="Arial" w:cs="Arial" w:eastAsia="Arial" w:hAnsi="Arial"/>
          <w:sz w:val="16"/>
          <w:szCs w:val="16"/>
          <w:color w:val="255993"/>
        </w:rPr>
      </w:pPr>
    </w:p>
    <w:p>
      <w:pPr>
        <w:ind w:left="140" w:hanging="134"/>
        <w:spacing w:after="0"/>
        <w:tabs>
          <w:tab w:leader="none" w:pos="140" w:val="left"/>
        </w:tabs>
        <w:numPr>
          <w:ilvl w:val="0"/>
          <w:numId w:val="15"/>
        </w:numPr>
        <w:rPr>
          <w:rFonts w:ascii="Arial" w:cs="Arial" w:eastAsia="Arial" w:hAnsi="Arial"/>
          <w:sz w:val="16"/>
          <w:szCs w:val="16"/>
          <w:color w:val="255993"/>
        </w:rPr>
      </w:pPr>
      <w:r>
        <w:rPr>
          <w:rFonts w:ascii="Arial" w:cs="Arial" w:eastAsia="Arial" w:hAnsi="Arial"/>
          <w:sz w:val="16"/>
          <w:szCs w:val="16"/>
          <w:color w:val="auto"/>
        </w:rPr>
        <w:t>provides appropriate funding for compensation to independent registered accounting firm, advisors and related expenses; and</w:t>
      </w:r>
    </w:p>
    <w:p>
      <w:pPr>
        <w:spacing w:after="0" w:line="45" w:lineRule="exact"/>
        <w:rPr>
          <w:rFonts w:ascii="Arial" w:cs="Arial" w:eastAsia="Arial" w:hAnsi="Arial"/>
          <w:sz w:val="16"/>
          <w:szCs w:val="16"/>
          <w:color w:val="255993"/>
        </w:rPr>
      </w:pPr>
    </w:p>
    <w:p>
      <w:pPr>
        <w:ind w:left="140" w:hanging="134"/>
        <w:spacing w:after="0"/>
        <w:tabs>
          <w:tab w:leader="none" w:pos="140" w:val="left"/>
        </w:tabs>
        <w:numPr>
          <w:ilvl w:val="0"/>
          <w:numId w:val="15"/>
        </w:numPr>
        <w:rPr>
          <w:rFonts w:ascii="Arial" w:cs="Arial" w:eastAsia="Arial" w:hAnsi="Arial"/>
          <w:sz w:val="16"/>
          <w:szCs w:val="16"/>
          <w:color w:val="255993"/>
        </w:rPr>
      </w:pPr>
      <w:r>
        <w:rPr>
          <w:rFonts w:ascii="Arial" w:cs="Arial" w:eastAsia="Arial" w:hAnsi="Arial"/>
          <w:sz w:val="16"/>
          <w:szCs w:val="16"/>
          <w:color w:val="auto"/>
        </w:rPr>
        <w:t>reviews the adequacy of the audit committee charter and recommend any proposed changes to our board of directors.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COMPENSATION COMMITTEE</w:t>
      </w:r>
    </w:p>
    <w:p>
      <w:pPr>
        <w:spacing w:after="0" w:line="113"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The members of our compensation committee are Ms. Kosacz and Messrs. Johnson and Pickering. Ms. Kosacz is the chairwoman of our compensation committee. Our compensation committee oversees our compensation policies, plans and benefits programs. Our compensation committee operates under a written charter that specifies its duties and responsibilities and satisfies the applicable listing standards of Nasdaq. A copy of the charter of our compensation committee is available on Board of our website at</w:t>
      </w:r>
    </w:p>
    <w:p>
      <w:pPr>
        <w:spacing w:after="0" w:line="378"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18</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126365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6460"/>
        <w:spacing w:after="0"/>
        <w:rPr>
          <w:sz w:val="20"/>
          <w:szCs w:val="20"/>
          <w:color w:val="auto"/>
        </w:rPr>
      </w:pPr>
      <w:r>
        <w:rPr>
          <w:rFonts w:ascii="Arial" w:cs="Arial" w:eastAsia="Arial" w:hAnsi="Arial"/>
          <w:sz w:val="14"/>
          <w:szCs w:val="14"/>
          <w:color w:val="255993"/>
        </w:rPr>
        <w:t>Board of Directors and Corporate Governance</w:t>
      </w:r>
    </w:p>
    <w:p>
      <w:pPr>
        <w:spacing w:after="0" w:line="104"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https://investors.athira.com/corporate-governance/governance-overview. During our fiscal year ended December 31, 2023, our compensation committee held four meetings (including regularly scheduled and special meetings).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w:t>
      </w:r>
    </w:p>
    <w:p>
      <w:pPr>
        <w:spacing w:after="0" w:line="140" w:lineRule="exact"/>
        <w:rPr>
          <w:sz w:val="20"/>
          <w:szCs w:val="20"/>
          <w:color w:val="auto"/>
        </w:rPr>
      </w:pPr>
    </w:p>
    <w:p>
      <w:pPr>
        <w:ind w:left="140" w:hanging="134"/>
        <w:spacing w:after="0"/>
        <w:tabs>
          <w:tab w:leader="none" w:pos="140" w:val="left"/>
        </w:tabs>
        <w:numPr>
          <w:ilvl w:val="0"/>
          <w:numId w:val="16"/>
        </w:numPr>
        <w:rPr>
          <w:rFonts w:ascii="Arial" w:cs="Arial" w:eastAsia="Arial" w:hAnsi="Arial"/>
          <w:sz w:val="16"/>
          <w:szCs w:val="16"/>
          <w:color w:val="255993"/>
        </w:rPr>
      </w:pPr>
      <w:r>
        <w:rPr>
          <w:rFonts w:ascii="Arial" w:cs="Arial" w:eastAsia="Arial" w:hAnsi="Arial"/>
          <w:sz w:val="16"/>
          <w:szCs w:val="16"/>
          <w:color w:val="auto"/>
        </w:rPr>
        <w:t>reviews and approves the corporate goals and objectives applicable to the compensation of our chief executive officer;</w:t>
      </w:r>
    </w:p>
    <w:p>
      <w:pPr>
        <w:spacing w:after="0" w:line="45" w:lineRule="exact"/>
        <w:rPr>
          <w:rFonts w:ascii="Arial" w:cs="Arial" w:eastAsia="Arial" w:hAnsi="Arial"/>
          <w:sz w:val="16"/>
          <w:szCs w:val="16"/>
          <w:color w:val="255993"/>
        </w:rPr>
      </w:pPr>
    </w:p>
    <w:p>
      <w:pPr>
        <w:ind w:left="140" w:hanging="134"/>
        <w:spacing w:after="0"/>
        <w:tabs>
          <w:tab w:leader="none" w:pos="140" w:val="left"/>
        </w:tabs>
        <w:numPr>
          <w:ilvl w:val="0"/>
          <w:numId w:val="16"/>
        </w:numPr>
        <w:rPr>
          <w:rFonts w:ascii="Arial" w:cs="Arial" w:eastAsia="Arial" w:hAnsi="Arial"/>
          <w:sz w:val="16"/>
          <w:szCs w:val="16"/>
          <w:color w:val="255993"/>
        </w:rPr>
      </w:pPr>
      <w:r>
        <w:rPr>
          <w:rFonts w:ascii="Arial" w:cs="Arial" w:eastAsia="Arial" w:hAnsi="Arial"/>
          <w:sz w:val="16"/>
          <w:szCs w:val="16"/>
          <w:color w:val="auto"/>
        </w:rPr>
        <w:t>reviews and approves the compensation and benefits for our executive officers;</w:t>
      </w:r>
    </w:p>
    <w:p>
      <w:pPr>
        <w:spacing w:after="0" w:line="45" w:lineRule="exact"/>
        <w:rPr>
          <w:rFonts w:ascii="Arial" w:cs="Arial" w:eastAsia="Arial" w:hAnsi="Arial"/>
          <w:sz w:val="16"/>
          <w:szCs w:val="16"/>
          <w:color w:val="255993"/>
        </w:rPr>
      </w:pPr>
    </w:p>
    <w:p>
      <w:pPr>
        <w:ind w:left="140" w:hanging="134"/>
        <w:spacing w:after="0"/>
        <w:tabs>
          <w:tab w:leader="none" w:pos="140" w:val="left"/>
        </w:tabs>
        <w:numPr>
          <w:ilvl w:val="0"/>
          <w:numId w:val="16"/>
        </w:numPr>
        <w:rPr>
          <w:rFonts w:ascii="Arial" w:cs="Arial" w:eastAsia="Arial" w:hAnsi="Arial"/>
          <w:sz w:val="16"/>
          <w:szCs w:val="16"/>
          <w:color w:val="255993"/>
        </w:rPr>
      </w:pPr>
      <w:r>
        <w:rPr>
          <w:rFonts w:ascii="Arial" w:cs="Arial" w:eastAsia="Arial" w:hAnsi="Arial"/>
          <w:sz w:val="16"/>
          <w:szCs w:val="16"/>
          <w:color w:val="auto"/>
        </w:rPr>
        <w:t>reviews, approves, and administers employee compensation plans;</w:t>
      </w:r>
    </w:p>
    <w:p>
      <w:pPr>
        <w:spacing w:after="0" w:line="32" w:lineRule="exact"/>
        <w:rPr>
          <w:rFonts w:ascii="Arial" w:cs="Arial" w:eastAsia="Arial" w:hAnsi="Arial"/>
          <w:sz w:val="16"/>
          <w:szCs w:val="16"/>
          <w:color w:val="255993"/>
        </w:rPr>
      </w:pPr>
    </w:p>
    <w:p>
      <w:pPr>
        <w:ind w:left="140" w:hanging="134"/>
        <w:spacing w:after="0"/>
        <w:tabs>
          <w:tab w:leader="none" w:pos="140" w:val="left"/>
        </w:tabs>
        <w:numPr>
          <w:ilvl w:val="0"/>
          <w:numId w:val="16"/>
        </w:numPr>
        <w:rPr>
          <w:rFonts w:ascii="Arial" w:cs="Arial" w:eastAsia="Arial" w:hAnsi="Arial"/>
          <w:sz w:val="16"/>
          <w:szCs w:val="16"/>
          <w:color w:val="255993"/>
        </w:rPr>
      </w:pPr>
      <w:r>
        <w:rPr>
          <w:rFonts w:ascii="Arial" w:cs="Arial" w:eastAsia="Arial" w:hAnsi="Arial"/>
          <w:sz w:val="16"/>
          <w:szCs w:val="16"/>
          <w:color w:val="auto"/>
        </w:rPr>
        <w:t>advises on proposals to stockholders on executive compensation matters;</w:t>
      </w:r>
    </w:p>
    <w:p>
      <w:pPr>
        <w:spacing w:after="0" w:line="45" w:lineRule="exact"/>
        <w:rPr>
          <w:rFonts w:ascii="Arial" w:cs="Arial" w:eastAsia="Arial" w:hAnsi="Arial"/>
          <w:sz w:val="16"/>
          <w:szCs w:val="16"/>
          <w:color w:val="255993"/>
        </w:rPr>
      </w:pPr>
    </w:p>
    <w:p>
      <w:pPr>
        <w:ind w:left="140" w:hanging="134"/>
        <w:spacing w:after="0"/>
        <w:tabs>
          <w:tab w:leader="none" w:pos="140" w:val="left"/>
        </w:tabs>
        <w:numPr>
          <w:ilvl w:val="0"/>
          <w:numId w:val="16"/>
        </w:numPr>
        <w:rPr>
          <w:rFonts w:ascii="Arial" w:cs="Arial" w:eastAsia="Arial" w:hAnsi="Arial"/>
          <w:sz w:val="16"/>
          <w:szCs w:val="16"/>
          <w:color w:val="255993"/>
        </w:rPr>
      </w:pPr>
      <w:r>
        <w:rPr>
          <w:rFonts w:ascii="Arial" w:cs="Arial" w:eastAsia="Arial" w:hAnsi="Arial"/>
          <w:sz w:val="16"/>
          <w:szCs w:val="16"/>
          <w:color w:val="auto"/>
        </w:rPr>
        <w:t>oversees compensation plans and programs;</w:t>
      </w:r>
    </w:p>
    <w:p>
      <w:pPr>
        <w:spacing w:after="0" w:line="45" w:lineRule="exact"/>
        <w:rPr>
          <w:rFonts w:ascii="Arial" w:cs="Arial" w:eastAsia="Arial" w:hAnsi="Arial"/>
          <w:sz w:val="16"/>
          <w:szCs w:val="16"/>
          <w:color w:val="255993"/>
        </w:rPr>
      </w:pPr>
    </w:p>
    <w:p>
      <w:pPr>
        <w:ind w:left="140" w:hanging="134"/>
        <w:spacing w:after="0"/>
        <w:tabs>
          <w:tab w:leader="none" w:pos="140" w:val="left"/>
        </w:tabs>
        <w:numPr>
          <w:ilvl w:val="0"/>
          <w:numId w:val="16"/>
        </w:numPr>
        <w:rPr>
          <w:rFonts w:ascii="Arial" w:cs="Arial" w:eastAsia="Arial" w:hAnsi="Arial"/>
          <w:sz w:val="16"/>
          <w:szCs w:val="16"/>
          <w:color w:val="255993"/>
        </w:rPr>
      </w:pPr>
      <w:r>
        <w:rPr>
          <w:rFonts w:ascii="Arial" w:cs="Arial" w:eastAsia="Arial" w:hAnsi="Arial"/>
          <w:sz w:val="16"/>
          <w:szCs w:val="16"/>
          <w:color w:val="auto"/>
        </w:rPr>
        <w:t>reviews and discusses our compensation policies and practices and the risks related thereto;</w:t>
      </w:r>
    </w:p>
    <w:p>
      <w:pPr>
        <w:spacing w:after="0" w:line="32" w:lineRule="exact"/>
        <w:rPr>
          <w:rFonts w:ascii="Arial" w:cs="Arial" w:eastAsia="Arial" w:hAnsi="Arial"/>
          <w:sz w:val="16"/>
          <w:szCs w:val="16"/>
          <w:color w:val="255993"/>
        </w:rPr>
      </w:pPr>
    </w:p>
    <w:p>
      <w:pPr>
        <w:ind w:left="140" w:hanging="134"/>
        <w:spacing w:after="0"/>
        <w:tabs>
          <w:tab w:leader="none" w:pos="140" w:val="left"/>
        </w:tabs>
        <w:numPr>
          <w:ilvl w:val="0"/>
          <w:numId w:val="16"/>
        </w:numPr>
        <w:rPr>
          <w:rFonts w:ascii="Arial" w:cs="Arial" w:eastAsia="Arial" w:hAnsi="Arial"/>
          <w:sz w:val="16"/>
          <w:szCs w:val="16"/>
          <w:color w:val="255993"/>
        </w:rPr>
      </w:pPr>
      <w:r>
        <w:rPr>
          <w:rFonts w:ascii="Arial" w:cs="Arial" w:eastAsia="Arial" w:hAnsi="Arial"/>
          <w:sz w:val="16"/>
          <w:szCs w:val="16"/>
          <w:color w:val="auto"/>
        </w:rPr>
        <w:t>approves the creation or revision of any clawback policy allowing us to recoup compensation paid to employees;</w:t>
      </w:r>
    </w:p>
    <w:p>
      <w:pPr>
        <w:spacing w:after="0" w:line="45" w:lineRule="exact"/>
        <w:rPr>
          <w:rFonts w:ascii="Arial" w:cs="Arial" w:eastAsia="Arial" w:hAnsi="Arial"/>
          <w:sz w:val="16"/>
          <w:szCs w:val="16"/>
          <w:color w:val="255993"/>
        </w:rPr>
      </w:pPr>
    </w:p>
    <w:p>
      <w:pPr>
        <w:ind w:left="140" w:right="200" w:hanging="134"/>
        <w:spacing w:after="0" w:line="272" w:lineRule="auto"/>
        <w:tabs>
          <w:tab w:leader="none" w:pos="140" w:val="left"/>
        </w:tabs>
        <w:numPr>
          <w:ilvl w:val="0"/>
          <w:numId w:val="16"/>
        </w:numPr>
        <w:rPr>
          <w:rFonts w:ascii="Arial" w:cs="Arial" w:eastAsia="Arial" w:hAnsi="Arial"/>
          <w:sz w:val="16"/>
          <w:szCs w:val="16"/>
          <w:color w:val="255993"/>
        </w:rPr>
      </w:pPr>
      <w:r>
        <w:rPr>
          <w:rFonts w:ascii="Arial" w:cs="Arial" w:eastAsia="Arial" w:hAnsi="Arial"/>
          <w:sz w:val="16"/>
          <w:szCs w:val="16"/>
          <w:color w:val="auto"/>
        </w:rPr>
        <w:t>reviews and recommends to the board of directors the form and amount of compensation to be paid for service on the board of directors and committees and for service as a chairperson of a committee;</w:t>
      </w:r>
    </w:p>
    <w:p>
      <w:pPr>
        <w:spacing w:after="0" w:line="1" w:lineRule="exact"/>
        <w:rPr>
          <w:rFonts w:ascii="Arial" w:cs="Arial" w:eastAsia="Arial" w:hAnsi="Arial"/>
          <w:sz w:val="16"/>
          <w:szCs w:val="16"/>
          <w:color w:val="255993"/>
        </w:rPr>
      </w:pPr>
    </w:p>
    <w:p>
      <w:pPr>
        <w:ind w:left="140" w:hanging="134"/>
        <w:spacing w:after="0"/>
        <w:tabs>
          <w:tab w:leader="none" w:pos="140" w:val="left"/>
        </w:tabs>
        <w:numPr>
          <w:ilvl w:val="0"/>
          <w:numId w:val="16"/>
        </w:numPr>
        <w:rPr>
          <w:rFonts w:ascii="Arial" w:cs="Arial" w:eastAsia="Arial" w:hAnsi="Arial"/>
          <w:sz w:val="16"/>
          <w:szCs w:val="16"/>
          <w:color w:val="255993"/>
        </w:rPr>
      </w:pPr>
      <w:r>
        <w:rPr>
          <w:rFonts w:ascii="Arial" w:cs="Arial" w:eastAsia="Arial" w:hAnsi="Arial"/>
          <w:sz w:val="16"/>
          <w:szCs w:val="16"/>
          <w:color w:val="auto"/>
        </w:rPr>
        <w:t>oversees regulatory compliance with respect to compensation matters;</w:t>
      </w:r>
    </w:p>
    <w:p>
      <w:pPr>
        <w:spacing w:after="0" w:line="32" w:lineRule="exact"/>
        <w:rPr>
          <w:rFonts w:ascii="Arial" w:cs="Arial" w:eastAsia="Arial" w:hAnsi="Arial"/>
          <w:sz w:val="16"/>
          <w:szCs w:val="16"/>
          <w:color w:val="255993"/>
        </w:rPr>
      </w:pPr>
    </w:p>
    <w:p>
      <w:pPr>
        <w:ind w:left="140" w:hanging="134"/>
        <w:spacing w:after="0"/>
        <w:tabs>
          <w:tab w:leader="none" w:pos="140" w:val="left"/>
        </w:tabs>
        <w:numPr>
          <w:ilvl w:val="0"/>
          <w:numId w:val="16"/>
        </w:numPr>
        <w:rPr>
          <w:rFonts w:ascii="Arial" w:cs="Arial" w:eastAsia="Arial" w:hAnsi="Arial"/>
          <w:sz w:val="16"/>
          <w:szCs w:val="16"/>
          <w:color w:val="255993"/>
        </w:rPr>
      </w:pPr>
      <w:r>
        <w:rPr>
          <w:rFonts w:ascii="Arial" w:cs="Arial" w:eastAsia="Arial" w:hAnsi="Arial"/>
          <w:sz w:val="16"/>
          <w:szCs w:val="16"/>
          <w:color w:val="auto"/>
        </w:rPr>
        <w:t>retains or obtains the advice of compensation consultants; and</w:t>
      </w:r>
    </w:p>
    <w:p>
      <w:pPr>
        <w:spacing w:after="0" w:line="45" w:lineRule="exact"/>
        <w:rPr>
          <w:rFonts w:ascii="Arial" w:cs="Arial" w:eastAsia="Arial" w:hAnsi="Arial"/>
          <w:sz w:val="16"/>
          <w:szCs w:val="16"/>
          <w:color w:val="255993"/>
        </w:rPr>
      </w:pPr>
    </w:p>
    <w:p>
      <w:pPr>
        <w:ind w:left="140" w:hanging="134"/>
        <w:spacing w:after="0"/>
        <w:tabs>
          <w:tab w:leader="none" w:pos="140" w:val="left"/>
        </w:tabs>
        <w:numPr>
          <w:ilvl w:val="0"/>
          <w:numId w:val="16"/>
        </w:numPr>
        <w:rPr>
          <w:rFonts w:ascii="Arial" w:cs="Arial" w:eastAsia="Arial" w:hAnsi="Arial"/>
          <w:sz w:val="16"/>
          <w:szCs w:val="16"/>
          <w:color w:val="255993"/>
        </w:rPr>
      </w:pPr>
      <w:r>
        <w:rPr>
          <w:rFonts w:ascii="Arial" w:cs="Arial" w:eastAsia="Arial" w:hAnsi="Arial"/>
          <w:sz w:val="16"/>
          <w:szCs w:val="16"/>
          <w:color w:val="auto"/>
        </w:rPr>
        <w:t>reviews the adequacy of the compensation committee charter and recommends any proposed changes to our board of directors.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NOMINATING AND CORPORATE GOVERNANCE COMMITTEE</w:t>
      </w:r>
    </w:p>
    <w:p>
      <w:pPr>
        <w:spacing w:after="0" w:line="113"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The members of our nominating and corporate governance committee are Mses. Romano and Kosacz and Messrs. Edelman and Panzara. Ms. Romano is the chairwoman of our nominating and corporate governance committee. Our nominating and corporate governance committee oversees and assists our board of directors in reviewing and recommending nominees for election as directors. Our nominating and corporate governance committee operates under a written charter that specifies its duties and responsibilities and satisfies the applicable listing standards of Nasdaq. A copy of the charter of our nominating and corporate governance committee is available on our website at https://investors.athira.com/corporate-governance/governance-overview. During our fiscal year ended December 31, 2023, our nominating and corporate governance committee held four meetings (including regularly scheduled and special meetings).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nominating and corporate governance committee:</w:t>
      </w:r>
    </w:p>
    <w:p>
      <w:pPr>
        <w:spacing w:after="0" w:line="127" w:lineRule="exact"/>
        <w:rPr>
          <w:sz w:val="20"/>
          <w:szCs w:val="20"/>
          <w:color w:val="auto"/>
        </w:rPr>
      </w:pPr>
    </w:p>
    <w:p>
      <w:pPr>
        <w:ind w:left="140" w:hanging="134"/>
        <w:spacing w:after="0"/>
        <w:tabs>
          <w:tab w:leader="none" w:pos="140" w:val="left"/>
        </w:tabs>
        <w:numPr>
          <w:ilvl w:val="0"/>
          <w:numId w:val="17"/>
        </w:numPr>
        <w:rPr>
          <w:rFonts w:ascii="Arial" w:cs="Arial" w:eastAsia="Arial" w:hAnsi="Arial"/>
          <w:sz w:val="16"/>
          <w:szCs w:val="16"/>
          <w:color w:val="255993"/>
        </w:rPr>
      </w:pPr>
      <w:r>
        <w:rPr>
          <w:rFonts w:ascii="Arial" w:cs="Arial" w:eastAsia="Arial" w:hAnsi="Arial"/>
          <w:sz w:val="16"/>
          <w:szCs w:val="16"/>
          <w:color w:val="auto"/>
        </w:rPr>
        <w:t>establishes procedures for the submission of candidates for election to our board of directors;</w:t>
      </w:r>
    </w:p>
    <w:p>
      <w:pPr>
        <w:spacing w:after="0" w:line="45" w:lineRule="exact"/>
        <w:rPr>
          <w:rFonts w:ascii="Arial" w:cs="Arial" w:eastAsia="Arial" w:hAnsi="Arial"/>
          <w:sz w:val="16"/>
          <w:szCs w:val="16"/>
          <w:color w:val="255993"/>
        </w:rPr>
      </w:pPr>
    </w:p>
    <w:p>
      <w:pPr>
        <w:ind w:left="140" w:hanging="134"/>
        <w:spacing w:after="0"/>
        <w:tabs>
          <w:tab w:leader="none" w:pos="140" w:val="left"/>
        </w:tabs>
        <w:numPr>
          <w:ilvl w:val="0"/>
          <w:numId w:val="17"/>
        </w:numPr>
        <w:rPr>
          <w:rFonts w:ascii="Arial" w:cs="Arial" w:eastAsia="Arial" w:hAnsi="Arial"/>
          <w:sz w:val="16"/>
          <w:szCs w:val="16"/>
          <w:color w:val="255993"/>
        </w:rPr>
      </w:pPr>
      <w:r>
        <w:rPr>
          <w:rFonts w:ascii="Arial" w:cs="Arial" w:eastAsia="Arial" w:hAnsi="Arial"/>
          <w:sz w:val="16"/>
          <w:szCs w:val="16"/>
          <w:color w:val="auto"/>
        </w:rPr>
        <w:t>conducts a periodic review of our succession planning process for the executive management team;</w:t>
      </w:r>
    </w:p>
    <w:p>
      <w:pPr>
        <w:spacing w:after="0" w:line="32" w:lineRule="exact"/>
        <w:rPr>
          <w:rFonts w:ascii="Arial" w:cs="Arial" w:eastAsia="Arial" w:hAnsi="Arial"/>
          <w:sz w:val="16"/>
          <w:szCs w:val="16"/>
          <w:color w:val="255993"/>
        </w:rPr>
      </w:pPr>
    </w:p>
    <w:p>
      <w:pPr>
        <w:ind w:left="140" w:right="160" w:hanging="134"/>
        <w:spacing w:after="0" w:line="272" w:lineRule="auto"/>
        <w:tabs>
          <w:tab w:leader="none" w:pos="140" w:val="left"/>
        </w:tabs>
        <w:numPr>
          <w:ilvl w:val="0"/>
          <w:numId w:val="17"/>
        </w:numPr>
        <w:rPr>
          <w:rFonts w:ascii="Arial" w:cs="Arial" w:eastAsia="Arial" w:hAnsi="Arial"/>
          <w:sz w:val="16"/>
          <w:szCs w:val="16"/>
          <w:color w:val="255993"/>
        </w:rPr>
      </w:pPr>
      <w:r>
        <w:rPr>
          <w:rFonts w:ascii="Arial" w:cs="Arial" w:eastAsia="Arial" w:hAnsi="Arial"/>
          <w:sz w:val="16"/>
          <w:szCs w:val="16"/>
          <w:color w:val="auto"/>
        </w:rPr>
        <w:t>reviews the structure and composition of each committee of our board of directors and makes recommendations for changes to the committees;</w:t>
      </w:r>
    </w:p>
    <w:p>
      <w:pPr>
        <w:spacing w:after="0" w:line="1" w:lineRule="exact"/>
        <w:rPr>
          <w:rFonts w:ascii="Arial" w:cs="Arial" w:eastAsia="Arial" w:hAnsi="Arial"/>
          <w:sz w:val="16"/>
          <w:szCs w:val="16"/>
          <w:color w:val="255993"/>
        </w:rPr>
      </w:pPr>
    </w:p>
    <w:p>
      <w:pPr>
        <w:ind w:left="140" w:right="600" w:hanging="134"/>
        <w:spacing w:after="0" w:line="272" w:lineRule="auto"/>
        <w:tabs>
          <w:tab w:leader="none" w:pos="140" w:val="left"/>
        </w:tabs>
        <w:numPr>
          <w:ilvl w:val="0"/>
          <w:numId w:val="17"/>
        </w:numPr>
        <w:rPr>
          <w:rFonts w:ascii="Arial" w:cs="Arial" w:eastAsia="Arial" w:hAnsi="Arial"/>
          <w:sz w:val="16"/>
          <w:szCs w:val="16"/>
          <w:color w:val="255993"/>
        </w:rPr>
      </w:pPr>
      <w:r>
        <w:rPr>
          <w:rFonts w:ascii="Arial" w:cs="Arial" w:eastAsia="Arial" w:hAnsi="Arial"/>
          <w:sz w:val="16"/>
          <w:szCs w:val="16"/>
          <w:color w:val="auto"/>
        </w:rPr>
        <w:t>develops and recommends to the board of directors corporate governance guidelines and annually reviews the corporate governance guidelines and their application;</w:t>
      </w:r>
    </w:p>
    <w:p>
      <w:pPr>
        <w:spacing w:after="0" w:line="1" w:lineRule="exact"/>
        <w:rPr>
          <w:rFonts w:ascii="Arial" w:cs="Arial" w:eastAsia="Arial" w:hAnsi="Arial"/>
          <w:sz w:val="16"/>
          <w:szCs w:val="16"/>
          <w:color w:val="255993"/>
        </w:rPr>
      </w:pPr>
    </w:p>
    <w:p>
      <w:pPr>
        <w:ind w:left="140" w:hanging="134"/>
        <w:spacing w:after="0"/>
        <w:tabs>
          <w:tab w:leader="none" w:pos="140" w:val="left"/>
        </w:tabs>
        <w:numPr>
          <w:ilvl w:val="0"/>
          <w:numId w:val="17"/>
        </w:numPr>
        <w:rPr>
          <w:rFonts w:ascii="Arial" w:cs="Arial" w:eastAsia="Arial" w:hAnsi="Arial"/>
          <w:sz w:val="16"/>
          <w:szCs w:val="16"/>
          <w:color w:val="255993"/>
        </w:rPr>
      </w:pPr>
      <w:r>
        <w:rPr>
          <w:rFonts w:ascii="Arial" w:cs="Arial" w:eastAsia="Arial" w:hAnsi="Arial"/>
          <w:sz w:val="16"/>
          <w:szCs w:val="16"/>
          <w:color w:val="auto"/>
        </w:rPr>
        <w:t>oversees governance practices;</w:t>
      </w:r>
    </w:p>
    <w:p>
      <w:pPr>
        <w:spacing w:after="0" w:line="32" w:lineRule="exact"/>
        <w:rPr>
          <w:rFonts w:ascii="Arial" w:cs="Arial" w:eastAsia="Arial" w:hAnsi="Arial"/>
          <w:sz w:val="16"/>
          <w:szCs w:val="16"/>
          <w:color w:val="255993"/>
        </w:rPr>
      </w:pPr>
    </w:p>
    <w:p>
      <w:pPr>
        <w:ind w:left="140" w:hanging="134"/>
        <w:spacing w:after="0"/>
        <w:tabs>
          <w:tab w:leader="none" w:pos="140" w:val="left"/>
        </w:tabs>
        <w:numPr>
          <w:ilvl w:val="0"/>
          <w:numId w:val="17"/>
        </w:numPr>
        <w:rPr>
          <w:rFonts w:ascii="Arial" w:cs="Arial" w:eastAsia="Arial" w:hAnsi="Arial"/>
          <w:sz w:val="16"/>
          <w:szCs w:val="16"/>
          <w:color w:val="255993"/>
        </w:rPr>
      </w:pPr>
      <w:r>
        <w:rPr>
          <w:rFonts w:ascii="Arial" w:cs="Arial" w:eastAsia="Arial" w:hAnsi="Arial"/>
          <w:sz w:val="16"/>
          <w:szCs w:val="16"/>
          <w:color w:val="auto"/>
        </w:rPr>
        <w:t>oversees our director orientation and continuing education;</w:t>
      </w:r>
    </w:p>
    <w:p>
      <w:pPr>
        <w:spacing w:after="0" w:line="45" w:lineRule="exact"/>
        <w:rPr>
          <w:rFonts w:ascii="Arial" w:cs="Arial" w:eastAsia="Arial" w:hAnsi="Arial"/>
          <w:sz w:val="16"/>
          <w:szCs w:val="16"/>
          <w:color w:val="255993"/>
        </w:rPr>
      </w:pPr>
    </w:p>
    <w:p>
      <w:pPr>
        <w:ind w:left="140" w:hanging="134"/>
        <w:spacing w:after="0"/>
        <w:tabs>
          <w:tab w:leader="none" w:pos="140" w:val="left"/>
        </w:tabs>
        <w:numPr>
          <w:ilvl w:val="0"/>
          <w:numId w:val="17"/>
        </w:numPr>
        <w:rPr>
          <w:rFonts w:ascii="Arial" w:cs="Arial" w:eastAsia="Arial" w:hAnsi="Arial"/>
          <w:sz w:val="16"/>
          <w:szCs w:val="16"/>
          <w:color w:val="255993"/>
        </w:rPr>
      </w:pPr>
      <w:r>
        <w:rPr>
          <w:rFonts w:ascii="Arial" w:cs="Arial" w:eastAsia="Arial" w:hAnsi="Arial"/>
          <w:sz w:val="16"/>
          <w:szCs w:val="16"/>
          <w:color w:val="auto"/>
        </w:rPr>
        <w:t>oversees the evaluation of our board of directors and its committees;</w:t>
      </w:r>
    </w:p>
    <w:p>
      <w:pPr>
        <w:spacing w:after="0" w:line="45" w:lineRule="exact"/>
        <w:rPr>
          <w:rFonts w:ascii="Arial" w:cs="Arial" w:eastAsia="Arial" w:hAnsi="Arial"/>
          <w:sz w:val="16"/>
          <w:szCs w:val="16"/>
          <w:color w:val="255993"/>
        </w:rPr>
      </w:pPr>
    </w:p>
    <w:p>
      <w:pPr>
        <w:ind w:left="140" w:right="860" w:hanging="134"/>
        <w:spacing w:after="0" w:line="264" w:lineRule="auto"/>
        <w:tabs>
          <w:tab w:leader="none" w:pos="140" w:val="left"/>
        </w:tabs>
        <w:numPr>
          <w:ilvl w:val="0"/>
          <w:numId w:val="17"/>
        </w:numPr>
        <w:rPr>
          <w:rFonts w:ascii="Arial" w:cs="Arial" w:eastAsia="Arial" w:hAnsi="Arial"/>
          <w:sz w:val="16"/>
          <w:szCs w:val="16"/>
          <w:color w:val="255993"/>
        </w:rPr>
      </w:pPr>
      <w:r>
        <w:rPr>
          <w:rFonts w:ascii="Arial" w:cs="Arial" w:eastAsia="Arial" w:hAnsi="Arial"/>
          <w:sz w:val="16"/>
          <w:szCs w:val="16"/>
          <w:color w:val="auto"/>
        </w:rPr>
        <w:t>administers policies and procedures for various constituencies that are involved with us to communicate with the non-management members of our board of directors;</w:t>
      </w:r>
    </w:p>
    <w:p>
      <w:pPr>
        <w:ind w:left="140" w:right="600" w:hanging="134"/>
        <w:spacing w:after="0" w:line="272" w:lineRule="auto"/>
        <w:tabs>
          <w:tab w:leader="none" w:pos="140" w:val="left"/>
        </w:tabs>
        <w:numPr>
          <w:ilvl w:val="0"/>
          <w:numId w:val="17"/>
        </w:numPr>
        <w:rPr>
          <w:rFonts w:ascii="Arial" w:cs="Arial" w:eastAsia="Arial" w:hAnsi="Arial"/>
          <w:sz w:val="16"/>
          <w:szCs w:val="16"/>
          <w:color w:val="255993"/>
        </w:rPr>
      </w:pPr>
      <w:r>
        <w:rPr>
          <w:rFonts w:ascii="Arial" w:cs="Arial" w:eastAsia="Arial" w:hAnsi="Arial"/>
          <w:sz w:val="16"/>
          <w:szCs w:val="16"/>
          <w:color w:val="auto"/>
        </w:rPr>
        <w:t>oversees and periodically reviews the Company’s ESG activities, programs and public disclosure, including in light of any feedback received from stockholders of the Company; and</w:t>
      </w:r>
    </w:p>
    <w:p>
      <w:pPr>
        <w:spacing w:after="0" w:line="1" w:lineRule="exact"/>
        <w:rPr>
          <w:rFonts w:ascii="Arial" w:cs="Arial" w:eastAsia="Arial" w:hAnsi="Arial"/>
          <w:sz w:val="16"/>
          <w:szCs w:val="16"/>
          <w:color w:val="255993"/>
        </w:rPr>
      </w:pPr>
    </w:p>
    <w:p>
      <w:pPr>
        <w:ind w:left="140" w:right="140" w:hanging="134"/>
        <w:spacing w:after="0" w:line="286" w:lineRule="auto"/>
        <w:tabs>
          <w:tab w:leader="none" w:pos="140" w:val="left"/>
        </w:tabs>
        <w:numPr>
          <w:ilvl w:val="0"/>
          <w:numId w:val="17"/>
        </w:numPr>
        <w:rPr>
          <w:rFonts w:ascii="Arial" w:cs="Arial" w:eastAsia="Arial" w:hAnsi="Arial"/>
          <w:sz w:val="16"/>
          <w:szCs w:val="16"/>
          <w:color w:val="255993"/>
        </w:rPr>
      </w:pPr>
      <w:r>
        <w:rPr>
          <w:rFonts w:ascii="Arial" w:cs="Arial" w:eastAsia="Arial" w:hAnsi="Arial"/>
          <w:sz w:val="16"/>
          <w:szCs w:val="16"/>
          <w:color w:val="auto"/>
        </w:rPr>
        <w:t>reviews the adequacy of the nominating and corporate governance committee charter and recommends any proposed changes to our board of directors.</w:t>
      </w:r>
    </w:p>
    <w:p>
      <w:pPr>
        <w:spacing w:after="0" w:line="160"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19</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255993"/>
        </w:rPr>
        <w:t>Board of Directors and Corporate Governance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CONSIDERATIONS IN EVALUATING DIRECTOR NOMINEES</w:t>
      </w:r>
    </w:p>
    <w:p>
      <w:pPr>
        <w:spacing w:after="0" w:line="108"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Our nominating and corporate governance committee uses a variety of methods for identifying and evaluating potential director nominees. In its evaluation of director candidates, including the current directors eligible for re-election, our nominating and corporate governance committee will consider the current size and composition of our board of directors and the needs of our board of directors and the respective committees of our board of directors and other director qualifications. While our board of directors has not established minimum qualifications for board members, some of the factors that our nominating and corporate governance committee considers in assessing director nominee qualifications include, without limitation, character, professional ethics and integrity, judgment, business acumen, proven achievement and competence in one’s field, the ability to exercise sound business judgment, tenure on the board of directors and skills that are complementary to the board of directors, an understanding of our business, an understanding of the responsibilities that are required of a member of the board of directors, other time commitments, diversity with respect to professional background, education, race, ethnicity, gender, age and geography, as well as other individual qualities and attributes that contribute to the total mix of viewpoints and experience represented on our board. Although our board of directors does not maintain a specific policy with respect to board diversity, our board of directors believes that the board of directors should be a diverse body, and the nominating and corporate governance committee considers a broad range of perspectives, backgrounds and experiences.</w:t>
      </w:r>
    </w:p>
    <w:p>
      <w:pPr>
        <w:spacing w:after="0" w:line="122"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If our nominating and corporate governance committee determines that an additional or replacement director is required, then the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board or management.</w:t>
      </w:r>
    </w:p>
    <w:p>
      <w:pPr>
        <w:spacing w:after="0" w:line="110"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After completing its review and evaluation of director candidates, our nominating and corporate governance committee recommends to our full board of directors the director nominees for selection. Our nominating and corporate governance committee has discretion to decide which individuals to recommend for nomination as directors and our board of directors has the final authority in determining the selection of director candidates for nomination to our board.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STOCKHOLDER RECOMMENDATIONS AND NOMINATIONS TO OUR BOARD OF DIRECTORS</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Our nominating and corporate governance committee will consider recommendations for candidates to our board of directors from stockholders in the same manner as candidates recommended to the committee from other sources. Our nominating and corporate governance committee will evaluate such recommendations in accordance with its charter, the Bylaws and the director nominee criteria described above.</w:t>
      </w:r>
    </w:p>
    <w:p>
      <w:pPr>
        <w:spacing w:after="0" w:line="110"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A stockholder that wants to recommend a candidate to our board of directors should direct the recommendation in writing by letter to our corporate secretary at Athira Pharma, Inc., 18706 North Creek Parkway, Suite 104, Bothell, Washington 98011, Attention: Corporate Secretary. Such recommendation must include the candidate’s name, home and business contact information, detailed biographical data, relevant qualifications, a signed letter from the candidate confirming willingness to serve, information regarding any relationships between the candidate and us and evidence of the recommending stockholder’s ownership of our capital stock. Such recommendation must also include a statement from the recommending stockholder in support of the candidate. Our nominating and corporate governance committee has discretion to decide which individuals to recommend for nomination as directors.</w:t>
      </w:r>
    </w:p>
    <w:p>
      <w:pPr>
        <w:spacing w:after="0" w:line="115"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Under the Bylaws, stockholders may also directly nominate persons for our board of directors. Any nomination must comply with the requirements set forth in the Bylaws and the rules and regulations of the SEC and should be sent in writing to our corporate secretary at the address above. To be timely for our next year’s annual meeting of stockholders, nominations must be received by our corporate secretary observing the deadlines discussed above under “</w:t>
      </w:r>
      <w:r>
        <w:rPr>
          <w:rFonts w:ascii="Arial" w:cs="Arial" w:eastAsia="Arial" w:hAnsi="Arial"/>
          <w:sz w:val="16"/>
          <w:szCs w:val="16"/>
          <w:i w:val="1"/>
          <w:iCs w:val="1"/>
          <w:color w:val="auto"/>
        </w:rPr>
        <w:t>Questions and Answers About the Proxy Materials and</w:t>
      </w:r>
      <w:r>
        <w:rPr>
          <w:rFonts w:ascii="Arial" w:cs="Arial" w:eastAsia="Arial" w:hAnsi="Arial"/>
          <w:sz w:val="16"/>
          <w:szCs w:val="16"/>
          <w:color w:val="auto"/>
        </w:rPr>
        <w:t xml:space="preserve"> </w:t>
      </w:r>
      <w:r>
        <w:rPr>
          <w:rFonts w:ascii="Arial" w:cs="Arial" w:eastAsia="Arial" w:hAnsi="Arial"/>
          <w:sz w:val="16"/>
          <w:szCs w:val="16"/>
          <w:i w:val="1"/>
          <w:iCs w:val="1"/>
          <w:color w:val="auto"/>
        </w:rPr>
        <w:t>our Annual Meeting—What is the deadline to propose actions for consideration at next year’s annual meeting of stockholders or to nominate individuals to serve as directors?</w:t>
      </w:r>
      <w:r>
        <w:rPr>
          <w:rFonts w:ascii="Arial" w:cs="Arial" w:eastAsia="Arial" w:hAnsi="Arial"/>
          <w:sz w:val="16"/>
          <w:szCs w:val="16"/>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COMMUNICATIONS WITH THE BOARD OF DIRECTORS</w:t>
      </w:r>
    </w:p>
    <w:p>
      <w:pPr>
        <w:spacing w:after="0" w:line="108"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Stockholders and other interested parties wishing to communicate directly with our non-employee directors, may do so by writing and sending the correspondence to our General Counsel and Corporate Secretary by mail to our principal executive offices at Athira Pharma, Inc., 18706 North Creek Parkway, Suite 104, Bothell, Washington 98011. Our General Counsel and Corporate Secretary, in</w:t>
      </w:r>
    </w:p>
    <w:p>
      <w:pPr>
        <w:spacing w:after="0" w:line="183"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20</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126365</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6460"/>
        <w:spacing w:after="0"/>
        <w:rPr>
          <w:sz w:val="20"/>
          <w:szCs w:val="20"/>
          <w:color w:val="auto"/>
        </w:rPr>
      </w:pPr>
      <w:r>
        <w:rPr>
          <w:rFonts w:ascii="Arial" w:cs="Arial" w:eastAsia="Arial" w:hAnsi="Arial"/>
          <w:sz w:val="14"/>
          <w:szCs w:val="14"/>
          <w:color w:val="255993"/>
        </w:rPr>
        <w:t>Board of Directors and Corporate Governance</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consultation with appropriate directors as necessary, will review all incoming communications and screen for communications that</w:t>
      </w:r>
    </w:p>
    <w:p>
      <w:pPr>
        <w:spacing w:after="0" w:line="21" w:lineRule="exact"/>
        <w:rPr>
          <w:sz w:val="20"/>
          <w:szCs w:val="20"/>
          <w:color w:val="auto"/>
        </w:rPr>
      </w:pPr>
    </w:p>
    <w:p>
      <w:pPr>
        <w:ind w:right="20" w:firstLine="6"/>
        <w:spacing w:after="0" w:line="249" w:lineRule="auto"/>
        <w:tabs>
          <w:tab w:leader="none" w:pos="243" w:val="left"/>
        </w:tabs>
        <w:numPr>
          <w:ilvl w:val="0"/>
          <w:numId w:val="18"/>
        </w:numPr>
        <w:rPr>
          <w:rFonts w:ascii="Arial" w:cs="Arial" w:eastAsia="Arial" w:hAnsi="Arial"/>
          <w:sz w:val="16"/>
          <w:szCs w:val="16"/>
          <w:color w:val="auto"/>
        </w:rPr>
      </w:pPr>
      <w:r>
        <w:rPr>
          <w:rFonts w:ascii="Arial" w:cs="Arial" w:eastAsia="Arial" w:hAnsi="Arial"/>
          <w:sz w:val="16"/>
          <w:szCs w:val="16"/>
          <w:color w:val="auto"/>
        </w:rPr>
        <w:t>are solicitations for products and services, (2) relate to matters of a personal nature not relevant for our stockholders to act on or for our board to consider and (3) matters that are of a type that render them improper or irrelevant to the functioning of our board or our business, for example, mass mailings, product complaints or inquiries, job inquiries, business solicitations and patently offensive or otherwise inappropriate material. If appropriate, our General Counsel and Corporate Secretary will route such communications to the appropriate director(s) or, if none is specified, then to the chairperson of the board of directors. These policies and procedures do not apply to communications to non-employee directors from our officers or directors who are stockholders or stockholder proposals submitted pursuant to Rule 14a-8 under the Exchange Act.</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POLICY PROHIBITING HEDGING OR PLEDGING OF SECURITIES</w:t>
      </w:r>
    </w:p>
    <w:p>
      <w:pPr>
        <w:spacing w:after="0" w:line="108"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Under our insider trading policy, our employees, including our executive officers, consultants, contractors, advisors, and the members of our board of directors are prohibited from, directly or indirectly, among other things, (1) engaging in short sales, (2) trading in publicly-traded options, such as puts and calls, and other derivative securities with respect to our securities (other than stock options, restricted stock units and other compensatory awards issued to such individuals by us), (3) purchasing financial instruments (including prepaid variable forward contracts, equity swaps, collars and exchange funds), or otherwise engaging in transactions that hedge or offset, or are designed to hedge or offset, any decrease in the market value of equity securities granted to them by us as part of their compensation or held, directly or indirectly, by them, (4) pledging any of our securities as collateral for any loans or as part of any other pledging transaction and (5) holding our securities in a margin account.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CODE OF BUSINESS CONDUCT AND ETHICS</w:t>
      </w:r>
    </w:p>
    <w:p>
      <w:pPr>
        <w:spacing w:after="0" w:line="108"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A copy of the code is posted on the investor section of our website at https://investors.athira.com/corporate-governance/ governance-overview. We will post amendments to our code of business conduct and ethics or waivers of our code of business conduct and ethics for directors and executive officers on the same website.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ENVIRONMENTAL, SOCIAL AND GOVERNANCE (ESG) AND RELATED MATTERS</w:t>
      </w:r>
    </w:p>
    <w:p>
      <w:pPr>
        <w:spacing w:after="0" w:line="10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Our ESG strategy is focused on areas that are material to our business and clearly connected to our business operations. We expect our ESG strategy to evolve as we continue to assess the appropriate framework for our disclosures and appropriate metrics to measure our actions. Our Nominating and Corporate Governance Committee has oversight of our overall ESG activities and programs, and we have discussed elsewhere in this proxy statement certain of our corporate governance policies and programs, including our Code of Business Conduct and Ethics, Corporate Governance Guidelines, Related-Person Transactions Policy, Clawback Policy, and overall commitment to diversity of experience, gender, race and ethnicity to seek to ensure that there is diversity of thought among our directors. We also require training and compliance with other corporate policies including our Whistleblower Policy, Global Anti-Bribery and Anti-Corruption Policy, and Insider Trading Policy and various quality assurance, cybersecurity and safety protocols.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CORE VALUES</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At Athira, we are guided by our mission to restore lives by advancing bold therapies for neuronal health, thoughtfully and urgently. We are committed to restoring, rebuilding and retaining connections. Our core values of people, integrity, collaboration, perseverance, transformation, inclusion and resourcefulness serve to guide us on our path toward achieving our mission. Our core values establish the foundation for how we conduct our business, how we interact with each other and our stakeholders, and how we evaluate employee performance.</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EMPLOYEES</w:t>
      </w:r>
    </w:p>
    <w:p>
      <w:pPr>
        <w:spacing w:after="0" w:line="113"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The hiring, engagement and retention of a skilled workforce is particularly important in the highly competitive scientific fields in which we operate. Our employees play a key role in our ability to achieve our mission, and we strive to attract, empower and retain highly qualified employees who are inspired, diverse and driven. To attract and retain top talent, we strive to create opportunities for our</w:t>
      </w:r>
    </w:p>
    <w:p>
      <w:pPr>
        <w:spacing w:after="0" w:line="374"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21</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126365</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255993"/>
        </w:rPr>
        <w:t>Board of Directors and Corporate Governance</w:t>
      </w:r>
    </w:p>
    <w:p>
      <w:pPr>
        <w:spacing w:after="0" w:line="10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employees to grow and develop in their careers and ensure they are supported by competitive compensation and a comprehensive benefits program.</w:t>
      </w:r>
    </w:p>
    <w:p>
      <w:pPr>
        <w:spacing w:after="0" w:line="8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We believe employee career development is an investment in our employees’ skills and our future. Additionally, we have an employee review program which evaluates employee performance and is designed to support our employees’ career and personal development, which ultimately contributes to achieving our mission.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We believe it is important to encourage open and direct communication at all levels in our organization.</w:t>
      </w:r>
    </w:p>
    <w:p>
      <w:pPr>
        <w:spacing w:after="0" w:line="140"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We believe we provide competitive and comprehensive financial compensation and benefits for our employees and that our programs are designed to meet our employees’ needs. In addition to salaries, these programs include, for eligible employees, new employee equity grants, additional discretionary equity awards, discretionary merit-based annual bonuses, a voluntary employee stock purchase program, a 401(k) plan with company matching, healthcare and insurance benefits, health flexible spending accounts, dependent care flexible spending accounts, professional development opportunities and reimbursement, paid time off, and family leave.</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INCREASING DIVERSITY AND INCLUSION IN CLINICAL TRIAL RECRUITMENT</w:t>
      </w:r>
    </w:p>
    <w:p>
      <w:pPr>
        <w:spacing w:after="0" w:line="11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We strive to increase diversity and inclusion in our clinical trials, as appropriate, and have taken steps to recruit historically underrepresented patient populations. We are committed to helping to make potential scientific advances available to all applicable patients.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OPEN-LABEL EXTENSION</w:t>
      </w:r>
    </w:p>
    <w:p>
      <w:pPr>
        <w:spacing w:after="0" w:line="113"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Finally, we have extended our ACT-AD and LIFT-AD clinical trials in an open label extension intended to continue access to our current drug candidate for Alzheimer’s disease in support of the patients in those clinical trials and their caregivers who are faced with such a devastating disease, again in furtherance of our mission to restore lives by advancing bold therapies for neuronal health, thoughtfully and urgently.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DIRECTOR COMPENSATION</w:t>
      </w:r>
    </w:p>
    <w:p>
      <w:pPr>
        <w:spacing w:after="0" w:line="10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following table provides information regarding compensation of our non-employee directors for service as directors for the year ended December 31, 2023.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337"/>
        </w:trPr>
        <w:tc>
          <w:tcPr>
            <w:tcW w:w="3660" w:type="dxa"/>
            <w:vAlign w:val="bottom"/>
            <w:shd w:val="clear" w:color="auto" w:fill="255993"/>
          </w:tcPr>
          <w:p>
            <w:pPr>
              <w:spacing w:after="0"/>
              <w:rPr>
                <w:sz w:val="24"/>
                <w:szCs w:val="24"/>
                <w:color w:val="auto"/>
              </w:rPr>
            </w:pPr>
          </w:p>
        </w:tc>
        <w:tc>
          <w:tcPr>
            <w:tcW w:w="2980" w:type="dxa"/>
            <w:vAlign w:val="bottom"/>
            <w:shd w:val="clear" w:color="auto" w:fill="255993"/>
          </w:tcPr>
          <w:p>
            <w:pPr>
              <w:jc w:val="right"/>
              <w:ind w:right="305"/>
              <w:spacing w:after="0"/>
              <w:rPr>
                <w:sz w:val="20"/>
                <w:szCs w:val="20"/>
                <w:color w:val="auto"/>
              </w:rPr>
            </w:pPr>
            <w:r>
              <w:rPr>
                <w:rFonts w:ascii="Arial" w:cs="Arial" w:eastAsia="Arial" w:hAnsi="Arial"/>
                <w:sz w:val="16"/>
                <w:szCs w:val="16"/>
                <w:b w:val="1"/>
                <w:bCs w:val="1"/>
                <w:color w:val="FFFFFF"/>
              </w:rPr>
              <w:t>Fees Earned or</w:t>
            </w:r>
          </w:p>
        </w:tc>
        <w:tc>
          <w:tcPr>
            <w:tcW w:w="1880" w:type="dxa"/>
            <w:vAlign w:val="bottom"/>
            <w:vMerge w:val="restart"/>
            <w:shd w:val="clear" w:color="auto" w:fill="255993"/>
          </w:tcPr>
          <w:p>
            <w:pPr>
              <w:jc w:val="right"/>
              <w:ind w:right="306"/>
              <w:spacing w:after="0"/>
              <w:rPr>
                <w:sz w:val="20"/>
                <w:szCs w:val="20"/>
                <w:color w:val="auto"/>
              </w:rPr>
            </w:pPr>
            <w:r>
              <w:rPr>
                <w:rFonts w:ascii="Arial" w:cs="Arial" w:eastAsia="Arial" w:hAnsi="Arial"/>
                <w:sz w:val="16"/>
                <w:szCs w:val="16"/>
                <w:b w:val="1"/>
                <w:bCs w:val="1"/>
                <w:color w:val="FFFFFF"/>
              </w:rPr>
              <w:t>Option Awards</w:t>
            </w:r>
          </w:p>
        </w:tc>
        <w:tc>
          <w:tcPr>
            <w:tcW w:w="880" w:type="dxa"/>
            <w:vAlign w:val="bottom"/>
            <w:shd w:val="clear" w:color="auto" w:fill="255993"/>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3660" w:type="dxa"/>
            <w:vAlign w:val="bottom"/>
            <w:shd w:val="clear" w:color="auto" w:fill="255993"/>
          </w:tcPr>
          <w:p>
            <w:pPr>
              <w:spacing w:after="0"/>
              <w:rPr>
                <w:sz w:val="14"/>
                <w:szCs w:val="14"/>
                <w:color w:val="auto"/>
              </w:rPr>
            </w:pPr>
          </w:p>
        </w:tc>
        <w:tc>
          <w:tcPr>
            <w:tcW w:w="2980" w:type="dxa"/>
            <w:vAlign w:val="bottom"/>
            <w:shd w:val="clear" w:color="auto" w:fill="255993"/>
          </w:tcPr>
          <w:p>
            <w:pPr>
              <w:jc w:val="right"/>
              <w:ind w:right="265"/>
              <w:spacing w:after="0" w:line="163" w:lineRule="exact"/>
              <w:rPr>
                <w:sz w:val="20"/>
                <w:szCs w:val="20"/>
                <w:color w:val="auto"/>
              </w:rPr>
            </w:pPr>
            <w:r>
              <w:rPr>
                <w:rFonts w:ascii="Arial" w:cs="Arial" w:eastAsia="Arial" w:hAnsi="Arial"/>
                <w:sz w:val="16"/>
                <w:szCs w:val="16"/>
                <w:b w:val="1"/>
                <w:bCs w:val="1"/>
                <w:color w:val="FFFFFF"/>
              </w:rPr>
              <w:t>Paid in Cash</w:t>
            </w:r>
          </w:p>
        </w:tc>
        <w:tc>
          <w:tcPr>
            <w:tcW w:w="1880" w:type="dxa"/>
            <w:vAlign w:val="bottom"/>
            <w:vMerge w:val="continue"/>
            <w:shd w:val="clear" w:color="auto" w:fill="255993"/>
          </w:tcPr>
          <w:p>
            <w:pPr>
              <w:spacing w:after="0"/>
              <w:rPr>
                <w:sz w:val="14"/>
                <w:szCs w:val="14"/>
                <w:color w:val="auto"/>
              </w:rPr>
            </w:pPr>
          </w:p>
        </w:tc>
        <w:tc>
          <w:tcPr>
            <w:tcW w:w="880" w:type="dxa"/>
            <w:vAlign w:val="bottom"/>
            <w:shd w:val="clear" w:color="auto" w:fill="255993"/>
          </w:tcPr>
          <w:p>
            <w:pPr>
              <w:jc w:val="right"/>
              <w:spacing w:after="0" w:line="163" w:lineRule="exact"/>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97"/>
        </w:trPr>
        <w:tc>
          <w:tcPr>
            <w:tcW w:w="3660" w:type="dxa"/>
            <w:vAlign w:val="bottom"/>
            <w:shd w:val="clear" w:color="auto" w:fill="255993"/>
          </w:tcPr>
          <w:p>
            <w:pPr>
              <w:ind w:left="100"/>
              <w:spacing w:after="0"/>
              <w:rPr>
                <w:sz w:val="20"/>
                <w:szCs w:val="20"/>
                <w:color w:val="auto"/>
              </w:rPr>
            </w:pPr>
            <w:r>
              <w:rPr>
                <w:rFonts w:ascii="Arial" w:cs="Arial" w:eastAsia="Arial" w:hAnsi="Arial"/>
                <w:sz w:val="16"/>
                <w:szCs w:val="16"/>
                <w:b w:val="1"/>
                <w:bCs w:val="1"/>
                <w:color w:val="FFFFFF"/>
              </w:rPr>
              <w:t>Name</w:t>
            </w:r>
          </w:p>
        </w:tc>
        <w:tc>
          <w:tcPr>
            <w:tcW w:w="2980" w:type="dxa"/>
            <w:vAlign w:val="bottom"/>
            <w:shd w:val="clear" w:color="auto" w:fill="255993"/>
          </w:tcPr>
          <w:p>
            <w:pPr>
              <w:jc w:val="right"/>
              <w:ind w:right="265"/>
              <w:spacing w:after="0"/>
              <w:rPr>
                <w:sz w:val="20"/>
                <w:szCs w:val="20"/>
                <w:color w:val="auto"/>
              </w:rPr>
            </w:pPr>
            <w:r>
              <w:rPr>
                <w:rFonts w:ascii="Arial" w:cs="Arial" w:eastAsia="Arial" w:hAnsi="Arial"/>
                <w:sz w:val="16"/>
                <w:szCs w:val="16"/>
                <w:b w:val="1"/>
                <w:bCs w:val="1"/>
                <w:color w:val="FFFFFF"/>
              </w:rPr>
              <w:t>($)</w:t>
            </w:r>
          </w:p>
        </w:tc>
        <w:tc>
          <w:tcPr>
            <w:tcW w:w="1880" w:type="dxa"/>
            <w:vAlign w:val="bottom"/>
            <w:shd w:val="clear" w:color="auto" w:fill="255993"/>
          </w:tcPr>
          <w:p>
            <w:pPr>
              <w:jc w:val="right"/>
              <w:ind w:right="306"/>
              <w:spacing w:after="0" w:line="297" w:lineRule="exact"/>
              <w:rPr>
                <w:sz w:val="20"/>
                <w:szCs w:val="20"/>
                <w:color w:val="auto"/>
              </w:rPr>
            </w:pPr>
            <w:r>
              <w:rPr>
                <w:rFonts w:ascii="Arial" w:cs="Arial" w:eastAsia="Arial" w:hAnsi="Arial"/>
                <w:sz w:val="16"/>
                <w:szCs w:val="16"/>
                <w:b w:val="1"/>
                <w:bCs w:val="1"/>
                <w:color w:val="FFFFFF"/>
              </w:rPr>
              <w:t>($)</w:t>
            </w:r>
            <w:r>
              <w:rPr>
                <w:rFonts w:ascii="Arial" w:cs="Arial" w:eastAsia="Arial" w:hAnsi="Arial"/>
                <w:sz w:val="26"/>
                <w:szCs w:val="26"/>
                <w:b w:val="1"/>
                <w:bCs w:val="1"/>
                <w:color w:val="FFFFFF"/>
                <w:vertAlign w:val="superscript"/>
              </w:rPr>
              <w:t>(1)</w:t>
            </w:r>
          </w:p>
        </w:tc>
        <w:tc>
          <w:tcPr>
            <w:tcW w:w="88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338"/>
        </w:trPr>
        <w:tc>
          <w:tcPr>
            <w:tcW w:w="3660" w:type="dxa"/>
            <w:vAlign w:val="bottom"/>
            <w:shd w:val="clear" w:color="auto" w:fill="EBEBEB"/>
          </w:tcPr>
          <w:p>
            <w:pPr>
              <w:ind w:left="100"/>
              <w:spacing w:after="0"/>
              <w:rPr>
                <w:sz w:val="20"/>
                <w:szCs w:val="20"/>
                <w:color w:val="auto"/>
              </w:rPr>
            </w:pPr>
            <w:r>
              <w:rPr>
                <w:rFonts w:ascii="Arial" w:cs="Arial" w:eastAsia="Arial" w:hAnsi="Arial"/>
                <w:sz w:val="14"/>
                <w:szCs w:val="14"/>
                <w:b w:val="1"/>
                <w:bCs w:val="1"/>
                <w:color w:val="auto"/>
              </w:rPr>
              <w:t>Kelly A. Romano</w:t>
            </w:r>
            <w:r>
              <w:rPr>
                <w:rFonts w:ascii="Arial" w:cs="Arial" w:eastAsia="Arial" w:hAnsi="Arial"/>
                <w:sz w:val="23"/>
                <w:szCs w:val="23"/>
                <w:color w:val="auto"/>
                <w:vertAlign w:val="superscript"/>
              </w:rPr>
              <w:t>(2)</w:t>
            </w:r>
          </w:p>
        </w:tc>
        <w:tc>
          <w:tcPr>
            <w:tcW w:w="2980" w:type="dxa"/>
            <w:vAlign w:val="bottom"/>
            <w:shd w:val="clear" w:color="auto" w:fill="EBEBEB"/>
          </w:tcPr>
          <w:p>
            <w:pPr>
              <w:jc w:val="right"/>
              <w:ind w:right="265"/>
              <w:spacing w:after="0"/>
              <w:rPr>
                <w:sz w:val="20"/>
                <w:szCs w:val="20"/>
                <w:color w:val="auto"/>
              </w:rPr>
            </w:pPr>
            <w:r>
              <w:rPr>
                <w:rFonts w:ascii="Arial" w:cs="Arial" w:eastAsia="Arial" w:hAnsi="Arial"/>
                <w:sz w:val="14"/>
                <w:szCs w:val="14"/>
                <w:color w:val="auto"/>
              </w:rPr>
              <w:t>77,810</w:t>
            </w:r>
          </w:p>
        </w:tc>
        <w:tc>
          <w:tcPr>
            <w:tcW w:w="1880" w:type="dxa"/>
            <w:vAlign w:val="bottom"/>
            <w:shd w:val="clear" w:color="auto" w:fill="EBEBEB"/>
          </w:tcPr>
          <w:p>
            <w:pPr>
              <w:jc w:val="right"/>
              <w:ind w:right="306"/>
              <w:spacing w:after="0"/>
              <w:rPr>
                <w:sz w:val="20"/>
                <w:szCs w:val="20"/>
                <w:color w:val="auto"/>
              </w:rPr>
            </w:pPr>
            <w:r>
              <w:rPr>
                <w:rFonts w:ascii="Arial" w:cs="Arial" w:eastAsia="Arial" w:hAnsi="Arial"/>
                <w:sz w:val="14"/>
                <w:szCs w:val="14"/>
                <w:color w:val="auto"/>
              </w:rPr>
              <w:t>46,871</w:t>
            </w:r>
          </w:p>
        </w:tc>
        <w:tc>
          <w:tcPr>
            <w:tcW w:w="880" w:type="dxa"/>
            <w:vAlign w:val="bottom"/>
            <w:shd w:val="clear" w:color="auto" w:fill="EBEBEB"/>
          </w:tcPr>
          <w:p>
            <w:pPr>
              <w:jc w:val="right"/>
              <w:spacing w:after="0"/>
              <w:rPr>
                <w:sz w:val="20"/>
                <w:szCs w:val="20"/>
                <w:color w:val="auto"/>
              </w:rPr>
            </w:pPr>
            <w:r>
              <w:rPr>
                <w:rFonts w:ascii="Arial" w:cs="Arial" w:eastAsia="Arial" w:hAnsi="Arial"/>
                <w:sz w:val="14"/>
                <w:szCs w:val="14"/>
                <w:color w:val="auto"/>
              </w:rPr>
              <w:t>124,681</w:t>
            </w:r>
          </w:p>
        </w:tc>
        <w:tc>
          <w:tcPr>
            <w:tcW w:w="0" w:type="dxa"/>
            <w:vAlign w:val="bottom"/>
          </w:tcPr>
          <w:p>
            <w:pPr>
              <w:spacing w:after="0"/>
              <w:rPr>
                <w:sz w:val="1"/>
                <w:szCs w:val="1"/>
                <w:color w:val="auto"/>
              </w:rPr>
            </w:pPr>
          </w:p>
        </w:tc>
      </w:tr>
      <w:tr>
        <w:trPr>
          <w:trHeight w:val="338"/>
        </w:trPr>
        <w:tc>
          <w:tcPr>
            <w:tcW w:w="3660" w:type="dxa"/>
            <w:vAlign w:val="bottom"/>
            <w:shd w:val="clear" w:color="auto" w:fill="FAFAFA"/>
          </w:tcPr>
          <w:p>
            <w:pPr>
              <w:ind w:left="100"/>
              <w:spacing w:after="0"/>
              <w:rPr>
                <w:sz w:val="20"/>
                <w:szCs w:val="20"/>
                <w:color w:val="auto"/>
              </w:rPr>
            </w:pPr>
            <w:r>
              <w:rPr>
                <w:rFonts w:ascii="Arial" w:cs="Arial" w:eastAsia="Arial" w:hAnsi="Arial"/>
                <w:sz w:val="14"/>
                <w:szCs w:val="14"/>
                <w:b w:val="1"/>
                <w:bCs w:val="1"/>
                <w:color w:val="auto"/>
              </w:rPr>
              <w:t>Joseph Edelman</w:t>
            </w:r>
            <w:r>
              <w:rPr>
                <w:rFonts w:ascii="Arial" w:cs="Arial" w:eastAsia="Arial" w:hAnsi="Arial"/>
                <w:sz w:val="23"/>
                <w:szCs w:val="23"/>
                <w:color w:val="auto"/>
                <w:vertAlign w:val="superscript"/>
              </w:rPr>
              <w:t>(3)</w:t>
            </w:r>
          </w:p>
        </w:tc>
        <w:tc>
          <w:tcPr>
            <w:tcW w:w="2980" w:type="dxa"/>
            <w:vAlign w:val="bottom"/>
            <w:shd w:val="clear" w:color="auto" w:fill="FAFAFA"/>
          </w:tcPr>
          <w:p>
            <w:pPr>
              <w:jc w:val="right"/>
              <w:ind w:right="265"/>
              <w:spacing w:after="0"/>
              <w:rPr>
                <w:sz w:val="20"/>
                <w:szCs w:val="20"/>
                <w:color w:val="auto"/>
              </w:rPr>
            </w:pPr>
            <w:r>
              <w:rPr>
                <w:rFonts w:ascii="Arial" w:cs="Arial" w:eastAsia="Arial" w:hAnsi="Arial"/>
                <w:sz w:val="14"/>
                <w:szCs w:val="14"/>
                <w:color w:val="auto"/>
              </w:rPr>
              <w:t>45,896</w:t>
            </w:r>
          </w:p>
        </w:tc>
        <w:tc>
          <w:tcPr>
            <w:tcW w:w="1880" w:type="dxa"/>
            <w:vAlign w:val="bottom"/>
            <w:shd w:val="clear" w:color="auto" w:fill="FAFAFA"/>
          </w:tcPr>
          <w:p>
            <w:pPr>
              <w:jc w:val="right"/>
              <w:ind w:right="306"/>
              <w:spacing w:after="0"/>
              <w:rPr>
                <w:sz w:val="20"/>
                <w:szCs w:val="20"/>
                <w:color w:val="auto"/>
              </w:rPr>
            </w:pPr>
            <w:r>
              <w:rPr>
                <w:rFonts w:ascii="Arial" w:cs="Arial" w:eastAsia="Arial" w:hAnsi="Arial"/>
                <w:sz w:val="14"/>
                <w:szCs w:val="14"/>
                <w:color w:val="auto"/>
              </w:rPr>
              <w:t>46,871</w:t>
            </w:r>
          </w:p>
        </w:tc>
        <w:tc>
          <w:tcPr>
            <w:tcW w:w="880" w:type="dxa"/>
            <w:vAlign w:val="bottom"/>
            <w:shd w:val="clear" w:color="auto" w:fill="FAFAFA"/>
          </w:tcPr>
          <w:p>
            <w:pPr>
              <w:jc w:val="right"/>
              <w:spacing w:after="0"/>
              <w:rPr>
                <w:sz w:val="20"/>
                <w:szCs w:val="20"/>
                <w:color w:val="auto"/>
              </w:rPr>
            </w:pPr>
            <w:r>
              <w:rPr>
                <w:rFonts w:ascii="Arial" w:cs="Arial" w:eastAsia="Arial" w:hAnsi="Arial"/>
                <w:sz w:val="14"/>
                <w:szCs w:val="14"/>
                <w:color w:val="auto"/>
              </w:rPr>
              <w:t>92,767</w:t>
            </w:r>
          </w:p>
        </w:tc>
        <w:tc>
          <w:tcPr>
            <w:tcW w:w="0" w:type="dxa"/>
            <w:vAlign w:val="bottom"/>
          </w:tcPr>
          <w:p>
            <w:pPr>
              <w:spacing w:after="0"/>
              <w:rPr>
                <w:sz w:val="1"/>
                <w:szCs w:val="1"/>
                <w:color w:val="auto"/>
              </w:rPr>
            </w:pPr>
          </w:p>
        </w:tc>
      </w:tr>
      <w:tr>
        <w:trPr>
          <w:trHeight w:val="338"/>
        </w:trPr>
        <w:tc>
          <w:tcPr>
            <w:tcW w:w="3660" w:type="dxa"/>
            <w:vAlign w:val="bottom"/>
            <w:shd w:val="clear" w:color="auto" w:fill="EBEBEB"/>
          </w:tcPr>
          <w:p>
            <w:pPr>
              <w:ind w:left="100"/>
              <w:spacing w:after="0"/>
              <w:rPr>
                <w:sz w:val="20"/>
                <w:szCs w:val="20"/>
                <w:color w:val="auto"/>
              </w:rPr>
            </w:pPr>
            <w:r>
              <w:rPr>
                <w:rFonts w:ascii="Arial" w:cs="Arial" w:eastAsia="Arial" w:hAnsi="Arial"/>
                <w:sz w:val="14"/>
                <w:szCs w:val="14"/>
                <w:b w:val="1"/>
                <w:bCs w:val="1"/>
                <w:color w:val="auto"/>
              </w:rPr>
              <w:t>John M. Fluke, Jr.</w:t>
            </w:r>
            <w:r>
              <w:rPr>
                <w:rFonts w:ascii="Arial" w:cs="Arial" w:eastAsia="Arial" w:hAnsi="Arial"/>
                <w:sz w:val="23"/>
                <w:szCs w:val="23"/>
                <w:color w:val="auto"/>
                <w:vertAlign w:val="superscript"/>
              </w:rPr>
              <w:t>(4)</w:t>
            </w:r>
          </w:p>
        </w:tc>
        <w:tc>
          <w:tcPr>
            <w:tcW w:w="2980" w:type="dxa"/>
            <w:vAlign w:val="bottom"/>
            <w:shd w:val="clear" w:color="auto" w:fill="EBEBEB"/>
          </w:tcPr>
          <w:p>
            <w:pPr>
              <w:jc w:val="right"/>
              <w:ind w:right="265"/>
              <w:spacing w:after="0"/>
              <w:rPr>
                <w:sz w:val="20"/>
                <w:szCs w:val="20"/>
                <w:color w:val="auto"/>
              </w:rPr>
            </w:pPr>
            <w:r>
              <w:rPr>
                <w:rFonts w:ascii="Arial" w:cs="Arial" w:eastAsia="Arial" w:hAnsi="Arial"/>
                <w:sz w:val="14"/>
                <w:szCs w:val="14"/>
                <w:color w:val="auto"/>
              </w:rPr>
              <w:t>49,016</w:t>
            </w:r>
          </w:p>
        </w:tc>
        <w:tc>
          <w:tcPr>
            <w:tcW w:w="1880" w:type="dxa"/>
            <w:vAlign w:val="bottom"/>
            <w:shd w:val="clear" w:color="auto" w:fill="EBEBEB"/>
          </w:tcPr>
          <w:p>
            <w:pPr>
              <w:jc w:val="right"/>
              <w:ind w:right="306"/>
              <w:spacing w:after="0"/>
              <w:rPr>
                <w:sz w:val="20"/>
                <w:szCs w:val="20"/>
                <w:color w:val="auto"/>
              </w:rPr>
            </w:pPr>
            <w:r>
              <w:rPr>
                <w:rFonts w:ascii="Arial" w:cs="Arial" w:eastAsia="Arial" w:hAnsi="Arial"/>
                <w:sz w:val="14"/>
                <w:szCs w:val="14"/>
                <w:color w:val="auto"/>
              </w:rPr>
              <w:t>46,871</w:t>
            </w:r>
          </w:p>
        </w:tc>
        <w:tc>
          <w:tcPr>
            <w:tcW w:w="880" w:type="dxa"/>
            <w:vAlign w:val="bottom"/>
            <w:shd w:val="clear" w:color="auto" w:fill="EBEBEB"/>
          </w:tcPr>
          <w:p>
            <w:pPr>
              <w:jc w:val="right"/>
              <w:spacing w:after="0"/>
              <w:rPr>
                <w:sz w:val="20"/>
                <w:szCs w:val="20"/>
                <w:color w:val="auto"/>
              </w:rPr>
            </w:pPr>
            <w:r>
              <w:rPr>
                <w:rFonts w:ascii="Arial" w:cs="Arial" w:eastAsia="Arial" w:hAnsi="Arial"/>
                <w:sz w:val="14"/>
                <w:szCs w:val="14"/>
                <w:color w:val="auto"/>
              </w:rPr>
              <w:t>95,887</w:t>
            </w:r>
          </w:p>
        </w:tc>
        <w:tc>
          <w:tcPr>
            <w:tcW w:w="0" w:type="dxa"/>
            <w:vAlign w:val="bottom"/>
          </w:tcPr>
          <w:p>
            <w:pPr>
              <w:spacing w:after="0"/>
              <w:rPr>
                <w:sz w:val="1"/>
                <w:szCs w:val="1"/>
                <w:color w:val="auto"/>
              </w:rPr>
            </w:pPr>
          </w:p>
        </w:tc>
      </w:tr>
      <w:tr>
        <w:trPr>
          <w:trHeight w:val="338"/>
        </w:trPr>
        <w:tc>
          <w:tcPr>
            <w:tcW w:w="3660" w:type="dxa"/>
            <w:vAlign w:val="bottom"/>
            <w:shd w:val="clear" w:color="auto" w:fill="FAFAFA"/>
          </w:tcPr>
          <w:p>
            <w:pPr>
              <w:ind w:left="100"/>
              <w:spacing w:after="0"/>
              <w:rPr>
                <w:sz w:val="20"/>
                <w:szCs w:val="20"/>
                <w:color w:val="auto"/>
              </w:rPr>
            </w:pPr>
            <w:r>
              <w:rPr>
                <w:rFonts w:ascii="Arial" w:cs="Arial" w:eastAsia="Arial" w:hAnsi="Arial"/>
                <w:sz w:val="14"/>
                <w:szCs w:val="14"/>
                <w:b w:val="1"/>
                <w:bCs w:val="1"/>
                <w:color w:val="auto"/>
              </w:rPr>
              <w:t>James A. Johnson</w:t>
            </w:r>
            <w:r>
              <w:rPr>
                <w:rFonts w:ascii="Arial" w:cs="Arial" w:eastAsia="Arial" w:hAnsi="Arial"/>
                <w:sz w:val="23"/>
                <w:szCs w:val="23"/>
                <w:color w:val="auto"/>
                <w:vertAlign w:val="superscript"/>
              </w:rPr>
              <w:t>(5)</w:t>
            </w:r>
          </w:p>
        </w:tc>
        <w:tc>
          <w:tcPr>
            <w:tcW w:w="2980" w:type="dxa"/>
            <w:vAlign w:val="bottom"/>
            <w:shd w:val="clear" w:color="auto" w:fill="FAFAFA"/>
          </w:tcPr>
          <w:p>
            <w:pPr>
              <w:jc w:val="right"/>
              <w:ind w:right="265"/>
              <w:spacing w:after="0"/>
              <w:rPr>
                <w:sz w:val="20"/>
                <w:szCs w:val="20"/>
                <w:color w:val="auto"/>
              </w:rPr>
            </w:pPr>
            <w:r>
              <w:rPr>
                <w:rFonts w:ascii="Arial" w:cs="Arial" w:eastAsia="Arial" w:hAnsi="Arial"/>
                <w:sz w:val="14"/>
                <w:szCs w:val="14"/>
                <w:color w:val="auto"/>
              </w:rPr>
              <w:t>60,000</w:t>
            </w:r>
          </w:p>
        </w:tc>
        <w:tc>
          <w:tcPr>
            <w:tcW w:w="1880" w:type="dxa"/>
            <w:vAlign w:val="bottom"/>
            <w:shd w:val="clear" w:color="auto" w:fill="FAFAFA"/>
          </w:tcPr>
          <w:p>
            <w:pPr>
              <w:jc w:val="right"/>
              <w:ind w:right="306"/>
              <w:spacing w:after="0"/>
              <w:rPr>
                <w:sz w:val="20"/>
                <w:szCs w:val="20"/>
                <w:color w:val="auto"/>
              </w:rPr>
            </w:pPr>
            <w:r>
              <w:rPr>
                <w:rFonts w:ascii="Arial" w:cs="Arial" w:eastAsia="Arial" w:hAnsi="Arial"/>
                <w:sz w:val="14"/>
                <w:szCs w:val="14"/>
                <w:color w:val="auto"/>
              </w:rPr>
              <w:t>46,871</w:t>
            </w:r>
          </w:p>
        </w:tc>
        <w:tc>
          <w:tcPr>
            <w:tcW w:w="880" w:type="dxa"/>
            <w:vAlign w:val="bottom"/>
            <w:shd w:val="clear" w:color="auto" w:fill="FAFAFA"/>
          </w:tcPr>
          <w:p>
            <w:pPr>
              <w:jc w:val="right"/>
              <w:spacing w:after="0"/>
              <w:rPr>
                <w:sz w:val="20"/>
                <w:szCs w:val="20"/>
                <w:color w:val="auto"/>
              </w:rPr>
            </w:pPr>
            <w:r>
              <w:rPr>
                <w:rFonts w:ascii="Arial" w:cs="Arial" w:eastAsia="Arial" w:hAnsi="Arial"/>
                <w:sz w:val="14"/>
                <w:szCs w:val="14"/>
                <w:color w:val="auto"/>
              </w:rPr>
              <w:t>106,871</w:t>
            </w:r>
          </w:p>
        </w:tc>
        <w:tc>
          <w:tcPr>
            <w:tcW w:w="0" w:type="dxa"/>
            <w:vAlign w:val="bottom"/>
          </w:tcPr>
          <w:p>
            <w:pPr>
              <w:spacing w:after="0"/>
              <w:rPr>
                <w:sz w:val="1"/>
                <w:szCs w:val="1"/>
                <w:color w:val="auto"/>
              </w:rPr>
            </w:pPr>
          </w:p>
        </w:tc>
      </w:tr>
      <w:tr>
        <w:trPr>
          <w:trHeight w:val="338"/>
        </w:trPr>
        <w:tc>
          <w:tcPr>
            <w:tcW w:w="3660" w:type="dxa"/>
            <w:vAlign w:val="bottom"/>
            <w:shd w:val="clear" w:color="auto" w:fill="EBEBEB"/>
          </w:tcPr>
          <w:p>
            <w:pPr>
              <w:ind w:left="100"/>
              <w:spacing w:after="0"/>
              <w:rPr>
                <w:sz w:val="20"/>
                <w:szCs w:val="20"/>
                <w:color w:val="auto"/>
              </w:rPr>
            </w:pPr>
            <w:r>
              <w:rPr>
                <w:rFonts w:ascii="Arial" w:cs="Arial" w:eastAsia="Arial" w:hAnsi="Arial"/>
                <w:sz w:val="14"/>
                <w:szCs w:val="14"/>
                <w:b w:val="1"/>
                <w:bCs w:val="1"/>
                <w:color w:val="auto"/>
              </w:rPr>
              <w:t>Barbara Kosacz</w:t>
            </w:r>
            <w:r>
              <w:rPr>
                <w:rFonts w:ascii="Arial" w:cs="Arial" w:eastAsia="Arial" w:hAnsi="Arial"/>
                <w:sz w:val="23"/>
                <w:szCs w:val="23"/>
                <w:color w:val="auto"/>
                <w:vertAlign w:val="superscript"/>
              </w:rPr>
              <w:t>(6)</w:t>
            </w:r>
          </w:p>
        </w:tc>
        <w:tc>
          <w:tcPr>
            <w:tcW w:w="2980" w:type="dxa"/>
            <w:vAlign w:val="bottom"/>
            <w:shd w:val="clear" w:color="auto" w:fill="EBEBEB"/>
          </w:tcPr>
          <w:p>
            <w:pPr>
              <w:jc w:val="right"/>
              <w:ind w:right="265"/>
              <w:spacing w:after="0"/>
              <w:rPr>
                <w:sz w:val="20"/>
                <w:szCs w:val="20"/>
                <w:color w:val="auto"/>
              </w:rPr>
            </w:pPr>
            <w:r>
              <w:rPr>
                <w:rFonts w:ascii="Arial" w:cs="Arial" w:eastAsia="Arial" w:hAnsi="Arial"/>
                <w:sz w:val="14"/>
                <w:szCs w:val="14"/>
                <w:color w:val="auto"/>
              </w:rPr>
              <w:t>55,516</w:t>
            </w:r>
          </w:p>
        </w:tc>
        <w:tc>
          <w:tcPr>
            <w:tcW w:w="1880" w:type="dxa"/>
            <w:vAlign w:val="bottom"/>
            <w:shd w:val="clear" w:color="auto" w:fill="EBEBEB"/>
          </w:tcPr>
          <w:p>
            <w:pPr>
              <w:jc w:val="right"/>
              <w:ind w:right="306"/>
              <w:spacing w:after="0"/>
              <w:rPr>
                <w:sz w:val="20"/>
                <w:szCs w:val="20"/>
                <w:color w:val="auto"/>
              </w:rPr>
            </w:pPr>
            <w:r>
              <w:rPr>
                <w:rFonts w:ascii="Arial" w:cs="Arial" w:eastAsia="Arial" w:hAnsi="Arial"/>
                <w:sz w:val="14"/>
                <w:szCs w:val="14"/>
                <w:color w:val="auto"/>
              </w:rPr>
              <w:t>46,871</w:t>
            </w:r>
          </w:p>
        </w:tc>
        <w:tc>
          <w:tcPr>
            <w:tcW w:w="880" w:type="dxa"/>
            <w:vAlign w:val="bottom"/>
            <w:shd w:val="clear" w:color="auto" w:fill="EBEBEB"/>
          </w:tcPr>
          <w:p>
            <w:pPr>
              <w:jc w:val="right"/>
              <w:spacing w:after="0"/>
              <w:rPr>
                <w:sz w:val="20"/>
                <w:szCs w:val="20"/>
                <w:color w:val="auto"/>
              </w:rPr>
            </w:pPr>
            <w:r>
              <w:rPr>
                <w:rFonts w:ascii="Arial" w:cs="Arial" w:eastAsia="Arial" w:hAnsi="Arial"/>
                <w:sz w:val="14"/>
                <w:szCs w:val="14"/>
                <w:color w:val="auto"/>
              </w:rPr>
              <w:t>102,387</w:t>
            </w:r>
          </w:p>
        </w:tc>
        <w:tc>
          <w:tcPr>
            <w:tcW w:w="0" w:type="dxa"/>
            <w:vAlign w:val="bottom"/>
          </w:tcPr>
          <w:p>
            <w:pPr>
              <w:spacing w:after="0"/>
              <w:rPr>
                <w:sz w:val="1"/>
                <w:szCs w:val="1"/>
                <w:color w:val="auto"/>
              </w:rPr>
            </w:pPr>
          </w:p>
        </w:tc>
      </w:tr>
      <w:tr>
        <w:trPr>
          <w:trHeight w:val="338"/>
        </w:trPr>
        <w:tc>
          <w:tcPr>
            <w:tcW w:w="3660" w:type="dxa"/>
            <w:vAlign w:val="bottom"/>
            <w:shd w:val="clear" w:color="auto" w:fill="FAFAFA"/>
          </w:tcPr>
          <w:p>
            <w:pPr>
              <w:ind w:left="100"/>
              <w:spacing w:after="0"/>
              <w:rPr>
                <w:sz w:val="20"/>
                <w:szCs w:val="20"/>
                <w:color w:val="auto"/>
              </w:rPr>
            </w:pPr>
            <w:r>
              <w:rPr>
                <w:rFonts w:ascii="Arial" w:cs="Arial" w:eastAsia="Arial" w:hAnsi="Arial"/>
                <w:sz w:val="14"/>
                <w:szCs w:val="14"/>
                <w:b w:val="1"/>
                <w:bCs w:val="1"/>
                <w:color w:val="auto"/>
              </w:rPr>
              <w:t>Michael Panzara, M.D., M.P.H.</w:t>
            </w:r>
            <w:r>
              <w:rPr>
                <w:rFonts w:ascii="Arial" w:cs="Arial" w:eastAsia="Arial" w:hAnsi="Arial"/>
                <w:sz w:val="23"/>
                <w:szCs w:val="23"/>
                <w:color w:val="auto"/>
                <w:vertAlign w:val="superscript"/>
              </w:rPr>
              <w:t>(7)</w:t>
            </w:r>
          </w:p>
        </w:tc>
        <w:tc>
          <w:tcPr>
            <w:tcW w:w="2980" w:type="dxa"/>
            <w:vAlign w:val="bottom"/>
            <w:shd w:val="clear" w:color="auto" w:fill="FAFAFA"/>
          </w:tcPr>
          <w:p>
            <w:pPr>
              <w:jc w:val="right"/>
              <w:ind w:right="265"/>
              <w:spacing w:after="0"/>
              <w:rPr>
                <w:sz w:val="20"/>
                <w:szCs w:val="20"/>
                <w:color w:val="auto"/>
              </w:rPr>
            </w:pPr>
            <w:r>
              <w:rPr>
                <w:rFonts w:ascii="Arial" w:cs="Arial" w:eastAsia="Arial" w:hAnsi="Arial"/>
                <w:sz w:val="14"/>
                <w:szCs w:val="14"/>
                <w:color w:val="auto"/>
              </w:rPr>
              <w:t>42,484</w:t>
            </w:r>
          </w:p>
        </w:tc>
        <w:tc>
          <w:tcPr>
            <w:tcW w:w="1880" w:type="dxa"/>
            <w:vAlign w:val="bottom"/>
            <w:shd w:val="clear" w:color="auto" w:fill="FAFAFA"/>
          </w:tcPr>
          <w:p>
            <w:pPr>
              <w:jc w:val="right"/>
              <w:ind w:right="306"/>
              <w:spacing w:after="0"/>
              <w:rPr>
                <w:sz w:val="20"/>
                <w:szCs w:val="20"/>
                <w:color w:val="auto"/>
              </w:rPr>
            </w:pPr>
            <w:r>
              <w:rPr>
                <w:rFonts w:ascii="Arial" w:cs="Arial" w:eastAsia="Arial" w:hAnsi="Arial"/>
                <w:sz w:val="14"/>
                <w:szCs w:val="14"/>
                <w:color w:val="auto"/>
              </w:rPr>
              <w:t>46,871</w:t>
            </w:r>
          </w:p>
        </w:tc>
        <w:tc>
          <w:tcPr>
            <w:tcW w:w="880" w:type="dxa"/>
            <w:vAlign w:val="bottom"/>
            <w:shd w:val="clear" w:color="auto" w:fill="FAFAFA"/>
          </w:tcPr>
          <w:p>
            <w:pPr>
              <w:jc w:val="right"/>
              <w:spacing w:after="0"/>
              <w:rPr>
                <w:sz w:val="20"/>
                <w:szCs w:val="20"/>
                <w:color w:val="auto"/>
              </w:rPr>
            </w:pPr>
            <w:r>
              <w:rPr>
                <w:rFonts w:ascii="Arial" w:cs="Arial" w:eastAsia="Arial" w:hAnsi="Arial"/>
                <w:sz w:val="14"/>
                <w:szCs w:val="14"/>
                <w:color w:val="auto"/>
              </w:rPr>
              <w:t>89,354</w:t>
            </w:r>
          </w:p>
        </w:tc>
        <w:tc>
          <w:tcPr>
            <w:tcW w:w="0" w:type="dxa"/>
            <w:vAlign w:val="bottom"/>
          </w:tcPr>
          <w:p>
            <w:pPr>
              <w:spacing w:after="0"/>
              <w:rPr>
                <w:sz w:val="1"/>
                <w:szCs w:val="1"/>
                <w:color w:val="auto"/>
              </w:rPr>
            </w:pPr>
          </w:p>
        </w:tc>
      </w:tr>
      <w:tr>
        <w:trPr>
          <w:trHeight w:val="378"/>
        </w:trPr>
        <w:tc>
          <w:tcPr>
            <w:tcW w:w="3660" w:type="dxa"/>
            <w:vAlign w:val="bottom"/>
            <w:shd w:val="clear" w:color="auto" w:fill="EBEBEB"/>
          </w:tcPr>
          <w:p>
            <w:pPr>
              <w:ind w:left="100"/>
              <w:spacing w:after="0"/>
              <w:rPr>
                <w:sz w:val="20"/>
                <w:szCs w:val="20"/>
                <w:color w:val="auto"/>
              </w:rPr>
            </w:pPr>
            <w:r>
              <w:rPr>
                <w:rFonts w:ascii="Arial" w:cs="Arial" w:eastAsia="Arial" w:hAnsi="Arial"/>
                <w:sz w:val="14"/>
                <w:szCs w:val="14"/>
                <w:b w:val="1"/>
                <w:bCs w:val="1"/>
                <w:color w:val="auto"/>
              </w:rPr>
              <w:t>Grant Pickering</w:t>
            </w:r>
            <w:r>
              <w:rPr>
                <w:rFonts w:ascii="Arial" w:cs="Arial" w:eastAsia="Arial" w:hAnsi="Arial"/>
                <w:sz w:val="23"/>
                <w:szCs w:val="23"/>
                <w:color w:val="auto"/>
                <w:vertAlign w:val="superscript"/>
              </w:rPr>
              <w:t>(8)</w:t>
            </w:r>
          </w:p>
        </w:tc>
        <w:tc>
          <w:tcPr>
            <w:tcW w:w="2980" w:type="dxa"/>
            <w:vAlign w:val="bottom"/>
            <w:shd w:val="clear" w:color="auto" w:fill="EBEBEB"/>
          </w:tcPr>
          <w:p>
            <w:pPr>
              <w:jc w:val="right"/>
              <w:ind w:right="265"/>
              <w:spacing w:after="0"/>
              <w:rPr>
                <w:sz w:val="20"/>
                <w:szCs w:val="20"/>
                <w:color w:val="auto"/>
              </w:rPr>
            </w:pPr>
            <w:r>
              <w:rPr>
                <w:rFonts w:ascii="Arial" w:cs="Arial" w:eastAsia="Arial" w:hAnsi="Arial"/>
                <w:sz w:val="14"/>
                <w:szCs w:val="14"/>
                <w:color w:val="auto"/>
              </w:rPr>
              <w:t>49,657</w:t>
            </w:r>
          </w:p>
        </w:tc>
        <w:tc>
          <w:tcPr>
            <w:tcW w:w="1880" w:type="dxa"/>
            <w:vAlign w:val="bottom"/>
            <w:shd w:val="clear" w:color="auto" w:fill="EBEBEB"/>
          </w:tcPr>
          <w:p>
            <w:pPr>
              <w:jc w:val="right"/>
              <w:ind w:right="306"/>
              <w:spacing w:after="0"/>
              <w:rPr>
                <w:sz w:val="20"/>
                <w:szCs w:val="20"/>
                <w:color w:val="auto"/>
              </w:rPr>
            </w:pPr>
            <w:r>
              <w:rPr>
                <w:rFonts w:ascii="Arial" w:cs="Arial" w:eastAsia="Arial" w:hAnsi="Arial"/>
                <w:sz w:val="14"/>
                <w:szCs w:val="14"/>
                <w:color w:val="auto"/>
              </w:rPr>
              <w:t>46,871</w:t>
            </w:r>
          </w:p>
        </w:tc>
        <w:tc>
          <w:tcPr>
            <w:tcW w:w="880" w:type="dxa"/>
            <w:vAlign w:val="bottom"/>
            <w:shd w:val="clear" w:color="auto" w:fill="EBEBEB"/>
          </w:tcPr>
          <w:p>
            <w:pPr>
              <w:jc w:val="right"/>
              <w:spacing w:after="0"/>
              <w:rPr>
                <w:sz w:val="20"/>
                <w:szCs w:val="20"/>
                <w:color w:val="auto"/>
              </w:rPr>
            </w:pPr>
            <w:r>
              <w:rPr>
                <w:rFonts w:ascii="Arial" w:cs="Arial" w:eastAsia="Arial" w:hAnsi="Arial"/>
                <w:sz w:val="14"/>
                <w:szCs w:val="14"/>
                <w:color w:val="auto"/>
              </w:rPr>
              <w:t>96,528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-239395</wp:posOffset>
            </wp:positionV>
            <wp:extent cx="59664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-453390</wp:posOffset>
            </wp:positionV>
            <wp:extent cx="59664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-668020</wp:posOffset>
            </wp:positionV>
            <wp:extent cx="59664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-882015</wp:posOffset>
            </wp:positionV>
            <wp:extent cx="59664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-1096645</wp:posOffset>
            </wp:positionV>
            <wp:extent cx="59664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-1310640</wp:posOffset>
            </wp:positionV>
            <wp:extent cx="59664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-1525270</wp:posOffset>
            </wp:positionV>
            <wp:extent cx="59664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33" w:lineRule="exact"/>
        <w:rPr>
          <w:sz w:val="20"/>
          <w:szCs w:val="20"/>
          <w:color w:val="auto"/>
        </w:rPr>
      </w:pPr>
    </w:p>
    <w:p>
      <w:pPr>
        <w:ind w:left="320" w:right="80" w:hanging="224"/>
        <w:spacing w:after="0" w:line="256" w:lineRule="auto"/>
        <w:tabs>
          <w:tab w:leader="none" w:pos="320" w:val="left"/>
        </w:tabs>
        <w:numPr>
          <w:ilvl w:val="0"/>
          <w:numId w:val="19"/>
        </w:numPr>
        <w:rPr>
          <w:rFonts w:ascii="Arial" w:cs="Arial" w:eastAsia="Arial" w:hAnsi="Arial"/>
          <w:sz w:val="14"/>
          <w:szCs w:val="14"/>
          <w:color w:val="255993"/>
        </w:rPr>
      </w:pPr>
      <w:r>
        <w:rPr>
          <w:rFonts w:ascii="Arial" w:cs="Arial" w:eastAsia="Arial" w:hAnsi="Arial"/>
          <w:sz w:val="14"/>
          <w:szCs w:val="14"/>
          <w:color w:val="255993"/>
        </w:rPr>
        <w:t>In accordance with SEC rules, the amount in this column reflects the aggregate grant date fair value of stock options granted during 2023 computed in accordance with Accounting Standards Codification (ASC) Topic 718, rather than the amount paid or realized by the director. For a discussion of valuation assumptions, see the Note 9 to our financial statements included in our Annual Report on Form 10-K for the year ended December 31, 2023, filed with the SEC on February 22, 2024.</w:t>
      </w:r>
    </w:p>
    <w:p>
      <w:pPr>
        <w:spacing w:after="0" w:line="42" w:lineRule="exact"/>
        <w:rPr>
          <w:rFonts w:ascii="Arial" w:cs="Arial" w:eastAsia="Arial" w:hAnsi="Arial"/>
          <w:sz w:val="14"/>
          <w:szCs w:val="14"/>
          <w:color w:val="255993"/>
        </w:rPr>
      </w:pPr>
    </w:p>
    <w:p>
      <w:pPr>
        <w:ind w:left="320" w:right="560" w:hanging="224"/>
        <w:spacing w:after="0" w:line="285" w:lineRule="auto"/>
        <w:tabs>
          <w:tab w:leader="none" w:pos="320" w:val="left"/>
        </w:tabs>
        <w:numPr>
          <w:ilvl w:val="0"/>
          <w:numId w:val="19"/>
        </w:numPr>
        <w:rPr>
          <w:rFonts w:ascii="Arial" w:cs="Arial" w:eastAsia="Arial" w:hAnsi="Arial"/>
          <w:sz w:val="14"/>
          <w:szCs w:val="14"/>
          <w:color w:val="255993"/>
        </w:rPr>
      </w:pPr>
      <w:r>
        <w:rPr>
          <w:rFonts w:ascii="Arial" w:cs="Arial" w:eastAsia="Arial" w:hAnsi="Arial"/>
          <w:sz w:val="14"/>
          <w:szCs w:val="14"/>
          <w:color w:val="255993"/>
        </w:rPr>
        <w:t>Ms. Romano was appointed to our board of directors in December 2020. As of December 31, 2023, Ms. Romano held stock options to purchase 62,513 shares of our common stock.</w:t>
      </w:r>
    </w:p>
    <w:p>
      <w:pPr>
        <w:spacing w:after="0" w:line="36" w:lineRule="exact"/>
        <w:rPr>
          <w:rFonts w:ascii="Arial" w:cs="Arial" w:eastAsia="Arial" w:hAnsi="Arial"/>
          <w:sz w:val="14"/>
          <w:szCs w:val="14"/>
          <w:color w:val="255993"/>
        </w:rPr>
      </w:pPr>
    </w:p>
    <w:p>
      <w:pPr>
        <w:ind w:left="320" w:right="60" w:hanging="224"/>
        <w:spacing w:after="0" w:line="285" w:lineRule="auto"/>
        <w:tabs>
          <w:tab w:leader="none" w:pos="320" w:val="left"/>
        </w:tabs>
        <w:numPr>
          <w:ilvl w:val="0"/>
          <w:numId w:val="19"/>
        </w:numPr>
        <w:rPr>
          <w:rFonts w:ascii="Arial" w:cs="Arial" w:eastAsia="Arial" w:hAnsi="Arial"/>
          <w:sz w:val="14"/>
          <w:szCs w:val="14"/>
          <w:color w:val="255993"/>
        </w:rPr>
      </w:pPr>
      <w:r>
        <w:rPr>
          <w:rFonts w:ascii="Arial" w:cs="Arial" w:eastAsia="Arial" w:hAnsi="Arial"/>
          <w:sz w:val="14"/>
          <w:szCs w:val="14"/>
          <w:color w:val="255993"/>
        </w:rPr>
        <w:t>Mr. Edelman became a member of our board of directors in May 2020. As of December 31, 2023, Mr. Edelman held stock options to purchase 76,384 shares of our common stock.</w:t>
      </w:r>
    </w:p>
    <w:p>
      <w:pPr>
        <w:spacing w:after="0" w:line="36" w:lineRule="exact"/>
        <w:rPr>
          <w:rFonts w:ascii="Arial" w:cs="Arial" w:eastAsia="Arial" w:hAnsi="Arial"/>
          <w:sz w:val="14"/>
          <w:szCs w:val="14"/>
          <w:color w:val="255993"/>
        </w:rPr>
      </w:pPr>
    </w:p>
    <w:p>
      <w:pPr>
        <w:ind w:left="320" w:right="100" w:hanging="224"/>
        <w:spacing w:after="0" w:line="285" w:lineRule="auto"/>
        <w:tabs>
          <w:tab w:leader="none" w:pos="320" w:val="left"/>
        </w:tabs>
        <w:numPr>
          <w:ilvl w:val="0"/>
          <w:numId w:val="19"/>
        </w:numPr>
        <w:rPr>
          <w:rFonts w:ascii="Arial" w:cs="Arial" w:eastAsia="Arial" w:hAnsi="Arial"/>
          <w:sz w:val="14"/>
          <w:szCs w:val="14"/>
          <w:color w:val="255993"/>
        </w:rPr>
      </w:pPr>
      <w:r>
        <w:rPr>
          <w:rFonts w:ascii="Arial" w:cs="Arial" w:eastAsia="Arial" w:hAnsi="Arial"/>
          <w:sz w:val="14"/>
          <w:szCs w:val="14"/>
          <w:color w:val="255993"/>
        </w:rPr>
        <w:t>Mr. Fluke became a member of our board of directors in December 2014. As of December 31, 2023, Mr. Fluke held stock options to purchase 76,384 shares of our common stock.</w:t>
      </w:r>
    </w:p>
    <w:p>
      <w:pPr>
        <w:spacing w:after="0" w:line="22" w:lineRule="exact"/>
        <w:rPr>
          <w:rFonts w:ascii="Arial" w:cs="Arial" w:eastAsia="Arial" w:hAnsi="Arial"/>
          <w:sz w:val="14"/>
          <w:szCs w:val="14"/>
          <w:color w:val="255993"/>
        </w:rPr>
      </w:pPr>
    </w:p>
    <w:p>
      <w:pPr>
        <w:ind w:left="320" w:right="560" w:hanging="224"/>
        <w:spacing w:after="0" w:line="285" w:lineRule="auto"/>
        <w:tabs>
          <w:tab w:leader="none" w:pos="320" w:val="left"/>
        </w:tabs>
        <w:numPr>
          <w:ilvl w:val="0"/>
          <w:numId w:val="19"/>
        </w:numPr>
        <w:rPr>
          <w:rFonts w:ascii="Arial" w:cs="Arial" w:eastAsia="Arial" w:hAnsi="Arial"/>
          <w:sz w:val="14"/>
          <w:szCs w:val="14"/>
          <w:color w:val="255993"/>
        </w:rPr>
      </w:pPr>
      <w:r>
        <w:rPr>
          <w:rFonts w:ascii="Arial" w:cs="Arial" w:eastAsia="Arial" w:hAnsi="Arial"/>
          <w:sz w:val="14"/>
          <w:szCs w:val="14"/>
          <w:color w:val="255993"/>
        </w:rPr>
        <w:t>Mr. Johnson became a member of our board of directors in August 2020. As of December 31, 2023, Mr. Johnson held stock options to purchase 76,384 shares of our common stock.</w:t>
      </w:r>
    </w:p>
    <w:p>
      <w:pPr>
        <w:spacing w:after="0" w:line="158"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22</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126365</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4"/>
          <w:szCs w:val="14"/>
          <w:color w:val="255993"/>
        </w:rPr>
        <w:t>Board of Directors and Corporate Governance</w:t>
      </w:r>
    </w:p>
    <w:p>
      <w:pPr>
        <w:spacing w:after="0" w:line="96" w:lineRule="exact"/>
        <w:rPr>
          <w:sz w:val="20"/>
          <w:szCs w:val="20"/>
          <w:color w:val="auto"/>
        </w:rPr>
      </w:pPr>
    </w:p>
    <w:p>
      <w:pPr>
        <w:ind w:left="320" w:right="60" w:hanging="224"/>
        <w:spacing w:after="0" w:line="285" w:lineRule="auto"/>
        <w:tabs>
          <w:tab w:leader="none" w:pos="320" w:val="left"/>
        </w:tabs>
        <w:numPr>
          <w:ilvl w:val="0"/>
          <w:numId w:val="20"/>
        </w:numPr>
        <w:rPr>
          <w:rFonts w:ascii="Arial" w:cs="Arial" w:eastAsia="Arial" w:hAnsi="Arial"/>
          <w:sz w:val="14"/>
          <w:szCs w:val="14"/>
          <w:color w:val="255993"/>
        </w:rPr>
      </w:pPr>
      <w:r>
        <w:rPr>
          <w:rFonts w:ascii="Arial" w:cs="Arial" w:eastAsia="Arial" w:hAnsi="Arial"/>
          <w:sz w:val="14"/>
          <w:szCs w:val="14"/>
          <w:color w:val="255993"/>
        </w:rPr>
        <w:t>Ms. Kosacz became a member of our board of directors in March 2021. As of December 31, 2023, Ms. Kosacz held stock options to purchase 62,513 shares of our common stock.</w:t>
      </w:r>
    </w:p>
    <w:p>
      <w:pPr>
        <w:spacing w:after="0" w:line="36" w:lineRule="exact"/>
        <w:rPr>
          <w:rFonts w:ascii="Arial" w:cs="Arial" w:eastAsia="Arial" w:hAnsi="Arial"/>
          <w:sz w:val="14"/>
          <w:szCs w:val="14"/>
          <w:color w:val="255993"/>
        </w:rPr>
      </w:pPr>
    </w:p>
    <w:p>
      <w:pPr>
        <w:ind w:left="320" w:right="300" w:hanging="224"/>
        <w:spacing w:after="0" w:line="285" w:lineRule="auto"/>
        <w:tabs>
          <w:tab w:leader="none" w:pos="320" w:val="left"/>
        </w:tabs>
        <w:numPr>
          <w:ilvl w:val="0"/>
          <w:numId w:val="20"/>
        </w:numPr>
        <w:rPr>
          <w:rFonts w:ascii="Arial" w:cs="Arial" w:eastAsia="Arial" w:hAnsi="Arial"/>
          <w:sz w:val="14"/>
          <w:szCs w:val="14"/>
          <w:color w:val="255993"/>
        </w:rPr>
      </w:pPr>
      <w:r>
        <w:rPr>
          <w:rFonts w:ascii="Arial" w:cs="Arial" w:eastAsia="Arial" w:hAnsi="Arial"/>
          <w:sz w:val="14"/>
          <w:szCs w:val="14"/>
          <w:color w:val="255993"/>
        </w:rPr>
        <w:t>Dr. Panzara was appointed to our board of directors in March 2022. As of December 31, 2023, Dr. Panzara held stock options to purchase 50,953 shares of our common stock.</w:t>
      </w:r>
    </w:p>
    <w:p>
      <w:pPr>
        <w:spacing w:after="0" w:line="36" w:lineRule="exact"/>
        <w:rPr>
          <w:rFonts w:ascii="Arial" w:cs="Arial" w:eastAsia="Arial" w:hAnsi="Arial"/>
          <w:sz w:val="14"/>
          <w:szCs w:val="14"/>
          <w:color w:val="255993"/>
        </w:rPr>
      </w:pPr>
    </w:p>
    <w:p>
      <w:pPr>
        <w:ind w:left="320" w:right="40" w:hanging="224"/>
        <w:spacing w:after="0" w:line="285" w:lineRule="auto"/>
        <w:tabs>
          <w:tab w:leader="none" w:pos="320" w:val="left"/>
        </w:tabs>
        <w:numPr>
          <w:ilvl w:val="0"/>
          <w:numId w:val="20"/>
        </w:numPr>
        <w:rPr>
          <w:rFonts w:ascii="Arial" w:cs="Arial" w:eastAsia="Arial" w:hAnsi="Arial"/>
          <w:sz w:val="14"/>
          <w:szCs w:val="14"/>
          <w:color w:val="255993"/>
        </w:rPr>
      </w:pPr>
      <w:r>
        <w:rPr>
          <w:rFonts w:ascii="Arial" w:cs="Arial" w:eastAsia="Arial" w:hAnsi="Arial"/>
          <w:sz w:val="14"/>
          <w:szCs w:val="14"/>
          <w:color w:val="255993"/>
        </w:rPr>
        <w:t>Mr. Pickering was appointed to our board of directors in January 2022. As of December 31, 2023, Mr. Pickering held stock options to purchase 52,109 shares of our common stock.</w:t>
      </w:r>
    </w:p>
    <w:p>
      <w:pPr>
        <w:spacing w:after="0" w:line="72"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In September 2020, based on discussions with and assistance from AON Radford, a third-party compensation consultant retained by our compensation committee to provide our board of directors and the compensation committee with an analysis of publicly available market data and assistance in determining compensation to be provided to our non-employee directors, our board of directors adopted, and our stockholders approved, an Outside Director Compensation Policy providing for certain compensation to our non-employee directors. The Outside Director Compensation Policy was subsequently amended in January 2022 and again in January 2023.</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CASH COMPENSATION</w:t>
      </w:r>
    </w:p>
    <w:p>
      <w:pPr>
        <w:spacing w:after="0" w:line="113"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Amended and Restated Outside Director Compensation Policy provides for the following cash compensation program for our non-employee directors:</w:t>
      </w:r>
    </w:p>
    <w:p>
      <w:pPr>
        <w:spacing w:after="0" w:line="102" w:lineRule="exact"/>
        <w:rPr>
          <w:sz w:val="20"/>
          <w:szCs w:val="20"/>
          <w:color w:val="auto"/>
        </w:rPr>
      </w:pPr>
    </w:p>
    <w:p>
      <w:pPr>
        <w:ind w:left="140" w:hanging="134"/>
        <w:spacing w:after="0"/>
        <w:tabs>
          <w:tab w:leader="none" w:pos="140" w:val="left"/>
        </w:tabs>
        <w:numPr>
          <w:ilvl w:val="0"/>
          <w:numId w:val="21"/>
        </w:numPr>
        <w:rPr>
          <w:rFonts w:ascii="Arial" w:cs="Arial" w:eastAsia="Arial" w:hAnsi="Arial"/>
          <w:sz w:val="16"/>
          <w:szCs w:val="16"/>
          <w:color w:val="255993"/>
        </w:rPr>
      </w:pPr>
      <w:r>
        <w:rPr>
          <w:rFonts w:ascii="Arial" w:cs="Arial" w:eastAsia="Arial" w:hAnsi="Arial"/>
          <w:sz w:val="16"/>
          <w:szCs w:val="16"/>
          <w:color w:val="auto"/>
        </w:rPr>
        <w:t>$40,000 per year for service as a non-employee director;</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21"/>
        </w:numPr>
        <w:rPr>
          <w:rFonts w:ascii="Arial" w:cs="Arial" w:eastAsia="Arial" w:hAnsi="Arial"/>
          <w:sz w:val="16"/>
          <w:szCs w:val="16"/>
          <w:color w:val="255993"/>
        </w:rPr>
      </w:pPr>
      <w:r>
        <w:rPr>
          <w:rFonts w:ascii="Arial" w:cs="Arial" w:eastAsia="Arial" w:hAnsi="Arial"/>
          <w:sz w:val="16"/>
          <w:szCs w:val="16"/>
          <w:color w:val="auto"/>
        </w:rPr>
        <w:t>$30,000 per year for service as chairperson of the board of directors;</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21"/>
        </w:numPr>
        <w:rPr>
          <w:rFonts w:ascii="Arial" w:cs="Arial" w:eastAsia="Arial" w:hAnsi="Arial"/>
          <w:sz w:val="16"/>
          <w:szCs w:val="16"/>
          <w:color w:val="255993"/>
        </w:rPr>
      </w:pPr>
      <w:r>
        <w:rPr>
          <w:rFonts w:ascii="Arial" w:cs="Arial" w:eastAsia="Arial" w:hAnsi="Arial"/>
          <w:sz w:val="16"/>
          <w:szCs w:val="16"/>
          <w:color w:val="auto"/>
        </w:rPr>
        <w:t>$15,000 per year for service as chairperson of the audit committee;</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21"/>
        </w:numPr>
        <w:rPr>
          <w:rFonts w:ascii="Arial" w:cs="Arial" w:eastAsia="Arial" w:hAnsi="Arial"/>
          <w:sz w:val="16"/>
          <w:szCs w:val="16"/>
          <w:color w:val="255993"/>
        </w:rPr>
      </w:pPr>
      <w:r>
        <w:rPr>
          <w:rFonts w:ascii="Arial" w:cs="Arial" w:eastAsia="Arial" w:hAnsi="Arial"/>
          <w:sz w:val="16"/>
          <w:szCs w:val="16"/>
          <w:color w:val="auto"/>
        </w:rPr>
        <w:t>$7,500 per year for service as a member of the audit committee;</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21"/>
        </w:numPr>
        <w:rPr>
          <w:rFonts w:ascii="Arial" w:cs="Arial" w:eastAsia="Arial" w:hAnsi="Arial"/>
          <w:sz w:val="16"/>
          <w:szCs w:val="16"/>
          <w:color w:val="255993"/>
        </w:rPr>
      </w:pPr>
      <w:r>
        <w:rPr>
          <w:rFonts w:ascii="Arial" w:cs="Arial" w:eastAsia="Arial" w:hAnsi="Arial"/>
          <w:sz w:val="16"/>
          <w:szCs w:val="16"/>
          <w:color w:val="auto"/>
        </w:rPr>
        <w:t>$10,000 per year for service as chairperson of the compensation committee;</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21"/>
        </w:numPr>
        <w:rPr>
          <w:rFonts w:ascii="Arial" w:cs="Arial" w:eastAsia="Arial" w:hAnsi="Arial"/>
          <w:sz w:val="16"/>
          <w:szCs w:val="16"/>
          <w:color w:val="255993"/>
        </w:rPr>
      </w:pPr>
      <w:r>
        <w:rPr>
          <w:rFonts w:ascii="Arial" w:cs="Arial" w:eastAsia="Arial" w:hAnsi="Arial"/>
          <w:sz w:val="16"/>
          <w:szCs w:val="16"/>
          <w:color w:val="auto"/>
        </w:rPr>
        <w:t>$5,000 per year for service as a member of the compensation committee;</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21"/>
        </w:numPr>
        <w:rPr>
          <w:rFonts w:ascii="Arial" w:cs="Arial" w:eastAsia="Arial" w:hAnsi="Arial"/>
          <w:sz w:val="16"/>
          <w:szCs w:val="16"/>
          <w:color w:val="255993"/>
        </w:rPr>
      </w:pPr>
      <w:r>
        <w:rPr>
          <w:rFonts w:ascii="Arial" w:cs="Arial" w:eastAsia="Arial" w:hAnsi="Arial"/>
          <w:sz w:val="16"/>
          <w:szCs w:val="16"/>
          <w:color w:val="auto"/>
        </w:rPr>
        <w:t>$8,000 per year for service as chairperson of the nominating and corporate governance committee; and</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21"/>
        </w:numPr>
        <w:rPr>
          <w:rFonts w:ascii="Arial" w:cs="Arial" w:eastAsia="Arial" w:hAnsi="Arial"/>
          <w:sz w:val="16"/>
          <w:szCs w:val="16"/>
          <w:color w:val="255993"/>
        </w:rPr>
      </w:pPr>
      <w:r>
        <w:rPr>
          <w:rFonts w:ascii="Arial" w:cs="Arial" w:eastAsia="Arial" w:hAnsi="Arial"/>
          <w:sz w:val="16"/>
          <w:szCs w:val="16"/>
          <w:color w:val="auto"/>
        </w:rPr>
        <w:t>$4,000 per year for service as a member of the nominating and corporate governance committee.</w:t>
      </w:r>
    </w:p>
    <w:p>
      <w:pPr>
        <w:spacing w:after="0" w:line="154"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Each non-employee director who serves as a committee chairperson receives only the cash retainer fee as the chairperson of the committee but not the cash retainer fee as a member of that committee. These fees to our non-employee directors are paid quarterly in arrears on a prorated basis. Under our Amended and Restated Outside Director Compensation Policy, we also reimburse our non-employee directors for reasonable travel expenses to attend meetings of our board of directors and its committees. The above-listed fees for service as chairperson or members of committees are payable in addition to the non-employee director retainer specified above.</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EQUITY COMPENSATION</w:t>
      </w:r>
    </w:p>
    <w:p>
      <w:pPr>
        <w:spacing w:after="0" w:line="113" w:lineRule="exact"/>
        <w:rPr>
          <w:sz w:val="20"/>
          <w:szCs w:val="20"/>
          <w:color w:val="auto"/>
        </w:rPr>
      </w:pPr>
    </w:p>
    <w:p>
      <w:pPr>
        <w:ind w:right="200"/>
        <w:spacing w:after="0" w:line="252" w:lineRule="auto"/>
        <w:rPr>
          <w:sz w:val="20"/>
          <w:szCs w:val="20"/>
          <w:color w:val="auto"/>
        </w:rPr>
      </w:pPr>
      <w:r>
        <w:rPr>
          <w:rFonts w:ascii="Arial" w:cs="Arial" w:eastAsia="Arial" w:hAnsi="Arial"/>
          <w:sz w:val="16"/>
          <w:szCs w:val="16"/>
          <w:i w:val="1"/>
          <w:iCs w:val="1"/>
          <w:color w:val="auto"/>
        </w:rPr>
        <w:t>Initial Award</w:t>
      </w:r>
      <w:r>
        <w:rPr>
          <w:rFonts w:ascii="Arial" w:cs="Arial" w:eastAsia="Arial" w:hAnsi="Arial"/>
          <w:sz w:val="16"/>
          <w:szCs w:val="16"/>
          <w:color w:val="auto"/>
        </w:rPr>
        <w:t>. Pursuant to our Amended and Restated Outside Director Compensation Policy, each person who becomes a non-employee director will receive, on the first trading day on or after the date that the person first becomes a non-employee director, an initial award (or, the Initial Award) of stock options to purchase 41,800 shares of our common stock. The Initial Award vests in</w:t>
      </w:r>
    </w:p>
    <w:p>
      <w:pPr>
        <w:spacing w:after="0" w:line="1" w:lineRule="exact"/>
        <w:rPr>
          <w:sz w:val="20"/>
          <w:szCs w:val="20"/>
          <w:color w:val="auto"/>
        </w:rPr>
      </w:pPr>
    </w:p>
    <w:p>
      <w:pPr>
        <w:spacing w:after="0" w:line="228" w:lineRule="auto"/>
        <w:rPr>
          <w:sz w:val="20"/>
          <w:szCs w:val="20"/>
          <w:color w:val="auto"/>
        </w:rPr>
      </w:pPr>
      <w:r>
        <w:rPr>
          <w:rFonts w:ascii="Arial" w:cs="Arial" w:eastAsia="Arial" w:hAnsi="Arial"/>
          <w:sz w:val="16"/>
          <w:szCs w:val="16"/>
          <w:color w:val="auto"/>
        </w:rPr>
        <w:t>equal installments as to 1/36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the shares of our common stock subject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non-employee director due to termination of employment will not entitle the person to an Initial Award.</w:t>
      </w:r>
    </w:p>
    <w:p>
      <w:pPr>
        <w:spacing w:after="0" w:line="123"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i w:val="1"/>
          <w:iCs w:val="1"/>
          <w:color w:val="auto"/>
        </w:rPr>
        <w:t>Annual Award</w:t>
      </w:r>
      <w:r>
        <w:rPr>
          <w:rFonts w:ascii="Arial" w:cs="Arial" w:eastAsia="Arial" w:hAnsi="Arial"/>
          <w:sz w:val="16"/>
          <w:szCs w:val="16"/>
          <w:color w:val="auto"/>
        </w:rPr>
        <w:t>. Pursuant to our Amended and Restated Outside Director Compensation Policy, each non-employee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automatically receives, on the first trading day immediately after the date of each annual meeting of our stockholders, an annual award, or the Annual Award, of stock options to purchase 20,900 shares of our common stock. If, as of the date of the annual meeting, such director has not been in continuous service as a non-employee director since the date of the most recently preceding annual meeting, their first annual award will be prorated and equal to the product of 20,900 multiplied by the quotient of</w:t>
      </w:r>
    </w:p>
    <w:p>
      <w:pPr>
        <w:spacing w:after="0" w:line="3" w:lineRule="exact"/>
        <w:rPr>
          <w:sz w:val="20"/>
          <w:szCs w:val="20"/>
          <w:color w:val="auto"/>
        </w:rPr>
      </w:pPr>
    </w:p>
    <w:p>
      <w:pPr>
        <w:ind w:right="340" w:firstLine="6"/>
        <w:spacing w:after="0" w:line="256" w:lineRule="auto"/>
        <w:tabs>
          <w:tab w:leader="none" w:pos="243"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number of whole months of continuous service as a non-employee director completed as of the date of such annual meeting divided by (2) 12, rounded down to the nearest whole share (up to a maximum of 20,900 shares). Each Annual Award vests on the earlier of the one-year</w:t>
      </w:r>
    </w:p>
    <w:p>
      <w:pPr>
        <w:spacing w:after="0" w:line="183"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23</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255993"/>
        </w:rPr>
        <w:t>Board of Directors and Corporate Governance</w:t>
      </w:r>
    </w:p>
    <w:p>
      <w:pPr>
        <w:spacing w:after="0" w:line="104"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anniversary of the grant date, or the day immediately before the day of the next annual meeting of our stockholders that occurs after the grant date of the Annual Award, subject to continued services to us through the applicable vesting date.</w:t>
      </w:r>
    </w:p>
    <w:p>
      <w:pPr>
        <w:spacing w:after="0" w:line="88"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i w:val="1"/>
          <w:iCs w:val="1"/>
          <w:color w:val="auto"/>
        </w:rPr>
        <w:t>Change in Control</w:t>
      </w:r>
      <w:r>
        <w:rPr>
          <w:rFonts w:ascii="Arial" w:cs="Arial" w:eastAsia="Arial" w:hAnsi="Arial"/>
          <w:sz w:val="16"/>
          <w:szCs w:val="16"/>
          <w:color w:val="auto"/>
        </w:rPr>
        <w:t>. In the event of our change in control, as defined in our 2020 Equity Incentive Plan, each non-employee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then outstanding equity awards covering shares of our common stock will accelerate vesting in full, provided that he or she remains a non-employee director through the date of our change in control.</w:t>
      </w:r>
    </w:p>
    <w:p>
      <w:pPr>
        <w:spacing w:after="0" w:line="10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i w:val="1"/>
          <w:iCs w:val="1"/>
          <w:color w:val="auto"/>
        </w:rPr>
        <w:t>Other Award Terms</w:t>
      </w:r>
      <w:r>
        <w:rPr>
          <w:rFonts w:ascii="Arial" w:cs="Arial" w:eastAsia="Arial" w:hAnsi="Arial"/>
          <w:sz w:val="16"/>
          <w:szCs w:val="16"/>
          <w:color w:val="auto"/>
        </w:rPr>
        <w:t>. Each Initial Award and Annual Award will be granted under our 2020 Equity Incentive Plan (or its successor</w:t>
      </w:r>
      <w:r>
        <w:rPr>
          <w:rFonts w:ascii="Arial" w:cs="Arial" w:eastAsia="Arial" w:hAnsi="Arial"/>
          <w:sz w:val="16"/>
          <w:szCs w:val="16"/>
          <w:i w:val="1"/>
          <w:iCs w:val="1"/>
          <w:color w:val="auto"/>
        </w:rPr>
        <w:t xml:space="preserve"> </w:t>
      </w:r>
      <w:r>
        <w:rPr>
          <w:rFonts w:ascii="Arial" w:cs="Arial" w:eastAsia="Arial" w:hAnsi="Arial"/>
          <w:sz w:val="16"/>
          <w:szCs w:val="16"/>
          <w:color w:val="auto"/>
        </w:rPr>
        <w:t>plan, as applicable) and form of award agreement under such plan. These awards will have a maximum term to expiration of 10 years from their grant and a per share exercise price equal to 100% of the fair market value of a share of our common stock on the award’s grant date.</w:t>
      </w:r>
    </w:p>
    <w:p>
      <w:pPr>
        <w:spacing w:after="0" w:line="97" w:lineRule="exact"/>
        <w:rPr>
          <w:sz w:val="20"/>
          <w:szCs w:val="20"/>
          <w:color w:val="auto"/>
        </w:rPr>
      </w:pPr>
    </w:p>
    <w:p>
      <w:pPr>
        <w:spacing w:after="0" w:line="253" w:lineRule="auto"/>
        <w:rPr>
          <w:sz w:val="20"/>
          <w:szCs w:val="20"/>
          <w:color w:val="auto"/>
        </w:rPr>
      </w:pPr>
      <w:r>
        <w:rPr>
          <w:rFonts w:ascii="Arial" w:cs="Arial" w:eastAsia="Arial" w:hAnsi="Arial"/>
          <w:sz w:val="16"/>
          <w:szCs w:val="16"/>
          <w:i w:val="1"/>
          <w:iCs w:val="1"/>
          <w:color w:val="auto"/>
        </w:rPr>
        <w:t xml:space="preserve">Director Compensation Limits </w:t>
      </w:r>
      <w:r>
        <w:rPr>
          <w:rFonts w:ascii="Arial" w:cs="Arial" w:eastAsia="Arial" w:hAnsi="Arial"/>
          <w:sz w:val="16"/>
          <w:szCs w:val="16"/>
          <w:color w:val="auto"/>
        </w:rPr>
        <w:t>. Our Amended and Restated Outside Director Compensation Policy provides that in any fiscal year,</w:t>
      </w:r>
      <w:r>
        <w:rPr>
          <w:rFonts w:ascii="Arial" w:cs="Arial" w:eastAsia="Arial" w:hAnsi="Arial"/>
          <w:sz w:val="16"/>
          <w:szCs w:val="16"/>
          <w:i w:val="1"/>
          <w:iCs w:val="1"/>
          <w:color w:val="auto"/>
        </w:rPr>
        <w:t xml:space="preserve"> </w:t>
      </w:r>
      <w:r>
        <w:rPr>
          <w:rFonts w:ascii="Arial" w:cs="Arial" w:eastAsia="Arial" w:hAnsi="Arial"/>
          <w:sz w:val="16"/>
          <w:szCs w:val="16"/>
          <w:color w:val="auto"/>
        </w:rPr>
        <w:t>a non-employee director may be paid cash compensation and other compensation and granted equity awards with an aggregate value of no more than $500,000 (with the value of equity awards based on their grant date fair value determined in accordance with U.S. Generally Accepted Accounting Principles for purposes of this limit), with such limit increased to $750,000 for the fiscal year of his or her initial service as a non-employee director. Equity awards granted or other compensation provided to a non-employee director while he or she was an employee or consultant (other than a non-employee director), or granted or provided prior to the effective date of the registration statement relating to our initial public offering, do not count toward this annual limit.</w:t>
      </w:r>
    </w:p>
    <w:p>
      <w:pPr>
        <w:spacing w:after="0" w:line="186"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24</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126365</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F8991D"/>
        </w:rPr>
        <w:t>ELECTION OF CLASS I DIRECTORS</w:t>
      </w:r>
    </w:p>
    <w:p>
      <w:pPr>
        <w:spacing w:after="0" w:line="47" w:lineRule="exact"/>
        <w:rPr>
          <w:sz w:val="20"/>
          <w:szCs w:val="20"/>
          <w:color w:val="auto"/>
        </w:rPr>
      </w:pPr>
    </w:p>
    <w:p>
      <w:pPr>
        <w:spacing w:after="0"/>
        <w:rPr>
          <w:sz w:val="20"/>
          <w:szCs w:val="20"/>
          <w:color w:val="auto"/>
        </w:rPr>
      </w:pPr>
      <w:r>
        <w:rPr>
          <w:rFonts w:ascii="Arial" w:cs="Arial" w:eastAsia="Arial" w:hAnsi="Arial"/>
          <w:sz w:val="58"/>
          <w:szCs w:val="58"/>
          <w:color w:val="255993"/>
        </w:rPr>
        <w:t>Proposal One</w:t>
      </w:r>
    </w:p>
    <w:p>
      <w:pPr>
        <w:spacing w:after="0" w:line="357"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Our board of directors currently consists of eight directors and is divided into three classes with staggered three-year terms. At the Annual Meeting, three Class I directors of the Company will be elected for a three-year term to succeed the same class whose term is then expiring, each to continue until their respective successors are elected and qualified, or until their earlier death, resignation or removal.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NOMINEES</w:t>
      </w:r>
    </w:p>
    <w:p>
      <w:pPr>
        <w:spacing w:after="0" w:line="149"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color w:val="auto"/>
        </w:rPr>
        <w:t>Our nominating and corporate governance committee has recommended, and our board of directors has approved, Barbara Kosacz, Mark Litton, and Michael Panzara as nominees for election as Class I directors of the Company at the Annual Meeting. We believe that the nominees bring valuable experience and perspective to our board of directors. For more information concerning the nominees, please see the section titled “</w:t>
      </w:r>
      <w:r>
        <w:rPr>
          <w:rFonts w:ascii="Arial" w:cs="Arial" w:eastAsia="Arial" w:hAnsi="Arial"/>
          <w:sz w:val="16"/>
          <w:szCs w:val="16"/>
          <w:i w:val="1"/>
          <w:iCs w:val="1"/>
          <w:color w:val="auto"/>
        </w:rPr>
        <w:t>Board of Directors and Corporate Governance.</w:t>
      </w:r>
      <w:r>
        <w:rPr>
          <w:rFonts w:ascii="Arial" w:cs="Arial" w:eastAsia="Arial" w:hAnsi="Arial"/>
          <w:sz w:val="16"/>
          <w:szCs w:val="16"/>
          <w:color w:val="auto"/>
        </w:rPr>
        <w:t>”</w:t>
      </w:r>
    </w:p>
    <w:p>
      <w:pPr>
        <w:spacing w:after="0" w:line="110"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b w:val="1"/>
          <w:bCs w:val="1"/>
          <w:color w:val="255993"/>
        </w:rPr>
        <w:t xml:space="preserve">Ms. Kosacz, Dr. Litton </w:t>
      </w:r>
      <w:r>
        <w:rPr>
          <w:rFonts w:ascii="Arial" w:cs="Arial" w:eastAsia="Arial" w:hAnsi="Arial"/>
          <w:sz w:val="16"/>
          <w:szCs w:val="16"/>
          <w:color w:val="000000"/>
        </w:rPr>
        <w:t>and</w:t>
      </w:r>
      <w:r>
        <w:rPr>
          <w:rFonts w:ascii="Arial" w:cs="Arial" w:eastAsia="Arial" w:hAnsi="Arial"/>
          <w:sz w:val="16"/>
          <w:szCs w:val="16"/>
          <w:b w:val="1"/>
          <w:bCs w:val="1"/>
          <w:color w:val="255993"/>
        </w:rPr>
        <w:t xml:space="preserve"> Dr. Panzara </w:t>
      </w:r>
      <w:r>
        <w:rPr>
          <w:rFonts w:ascii="Arial" w:cs="Arial" w:eastAsia="Arial" w:hAnsi="Arial"/>
          <w:sz w:val="16"/>
          <w:szCs w:val="16"/>
          <w:color w:val="000000"/>
        </w:rPr>
        <w:t>have agreed to serve as directors if elected, and management has no reason to believe</w:t>
      </w:r>
      <w:r>
        <w:rPr>
          <w:rFonts w:ascii="Arial" w:cs="Arial" w:eastAsia="Arial" w:hAnsi="Arial"/>
          <w:sz w:val="16"/>
          <w:szCs w:val="16"/>
          <w:b w:val="1"/>
          <w:bCs w:val="1"/>
          <w:color w:val="255993"/>
        </w:rPr>
        <w:t xml:space="preserve"> </w:t>
      </w:r>
      <w:r>
        <w:rPr>
          <w:rFonts w:ascii="Arial" w:cs="Arial" w:eastAsia="Arial" w:hAnsi="Arial"/>
          <w:sz w:val="16"/>
          <w:szCs w:val="16"/>
          <w:color w:val="000000"/>
        </w:rPr>
        <w:t>that they will be unavailable to serve. In the event that a nominee is unable or declines to serve as a director at the time of the Annual Meeting, proxies will be voted for any nominee designated by the present board of directors to fill the vacancy.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VOTE REQUIRED</w:t>
      </w:r>
    </w:p>
    <w:p>
      <w:pPr>
        <w:spacing w:after="0" w:line="149"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 xml:space="preserve">Each director is elected by a plurality of the voting power of the shares present or represented by proxy at the Annual Meeting and entitled to vote on the election of directors. A plurality means that the nominees with the largest number of </w:t>
      </w:r>
      <w:r>
        <w:rPr>
          <w:rFonts w:ascii="Arial" w:cs="Arial" w:eastAsia="Arial" w:hAnsi="Arial"/>
          <w:sz w:val="16"/>
          <w:szCs w:val="16"/>
          <w:b w:val="1"/>
          <w:bCs w:val="1"/>
          <w:color w:val="255993"/>
        </w:rPr>
        <w:t>FOR</w:t>
      </w:r>
      <w:r>
        <w:rPr>
          <w:rFonts w:ascii="Arial" w:cs="Arial" w:eastAsia="Arial" w:hAnsi="Arial"/>
          <w:sz w:val="16"/>
          <w:szCs w:val="16"/>
          <w:color w:val="auto"/>
        </w:rPr>
        <w:t xml:space="preserve"> votes are elected as directors. Because the outcome of this proposal will be determined by a plurality vote, any shares not voted </w:t>
      </w:r>
      <w:r>
        <w:rPr>
          <w:rFonts w:ascii="Arial" w:cs="Arial" w:eastAsia="Arial" w:hAnsi="Arial"/>
          <w:sz w:val="16"/>
          <w:szCs w:val="16"/>
          <w:b w:val="1"/>
          <w:bCs w:val="1"/>
          <w:color w:val="255993"/>
        </w:rPr>
        <w:t>FOR</w:t>
      </w:r>
      <w:r>
        <w:rPr>
          <w:rFonts w:ascii="Arial" w:cs="Arial" w:eastAsia="Arial" w:hAnsi="Arial"/>
          <w:sz w:val="16"/>
          <w:szCs w:val="16"/>
          <w:color w:val="auto"/>
        </w:rPr>
        <w:t xml:space="preserve"> a particular nominee, whether as a result of a </w:t>
      </w:r>
      <w:r>
        <w:rPr>
          <w:rFonts w:ascii="Arial" w:cs="Arial" w:eastAsia="Arial" w:hAnsi="Arial"/>
          <w:sz w:val="16"/>
          <w:szCs w:val="16"/>
          <w:b w:val="1"/>
          <w:bCs w:val="1"/>
          <w:color w:val="255993"/>
        </w:rPr>
        <w:t>WITHHOLD</w:t>
      </w:r>
      <w:r>
        <w:rPr>
          <w:rFonts w:ascii="Arial" w:cs="Arial" w:eastAsia="Arial" w:hAnsi="Arial"/>
          <w:sz w:val="16"/>
          <w:szCs w:val="16"/>
          <w:color w:val="auto"/>
        </w:rPr>
        <w:t xml:space="preserve"> vote or a broker non-vote, will have no effect on the outcome of the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869315</wp:posOffset>
            </wp:positionH>
            <wp:positionV relativeFrom="paragraph">
              <wp:posOffset>19685</wp:posOffset>
            </wp:positionV>
            <wp:extent cx="17145" cy="8401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145" cy="840105"/>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539"/>
        </w:trPr>
        <w:tc>
          <w:tcPr>
            <w:tcW w:w="1380" w:type="dxa"/>
            <w:vAlign w:val="bottom"/>
            <w:tcBorders>
              <w:bottom w:val="single" w:sz="8" w:color="255993"/>
            </w:tcBorders>
            <w:shd w:val="clear" w:color="auto" w:fill="255993"/>
          </w:tcPr>
          <w:p>
            <w:pPr>
              <w:spacing w:after="0"/>
              <w:rPr>
                <w:sz w:val="24"/>
                <w:szCs w:val="24"/>
                <w:color w:val="auto"/>
              </w:rPr>
            </w:pPr>
          </w:p>
        </w:tc>
        <w:tc>
          <w:tcPr>
            <w:tcW w:w="240" w:type="dxa"/>
            <w:vAlign w:val="bottom"/>
            <w:tcBorders>
              <w:bottom w:val="single" w:sz="8" w:color="EBEBEB"/>
            </w:tcBorders>
            <w:shd w:val="clear" w:color="auto" w:fill="EBEBEB"/>
          </w:tcPr>
          <w:p>
            <w:pPr>
              <w:spacing w:after="0"/>
              <w:rPr>
                <w:sz w:val="24"/>
                <w:szCs w:val="24"/>
                <w:color w:val="auto"/>
              </w:rPr>
            </w:pPr>
          </w:p>
        </w:tc>
        <w:tc>
          <w:tcPr>
            <w:tcW w:w="1740" w:type="dxa"/>
            <w:vAlign w:val="bottom"/>
            <w:tcBorders>
              <w:bottom w:val="single" w:sz="8" w:color="F8991D"/>
            </w:tcBorders>
            <w:shd w:val="clear" w:color="auto" w:fill="EBEBEB"/>
          </w:tcPr>
          <w:p>
            <w:pPr>
              <w:spacing w:after="0"/>
              <w:rPr>
                <w:sz w:val="20"/>
                <w:szCs w:val="20"/>
                <w:color w:val="auto"/>
              </w:rPr>
            </w:pPr>
            <w:r>
              <w:rPr>
                <w:rFonts w:ascii="Arial" w:cs="Arial" w:eastAsia="Arial" w:hAnsi="Arial"/>
                <w:sz w:val="16"/>
                <w:szCs w:val="16"/>
                <w:color w:val="auto"/>
                <w:w w:val="99"/>
              </w:rPr>
              <w:t>Board Recommendation</w:t>
            </w:r>
          </w:p>
        </w:tc>
        <w:tc>
          <w:tcPr>
            <w:tcW w:w="6040" w:type="dxa"/>
            <w:vAlign w:val="bottom"/>
            <w:tcBorders>
              <w:bottom w:val="single" w:sz="8" w:color="EBEBEB"/>
            </w:tcBorders>
            <w:shd w:val="clear" w:color="auto" w:fill="EBEBEB"/>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1380" w:type="dxa"/>
            <w:vAlign w:val="bottom"/>
            <w:vMerge w:val="restart"/>
            <w:shd w:val="clear" w:color="auto" w:fill="255993"/>
          </w:tcPr>
          <w:p>
            <w:pPr>
              <w:spacing w:after="0"/>
              <w:rPr>
                <w:sz w:val="20"/>
                <w:szCs w:val="20"/>
                <w:color w:val="auto"/>
              </w:rPr>
            </w:pPr>
            <w:r>
              <w:rPr>
                <w:rFonts w:ascii="Arial" w:cs="Arial" w:eastAsia="Arial" w:hAnsi="Arial"/>
                <w:sz w:val="16"/>
                <w:szCs w:val="16"/>
                <w:b w:val="1"/>
                <w:bCs w:val="1"/>
                <w:color w:val="auto"/>
              </w:rPr>
              <w:t xml:space="preserve">  </w:t>
            </w:r>
          </w:p>
        </w:tc>
        <w:tc>
          <w:tcPr>
            <w:tcW w:w="240" w:type="dxa"/>
            <w:vAlign w:val="bottom"/>
            <w:shd w:val="clear" w:color="auto" w:fill="EBEBEB"/>
          </w:tcPr>
          <w:p>
            <w:pPr>
              <w:spacing w:after="0"/>
              <w:rPr>
                <w:sz w:val="24"/>
                <w:szCs w:val="24"/>
                <w:color w:val="auto"/>
              </w:rPr>
            </w:pPr>
          </w:p>
        </w:tc>
        <w:tc>
          <w:tcPr>
            <w:tcW w:w="7780" w:type="dxa"/>
            <w:vAlign w:val="bottom"/>
            <w:gridSpan w:val="2"/>
            <w:shd w:val="clear" w:color="auto" w:fill="EBEBEB"/>
          </w:tcPr>
          <w:p>
            <w:pPr>
              <w:spacing w:after="0"/>
              <w:rPr>
                <w:sz w:val="20"/>
                <w:szCs w:val="20"/>
                <w:color w:val="auto"/>
              </w:rPr>
            </w:pPr>
            <w:r>
              <w:rPr>
                <w:rFonts w:ascii="Arial" w:cs="Arial" w:eastAsia="Arial" w:hAnsi="Arial"/>
                <w:sz w:val="14"/>
                <w:szCs w:val="14"/>
                <w:color w:val="255993"/>
              </w:rPr>
              <w:t xml:space="preserve">The Board of Directors unanimously recommends that stockholders vote </w:t>
            </w:r>
            <w:r>
              <w:rPr>
                <w:rFonts w:ascii="Arial" w:cs="Arial" w:eastAsia="Arial" w:hAnsi="Arial"/>
                <w:sz w:val="14"/>
                <w:szCs w:val="14"/>
                <w:b w:val="1"/>
                <w:bCs w:val="1"/>
                <w:color w:val="255993"/>
              </w:rPr>
              <w:t>“FOR”</w:t>
            </w:r>
            <w:r>
              <w:rPr>
                <w:rFonts w:ascii="Arial" w:cs="Arial" w:eastAsia="Arial" w:hAnsi="Arial"/>
                <w:sz w:val="14"/>
                <w:szCs w:val="14"/>
                <w:color w:val="255993"/>
              </w:rPr>
              <w:t xml:space="preserve"> each of the nominees listed above.</w:t>
            </w:r>
          </w:p>
        </w:tc>
        <w:tc>
          <w:tcPr>
            <w:tcW w:w="0" w:type="dxa"/>
            <w:vAlign w:val="bottom"/>
          </w:tcPr>
          <w:p>
            <w:pPr>
              <w:spacing w:after="0"/>
              <w:rPr>
                <w:sz w:val="1"/>
                <w:szCs w:val="1"/>
                <w:color w:val="auto"/>
              </w:rPr>
            </w:pPr>
          </w:p>
        </w:tc>
      </w:tr>
      <w:tr>
        <w:trPr>
          <w:trHeight w:val="89"/>
        </w:trPr>
        <w:tc>
          <w:tcPr>
            <w:tcW w:w="1380" w:type="dxa"/>
            <w:vAlign w:val="bottom"/>
            <w:vMerge w:val="continue"/>
            <w:shd w:val="clear" w:color="auto" w:fill="255993"/>
          </w:tcPr>
          <w:p>
            <w:pPr>
              <w:spacing w:after="0"/>
              <w:rPr>
                <w:sz w:val="7"/>
                <w:szCs w:val="7"/>
                <w:color w:val="auto"/>
              </w:rPr>
            </w:pPr>
          </w:p>
        </w:tc>
        <w:tc>
          <w:tcPr>
            <w:tcW w:w="240" w:type="dxa"/>
            <w:vAlign w:val="bottom"/>
            <w:shd w:val="clear" w:color="auto" w:fill="EBEBEB"/>
          </w:tcPr>
          <w:p>
            <w:pPr>
              <w:spacing w:after="0"/>
              <w:rPr>
                <w:sz w:val="7"/>
                <w:szCs w:val="7"/>
                <w:color w:val="auto"/>
              </w:rPr>
            </w:pPr>
          </w:p>
        </w:tc>
        <w:tc>
          <w:tcPr>
            <w:tcW w:w="1740" w:type="dxa"/>
            <w:vAlign w:val="bottom"/>
            <w:shd w:val="clear" w:color="auto" w:fill="EBEBEB"/>
          </w:tcPr>
          <w:p>
            <w:pPr>
              <w:spacing w:after="0"/>
              <w:rPr>
                <w:sz w:val="7"/>
                <w:szCs w:val="7"/>
                <w:color w:val="auto"/>
              </w:rPr>
            </w:pPr>
          </w:p>
        </w:tc>
        <w:tc>
          <w:tcPr>
            <w:tcW w:w="6040" w:type="dxa"/>
            <w:vAlign w:val="bottom"/>
            <w:shd w:val="clear" w:color="auto" w:fill="EBEBEB"/>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380" w:type="dxa"/>
            <w:vAlign w:val="bottom"/>
            <w:shd w:val="clear" w:color="auto" w:fill="255993"/>
          </w:tcPr>
          <w:p>
            <w:pPr>
              <w:spacing w:after="0"/>
              <w:rPr>
                <w:sz w:val="19"/>
                <w:szCs w:val="19"/>
                <w:color w:val="auto"/>
              </w:rPr>
            </w:pPr>
          </w:p>
        </w:tc>
        <w:tc>
          <w:tcPr>
            <w:tcW w:w="240" w:type="dxa"/>
            <w:vAlign w:val="bottom"/>
            <w:shd w:val="clear" w:color="auto" w:fill="EBEBEB"/>
          </w:tcPr>
          <w:p>
            <w:pPr>
              <w:spacing w:after="0"/>
              <w:rPr>
                <w:sz w:val="19"/>
                <w:szCs w:val="19"/>
                <w:color w:val="auto"/>
              </w:rPr>
            </w:pPr>
          </w:p>
        </w:tc>
        <w:tc>
          <w:tcPr>
            <w:tcW w:w="1740" w:type="dxa"/>
            <w:vAlign w:val="bottom"/>
            <w:shd w:val="clear" w:color="auto" w:fill="EBEBEB"/>
          </w:tcPr>
          <w:p>
            <w:pPr>
              <w:spacing w:after="0"/>
              <w:rPr>
                <w:sz w:val="19"/>
                <w:szCs w:val="19"/>
                <w:color w:val="auto"/>
              </w:rPr>
            </w:pPr>
          </w:p>
        </w:tc>
        <w:tc>
          <w:tcPr>
            <w:tcW w:w="6040" w:type="dxa"/>
            <w:vAlign w:val="bottom"/>
            <w:shd w:val="clear" w:color="auto" w:fill="EBEBEB"/>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-573405</wp:posOffset>
            </wp:positionV>
            <wp:extent cx="308610" cy="3003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08610" cy="300355"/>
                    </a:xfrm>
                    <a:prstGeom prst="rect">
                      <a:avLst/>
                    </a:prstGeom>
                    <a:noFill/>
                  </pic:spPr>
                </pic:pic>
              </a:graphicData>
            </a:graphic>
          </wp:anchor>
        </w:drawing>
      </w:r>
    </w:p>
    <w:p>
      <w:pPr>
        <w:spacing w:after="0" w:line="187"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25</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126365</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ind w:right="1640"/>
        <w:spacing w:after="0" w:line="270" w:lineRule="auto"/>
        <w:rPr>
          <w:sz w:val="20"/>
          <w:szCs w:val="20"/>
          <w:color w:val="auto"/>
        </w:rPr>
      </w:pPr>
      <w:r>
        <w:rPr>
          <w:rFonts w:ascii="Arial" w:cs="Arial" w:eastAsia="Arial" w:hAnsi="Arial"/>
          <w:sz w:val="22"/>
          <w:szCs w:val="22"/>
          <w:b w:val="1"/>
          <w:bCs w:val="1"/>
          <w:color w:val="F8991D"/>
        </w:rPr>
        <w:t>RATIFICATION OF APPOINTMENT OF INDEPENDENT REGISTERED PUBLIC ACCOUNTING FIRM</w:t>
      </w:r>
    </w:p>
    <w:p>
      <w:pPr>
        <w:spacing w:after="0" w:line="1" w:lineRule="exact"/>
        <w:rPr>
          <w:sz w:val="20"/>
          <w:szCs w:val="20"/>
          <w:color w:val="auto"/>
        </w:rPr>
      </w:pPr>
    </w:p>
    <w:p>
      <w:pPr>
        <w:spacing w:after="0"/>
        <w:rPr>
          <w:sz w:val="20"/>
          <w:szCs w:val="20"/>
          <w:color w:val="auto"/>
        </w:rPr>
      </w:pPr>
      <w:r>
        <w:rPr>
          <w:rFonts w:ascii="Arial" w:cs="Arial" w:eastAsia="Arial" w:hAnsi="Arial"/>
          <w:sz w:val="58"/>
          <w:szCs w:val="58"/>
          <w:color w:val="255993"/>
        </w:rPr>
        <w:t>Proposal Two</w:t>
      </w:r>
    </w:p>
    <w:p>
      <w:pPr>
        <w:spacing w:after="0" w:line="357"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Our audit committee has appointed Ernst &amp; Young LLP as our independent registered public accounting firm to audit our consolidated financial statements for our fiscal year ending December 31, 2024. Ernst &amp; Young LLP served as our independent registered public accounting firm for the fiscal year ended December 31, 2023.</w:t>
      </w:r>
    </w:p>
    <w:p>
      <w:pPr>
        <w:spacing w:after="0" w:line="104"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At the Annual Meeting, we are asking our stockholders to ratify the appointment of Ernst &amp; Young LLP as our independent registered public accounting firm for our fiscal year ending December 31, 2024. Our audit committee is submitting the appointment of Ernst &amp; Young LLP to our stockholders because we value our stockholders’ views on our independent registered public accounting firm and as a matter of good corporate governance. Notwithstanding the appointment of Ernst &amp; Young LLP, and even if our stockholders ratify the appointment, our audit committee, in its discretion, may appoint another independent registered public accounting firm at any time during our fiscal year if our audit committee believes that such a change would be in the best interests of the Company and our stockholders. If our stockholders do not ratify the appointment of Ernst &amp; Young LLP, then our audit committee may reconsider the appointment. One or more representatives of Ernst &amp; Young LLP are expected to be present at the Annual Meeting, and they will have an opportunity to make a statement and are expected to be available to respond to appropriate questions from our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FEES PAID TO THE INDEPENDENT REGISTERED PUBLIC ACCOUNTING FIRM</w:t>
      </w:r>
    </w:p>
    <w:p>
      <w:pPr>
        <w:spacing w:after="0" w:line="135"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The following table presents fees for professional audit services and other services rendered to us by Ernst &amp; Young LLP for our fiscal years ended December 31, 2023 and 2022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371"/>
        </w:trPr>
        <w:tc>
          <w:tcPr>
            <w:tcW w:w="7260" w:type="dxa"/>
            <w:vAlign w:val="bottom"/>
            <w:shd w:val="clear" w:color="auto" w:fill="255993"/>
          </w:tcPr>
          <w:p>
            <w:pPr>
              <w:spacing w:after="0"/>
              <w:rPr>
                <w:sz w:val="24"/>
                <w:szCs w:val="24"/>
                <w:color w:val="auto"/>
              </w:rPr>
            </w:pPr>
          </w:p>
        </w:tc>
        <w:tc>
          <w:tcPr>
            <w:tcW w:w="2140" w:type="dxa"/>
            <w:vAlign w:val="bottom"/>
            <w:gridSpan w:val="2"/>
            <w:shd w:val="clear" w:color="auto" w:fill="255993"/>
          </w:tcPr>
          <w:p>
            <w:pPr>
              <w:jc w:val="right"/>
              <w:spacing w:after="0"/>
              <w:rPr>
                <w:sz w:val="20"/>
                <w:szCs w:val="20"/>
                <w:color w:val="auto"/>
              </w:rPr>
            </w:pPr>
            <w:r>
              <w:rPr>
                <w:rFonts w:ascii="Arial" w:cs="Arial" w:eastAsia="Arial" w:hAnsi="Arial"/>
                <w:sz w:val="16"/>
                <w:szCs w:val="16"/>
                <w:b w:val="1"/>
                <w:bCs w:val="1"/>
                <w:color w:val="FFFFFF"/>
              </w:rPr>
              <w:t>Year Ended December 31,</w:t>
            </w:r>
          </w:p>
        </w:tc>
        <w:tc>
          <w:tcPr>
            <w:tcW w:w="20" w:type="dxa"/>
            <w:vAlign w:val="bottom"/>
          </w:tcPr>
          <w:p>
            <w:pPr>
              <w:spacing w:after="0"/>
              <w:rPr>
                <w:sz w:val="24"/>
                <w:szCs w:val="24"/>
                <w:color w:val="auto"/>
              </w:rPr>
            </w:pPr>
          </w:p>
        </w:tc>
      </w:tr>
      <w:tr>
        <w:trPr>
          <w:trHeight w:val="364"/>
        </w:trPr>
        <w:tc>
          <w:tcPr>
            <w:tcW w:w="7260" w:type="dxa"/>
            <w:vAlign w:val="bottom"/>
            <w:shd w:val="clear" w:color="auto" w:fill="255993"/>
          </w:tcPr>
          <w:p>
            <w:pPr>
              <w:spacing w:after="0"/>
              <w:rPr>
                <w:sz w:val="24"/>
                <w:szCs w:val="24"/>
                <w:color w:val="auto"/>
              </w:rPr>
            </w:pPr>
          </w:p>
        </w:tc>
        <w:tc>
          <w:tcPr>
            <w:tcW w:w="1220" w:type="dxa"/>
            <w:vAlign w:val="bottom"/>
            <w:shd w:val="clear" w:color="auto" w:fill="255993"/>
          </w:tcPr>
          <w:p>
            <w:pPr>
              <w:jc w:val="right"/>
              <w:ind w:right="425"/>
              <w:spacing w:after="0"/>
              <w:rPr>
                <w:sz w:val="20"/>
                <w:szCs w:val="20"/>
                <w:color w:val="auto"/>
              </w:rPr>
            </w:pPr>
            <w:r>
              <w:rPr>
                <w:rFonts w:ascii="Arial" w:cs="Arial" w:eastAsia="Arial" w:hAnsi="Arial"/>
                <w:sz w:val="16"/>
                <w:szCs w:val="16"/>
                <w:b w:val="1"/>
                <w:bCs w:val="1"/>
                <w:color w:val="FFFFFF"/>
              </w:rPr>
              <w:t>2023</w:t>
            </w:r>
          </w:p>
        </w:tc>
        <w:tc>
          <w:tcPr>
            <w:tcW w:w="92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2022  </w:t>
            </w:r>
          </w:p>
        </w:tc>
        <w:tc>
          <w:tcPr>
            <w:tcW w:w="20" w:type="dxa"/>
            <w:vAlign w:val="bottom"/>
          </w:tcPr>
          <w:p>
            <w:pPr>
              <w:spacing w:after="0"/>
              <w:rPr>
                <w:sz w:val="24"/>
                <w:szCs w:val="24"/>
                <w:color w:val="auto"/>
              </w:rPr>
            </w:pPr>
          </w:p>
        </w:tc>
      </w:tr>
      <w:tr>
        <w:trPr>
          <w:trHeight w:val="89"/>
        </w:trPr>
        <w:tc>
          <w:tcPr>
            <w:tcW w:w="7260" w:type="dxa"/>
            <w:vAlign w:val="bottom"/>
            <w:shd w:val="clear" w:color="auto" w:fill="255993"/>
          </w:tcPr>
          <w:p>
            <w:pPr>
              <w:spacing w:after="0"/>
              <w:rPr>
                <w:sz w:val="7"/>
                <w:szCs w:val="7"/>
                <w:color w:val="auto"/>
              </w:rPr>
            </w:pPr>
          </w:p>
        </w:tc>
        <w:tc>
          <w:tcPr>
            <w:tcW w:w="1220" w:type="dxa"/>
            <w:vAlign w:val="bottom"/>
            <w:shd w:val="clear" w:color="auto" w:fill="255993"/>
          </w:tcPr>
          <w:p>
            <w:pPr>
              <w:spacing w:after="0"/>
              <w:rPr>
                <w:sz w:val="7"/>
                <w:szCs w:val="7"/>
                <w:color w:val="auto"/>
              </w:rPr>
            </w:pPr>
          </w:p>
        </w:tc>
        <w:tc>
          <w:tcPr>
            <w:tcW w:w="920" w:type="dxa"/>
            <w:vAlign w:val="bottom"/>
            <w:shd w:val="clear" w:color="auto" w:fill="255993"/>
          </w:tcPr>
          <w:p>
            <w:pPr>
              <w:spacing w:after="0"/>
              <w:rPr>
                <w:sz w:val="7"/>
                <w:szCs w:val="7"/>
                <w:color w:val="auto"/>
              </w:rPr>
            </w:pPr>
          </w:p>
        </w:tc>
        <w:tc>
          <w:tcPr>
            <w:tcW w:w="20" w:type="dxa"/>
            <w:vAlign w:val="bottom"/>
          </w:tcPr>
          <w:p>
            <w:pPr>
              <w:spacing w:after="0"/>
              <w:rPr>
                <w:sz w:val="7"/>
                <w:szCs w:val="7"/>
                <w:color w:val="auto"/>
              </w:rPr>
            </w:pPr>
          </w:p>
        </w:tc>
      </w:tr>
      <w:tr>
        <w:trPr>
          <w:trHeight w:val="418"/>
        </w:trPr>
        <w:tc>
          <w:tcPr>
            <w:tcW w:w="7260" w:type="dxa"/>
            <w:vAlign w:val="bottom"/>
            <w:shd w:val="clear" w:color="auto" w:fill="EBEBEB"/>
          </w:tcPr>
          <w:p>
            <w:pPr>
              <w:ind w:left="60"/>
              <w:spacing w:after="0"/>
              <w:rPr>
                <w:sz w:val="20"/>
                <w:szCs w:val="20"/>
                <w:color w:val="auto"/>
              </w:rPr>
            </w:pPr>
            <w:r>
              <w:rPr>
                <w:rFonts w:ascii="Arial" w:cs="Arial" w:eastAsia="Arial" w:hAnsi="Arial"/>
                <w:sz w:val="14"/>
                <w:szCs w:val="14"/>
                <w:color w:val="auto"/>
              </w:rPr>
              <w:t>Audit fees</w:t>
            </w:r>
            <w:r>
              <w:rPr>
                <w:rFonts w:ascii="Arial" w:cs="Arial" w:eastAsia="Arial" w:hAnsi="Arial"/>
                <w:sz w:val="23"/>
                <w:szCs w:val="23"/>
                <w:color w:val="auto"/>
                <w:vertAlign w:val="superscript"/>
              </w:rPr>
              <w:t>(1)</w:t>
            </w:r>
          </w:p>
        </w:tc>
        <w:tc>
          <w:tcPr>
            <w:tcW w:w="1220" w:type="dxa"/>
            <w:vAlign w:val="bottom"/>
            <w:shd w:val="clear" w:color="auto" w:fill="EBEBEB"/>
          </w:tcPr>
          <w:p>
            <w:pPr>
              <w:jc w:val="right"/>
              <w:ind w:right="425"/>
              <w:spacing w:after="0"/>
              <w:rPr>
                <w:sz w:val="20"/>
                <w:szCs w:val="20"/>
                <w:color w:val="auto"/>
              </w:rPr>
            </w:pPr>
            <w:r>
              <w:rPr>
                <w:rFonts w:ascii="Arial" w:cs="Arial" w:eastAsia="Arial" w:hAnsi="Arial"/>
                <w:sz w:val="14"/>
                <w:szCs w:val="14"/>
                <w:color w:val="auto"/>
              </w:rPr>
              <w:t>$632</w:t>
            </w:r>
          </w:p>
        </w:tc>
        <w:tc>
          <w:tcPr>
            <w:tcW w:w="920" w:type="dxa"/>
            <w:vAlign w:val="bottom"/>
            <w:shd w:val="clear" w:color="auto" w:fill="EBEBEB"/>
          </w:tcPr>
          <w:p>
            <w:pPr>
              <w:jc w:val="right"/>
              <w:spacing w:after="0"/>
              <w:rPr>
                <w:sz w:val="20"/>
                <w:szCs w:val="20"/>
                <w:color w:val="auto"/>
              </w:rPr>
            </w:pPr>
            <w:r>
              <w:rPr>
                <w:rFonts w:ascii="Arial" w:cs="Arial" w:eastAsia="Arial" w:hAnsi="Arial"/>
                <w:sz w:val="14"/>
                <w:szCs w:val="14"/>
                <w:color w:val="auto"/>
              </w:rPr>
              <w:t>$736  </w:t>
            </w:r>
          </w:p>
        </w:tc>
        <w:tc>
          <w:tcPr>
            <w:tcW w:w="20" w:type="dxa"/>
            <w:vAlign w:val="bottom"/>
          </w:tcPr>
          <w:p>
            <w:pPr>
              <w:spacing w:after="0"/>
              <w:rPr>
                <w:sz w:val="24"/>
                <w:szCs w:val="24"/>
                <w:color w:val="auto"/>
              </w:rPr>
            </w:pPr>
          </w:p>
        </w:tc>
      </w:tr>
      <w:tr>
        <w:trPr>
          <w:trHeight w:val="418"/>
        </w:trPr>
        <w:tc>
          <w:tcPr>
            <w:tcW w:w="7260" w:type="dxa"/>
            <w:vAlign w:val="bottom"/>
            <w:shd w:val="clear" w:color="auto" w:fill="FAFAFA"/>
          </w:tcPr>
          <w:p>
            <w:pPr>
              <w:ind w:left="60"/>
              <w:spacing w:after="0"/>
              <w:rPr>
                <w:sz w:val="20"/>
                <w:szCs w:val="20"/>
                <w:color w:val="auto"/>
              </w:rPr>
            </w:pPr>
            <w:r>
              <w:rPr>
                <w:rFonts w:ascii="Arial" w:cs="Arial" w:eastAsia="Arial" w:hAnsi="Arial"/>
                <w:sz w:val="14"/>
                <w:szCs w:val="14"/>
                <w:color w:val="auto"/>
              </w:rPr>
              <w:t>Audit-related fees</w:t>
            </w:r>
            <w:r>
              <w:rPr>
                <w:rFonts w:ascii="Arial" w:cs="Arial" w:eastAsia="Arial" w:hAnsi="Arial"/>
                <w:sz w:val="23"/>
                <w:szCs w:val="23"/>
                <w:color w:val="auto"/>
                <w:vertAlign w:val="superscript"/>
              </w:rPr>
              <w:t>(2)</w:t>
            </w:r>
          </w:p>
        </w:tc>
        <w:tc>
          <w:tcPr>
            <w:tcW w:w="1220" w:type="dxa"/>
            <w:vAlign w:val="bottom"/>
            <w:shd w:val="clear" w:color="auto" w:fill="FAFAFA"/>
          </w:tcPr>
          <w:p>
            <w:pPr>
              <w:jc w:val="right"/>
              <w:ind w:right="425"/>
              <w:spacing w:after="0"/>
              <w:rPr>
                <w:sz w:val="20"/>
                <w:szCs w:val="20"/>
                <w:color w:val="auto"/>
              </w:rPr>
            </w:pPr>
            <w:r>
              <w:rPr>
                <w:rFonts w:ascii="Arial" w:cs="Arial" w:eastAsia="Arial" w:hAnsi="Arial"/>
                <w:sz w:val="14"/>
                <w:szCs w:val="14"/>
                <w:color w:val="auto"/>
              </w:rPr>
              <w:t>—</w:t>
            </w:r>
          </w:p>
        </w:tc>
        <w:tc>
          <w:tcPr>
            <w:tcW w:w="920" w:type="dxa"/>
            <w:vAlign w:val="bottom"/>
            <w:shd w:val="clear" w:color="auto" w:fill="FAFAFA"/>
          </w:tcPr>
          <w:p>
            <w:pPr>
              <w:jc w:val="right"/>
              <w:spacing w:after="0"/>
              <w:rPr>
                <w:sz w:val="20"/>
                <w:szCs w:val="20"/>
                <w:color w:val="auto"/>
              </w:rPr>
            </w:pPr>
            <w:r>
              <w:rPr>
                <w:rFonts w:ascii="Arial" w:cs="Arial" w:eastAsia="Arial" w:hAnsi="Arial"/>
                <w:sz w:val="14"/>
                <w:szCs w:val="14"/>
                <w:color w:val="auto"/>
              </w:rPr>
              <w:t>—  </w:t>
            </w:r>
          </w:p>
        </w:tc>
        <w:tc>
          <w:tcPr>
            <w:tcW w:w="20" w:type="dxa"/>
            <w:vAlign w:val="bottom"/>
          </w:tcPr>
          <w:p>
            <w:pPr>
              <w:spacing w:after="0"/>
              <w:rPr>
                <w:sz w:val="24"/>
                <w:szCs w:val="24"/>
                <w:color w:val="auto"/>
              </w:rPr>
            </w:pPr>
          </w:p>
        </w:tc>
      </w:tr>
      <w:tr>
        <w:trPr>
          <w:trHeight w:val="419"/>
        </w:trPr>
        <w:tc>
          <w:tcPr>
            <w:tcW w:w="7260" w:type="dxa"/>
            <w:vAlign w:val="bottom"/>
            <w:shd w:val="clear" w:color="auto" w:fill="EBEBEB"/>
          </w:tcPr>
          <w:p>
            <w:pPr>
              <w:ind w:left="60"/>
              <w:spacing w:after="0"/>
              <w:rPr>
                <w:sz w:val="20"/>
                <w:szCs w:val="20"/>
                <w:color w:val="auto"/>
              </w:rPr>
            </w:pPr>
            <w:r>
              <w:rPr>
                <w:rFonts w:ascii="Arial" w:cs="Arial" w:eastAsia="Arial" w:hAnsi="Arial"/>
                <w:sz w:val="14"/>
                <w:szCs w:val="14"/>
                <w:color w:val="auto"/>
              </w:rPr>
              <w:t>Tax fees</w:t>
            </w:r>
            <w:r>
              <w:rPr>
                <w:rFonts w:ascii="Arial" w:cs="Arial" w:eastAsia="Arial" w:hAnsi="Arial"/>
                <w:sz w:val="23"/>
                <w:szCs w:val="23"/>
                <w:color w:val="auto"/>
                <w:vertAlign w:val="superscript"/>
              </w:rPr>
              <w:t>(3)</w:t>
            </w:r>
          </w:p>
        </w:tc>
        <w:tc>
          <w:tcPr>
            <w:tcW w:w="1220" w:type="dxa"/>
            <w:vAlign w:val="bottom"/>
            <w:shd w:val="clear" w:color="auto" w:fill="EBEBEB"/>
          </w:tcPr>
          <w:p>
            <w:pPr>
              <w:jc w:val="right"/>
              <w:ind w:right="425"/>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B"/>
          </w:tcPr>
          <w:p>
            <w:pPr>
              <w:jc w:val="right"/>
              <w:spacing w:after="0"/>
              <w:rPr>
                <w:sz w:val="20"/>
                <w:szCs w:val="20"/>
                <w:color w:val="auto"/>
              </w:rPr>
            </w:pPr>
            <w:r>
              <w:rPr>
                <w:rFonts w:ascii="Arial" w:cs="Arial" w:eastAsia="Arial" w:hAnsi="Arial"/>
                <w:sz w:val="14"/>
                <w:szCs w:val="14"/>
                <w:color w:val="auto"/>
              </w:rPr>
              <w:t>—  </w:t>
            </w:r>
          </w:p>
        </w:tc>
        <w:tc>
          <w:tcPr>
            <w:tcW w:w="20" w:type="dxa"/>
            <w:vAlign w:val="bottom"/>
          </w:tcPr>
          <w:p>
            <w:pPr>
              <w:spacing w:after="0"/>
              <w:rPr>
                <w:sz w:val="24"/>
                <w:szCs w:val="24"/>
                <w:color w:val="auto"/>
              </w:rPr>
            </w:pPr>
          </w:p>
        </w:tc>
      </w:tr>
      <w:tr>
        <w:trPr>
          <w:trHeight w:val="418"/>
        </w:trPr>
        <w:tc>
          <w:tcPr>
            <w:tcW w:w="7260" w:type="dxa"/>
            <w:vAlign w:val="bottom"/>
            <w:shd w:val="clear" w:color="auto" w:fill="FAFAFA"/>
          </w:tcPr>
          <w:p>
            <w:pPr>
              <w:ind w:left="60"/>
              <w:spacing w:after="0"/>
              <w:rPr>
                <w:sz w:val="20"/>
                <w:szCs w:val="20"/>
                <w:color w:val="auto"/>
              </w:rPr>
            </w:pPr>
            <w:r>
              <w:rPr>
                <w:rFonts w:ascii="Arial" w:cs="Arial" w:eastAsia="Arial" w:hAnsi="Arial"/>
                <w:sz w:val="14"/>
                <w:szCs w:val="14"/>
                <w:color w:val="auto"/>
              </w:rPr>
              <w:t>All other fees</w:t>
            </w:r>
            <w:r>
              <w:rPr>
                <w:rFonts w:ascii="Arial" w:cs="Arial" w:eastAsia="Arial" w:hAnsi="Arial"/>
                <w:sz w:val="23"/>
                <w:szCs w:val="23"/>
                <w:color w:val="auto"/>
                <w:vertAlign w:val="superscript"/>
              </w:rPr>
              <w:t>(4)</w:t>
            </w:r>
          </w:p>
        </w:tc>
        <w:tc>
          <w:tcPr>
            <w:tcW w:w="1220" w:type="dxa"/>
            <w:vAlign w:val="bottom"/>
            <w:shd w:val="clear" w:color="auto" w:fill="FAFAFA"/>
          </w:tcPr>
          <w:p>
            <w:pPr>
              <w:jc w:val="right"/>
              <w:ind w:right="425"/>
              <w:spacing w:after="0"/>
              <w:rPr>
                <w:sz w:val="20"/>
                <w:szCs w:val="20"/>
                <w:color w:val="auto"/>
              </w:rPr>
            </w:pPr>
            <w:r>
              <w:rPr>
                <w:rFonts w:ascii="Arial" w:cs="Arial" w:eastAsia="Arial" w:hAnsi="Arial"/>
                <w:sz w:val="14"/>
                <w:szCs w:val="14"/>
                <w:color w:val="auto"/>
              </w:rPr>
              <w:t>—</w:t>
            </w:r>
          </w:p>
        </w:tc>
        <w:tc>
          <w:tcPr>
            <w:tcW w:w="920" w:type="dxa"/>
            <w:vAlign w:val="bottom"/>
            <w:shd w:val="clear" w:color="auto" w:fill="FAFAFA"/>
          </w:tcPr>
          <w:p>
            <w:pPr>
              <w:jc w:val="right"/>
              <w:spacing w:after="0"/>
              <w:rPr>
                <w:sz w:val="20"/>
                <w:szCs w:val="20"/>
                <w:color w:val="auto"/>
              </w:rPr>
            </w:pPr>
            <w:r>
              <w:rPr>
                <w:rFonts w:ascii="Arial" w:cs="Arial" w:eastAsia="Arial" w:hAnsi="Arial"/>
                <w:sz w:val="14"/>
                <w:szCs w:val="14"/>
                <w:color w:val="auto"/>
              </w:rPr>
              <w:t>—  </w:t>
            </w:r>
          </w:p>
        </w:tc>
        <w:tc>
          <w:tcPr>
            <w:tcW w:w="20" w:type="dxa"/>
            <w:vAlign w:val="bottom"/>
          </w:tcPr>
          <w:p>
            <w:pPr>
              <w:spacing w:after="0"/>
              <w:rPr>
                <w:sz w:val="24"/>
                <w:szCs w:val="24"/>
                <w:color w:val="auto"/>
              </w:rPr>
            </w:pPr>
          </w:p>
        </w:tc>
      </w:tr>
      <w:tr>
        <w:trPr>
          <w:trHeight w:val="303"/>
        </w:trPr>
        <w:tc>
          <w:tcPr>
            <w:tcW w:w="7260" w:type="dxa"/>
            <w:vAlign w:val="bottom"/>
            <w:shd w:val="clear" w:color="auto" w:fill="EBEBEB"/>
          </w:tcPr>
          <w:p>
            <w:pPr>
              <w:ind w:left="60"/>
              <w:spacing w:after="0"/>
              <w:rPr>
                <w:sz w:val="20"/>
                <w:szCs w:val="20"/>
                <w:color w:val="auto"/>
              </w:rPr>
            </w:pPr>
            <w:r>
              <w:rPr>
                <w:rFonts w:ascii="Arial" w:cs="Arial" w:eastAsia="Arial" w:hAnsi="Arial"/>
                <w:sz w:val="14"/>
                <w:szCs w:val="14"/>
                <w:color w:val="auto"/>
              </w:rPr>
              <w:t>Total fees</w:t>
            </w:r>
          </w:p>
        </w:tc>
        <w:tc>
          <w:tcPr>
            <w:tcW w:w="1220" w:type="dxa"/>
            <w:vAlign w:val="bottom"/>
            <w:shd w:val="clear" w:color="auto" w:fill="EBEBEB"/>
          </w:tcPr>
          <w:p>
            <w:pPr>
              <w:jc w:val="right"/>
              <w:ind w:right="425"/>
              <w:spacing w:after="0"/>
              <w:rPr>
                <w:sz w:val="20"/>
                <w:szCs w:val="20"/>
                <w:color w:val="auto"/>
              </w:rPr>
            </w:pPr>
            <w:r>
              <w:rPr>
                <w:rFonts w:ascii="Arial" w:cs="Arial" w:eastAsia="Arial" w:hAnsi="Arial"/>
                <w:sz w:val="14"/>
                <w:szCs w:val="14"/>
                <w:color w:val="auto"/>
              </w:rPr>
              <w:t>$632</w:t>
            </w:r>
          </w:p>
        </w:tc>
        <w:tc>
          <w:tcPr>
            <w:tcW w:w="920" w:type="dxa"/>
            <w:vAlign w:val="bottom"/>
            <w:shd w:val="clear" w:color="auto" w:fill="EBEBEB"/>
          </w:tcPr>
          <w:p>
            <w:pPr>
              <w:jc w:val="right"/>
              <w:spacing w:after="0"/>
              <w:rPr>
                <w:sz w:val="20"/>
                <w:szCs w:val="20"/>
                <w:color w:val="auto"/>
              </w:rPr>
            </w:pPr>
            <w:r>
              <w:rPr>
                <w:rFonts w:ascii="Arial" w:cs="Arial" w:eastAsia="Arial" w:hAnsi="Arial"/>
                <w:sz w:val="14"/>
                <w:szCs w:val="14"/>
                <w:color w:val="auto"/>
              </w:rPr>
              <w:t>$736  </w:t>
            </w:r>
          </w:p>
        </w:tc>
        <w:tc>
          <w:tcPr>
            <w:tcW w:w="20" w:type="dxa"/>
            <w:vAlign w:val="bottom"/>
          </w:tcPr>
          <w:p>
            <w:pPr>
              <w:spacing w:after="0"/>
              <w:rPr>
                <w:sz w:val="24"/>
                <w:szCs w:val="24"/>
                <w:color w:val="auto"/>
              </w:rPr>
            </w:pPr>
          </w:p>
        </w:tc>
      </w:tr>
      <w:tr>
        <w:trPr>
          <w:trHeight w:val="89"/>
        </w:trPr>
        <w:tc>
          <w:tcPr>
            <w:tcW w:w="7260" w:type="dxa"/>
            <w:vAlign w:val="bottom"/>
            <w:shd w:val="clear" w:color="auto" w:fill="EBEBEB"/>
          </w:tcPr>
          <w:p>
            <w:pPr>
              <w:spacing w:after="0"/>
              <w:rPr>
                <w:sz w:val="7"/>
                <w:szCs w:val="7"/>
                <w:color w:val="auto"/>
              </w:rPr>
            </w:pPr>
          </w:p>
        </w:tc>
        <w:tc>
          <w:tcPr>
            <w:tcW w:w="1220" w:type="dxa"/>
            <w:vAlign w:val="bottom"/>
            <w:shd w:val="clear" w:color="auto" w:fill="EBEBEB"/>
          </w:tcPr>
          <w:p>
            <w:pPr>
              <w:spacing w:after="0"/>
              <w:rPr>
                <w:sz w:val="7"/>
                <w:szCs w:val="7"/>
                <w:color w:val="auto"/>
              </w:rPr>
            </w:pPr>
          </w:p>
        </w:tc>
        <w:tc>
          <w:tcPr>
            <w:tcW w:w="920" w:type="dxa"/>
            <w:vAlign w:val="bottom"/>
            <w:shd w:val="clear" w:color="auto" w:fill="EBEBEB"/>
          </w:tcPr>
          <w:p>
            <w:pPr>
              <w:spacing w:after="0"/>
              <w:rPr>
                <w:sz w:val="7"/>
                <w:szCs w:val="7"/>
                <w:color w:val="auto"/>
              </w:rPr>
            </w:pPr>
          </w:p>
        </w:tc>
        <w:tc>
          <w:tcPr>
            <w:tcW w:w="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-248285</wp:posOffset>
            </wp:positionV>
            <wp:extent cx="59664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-513715</wp:posOffset>
            </wp:positionV>
            <wp:extent cx="59664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-779780</wp:posOffset>
            </wp:positionV>
            <wp:extent cx="59664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-1045210</wp:posOffset>
            </wp:positionV>
            <wp:extent cx="59664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4632960</wp:posOffset>
            </wp:positionH>
            <wp:positionV relativeFrom="paragraph">
              <wp:posOffset>-1559560</wp:posOffset>
            </wp:positionV>
            <wp:extent cx="133731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3731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-1310640</wp:posOffset>
            </wp:positionV>
            <wp:extent cx="59664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33" w:lineRule="exact"/>
        <w:rPr>
          <w:sz w:val="20"/>
          <w:szCs w:val="20"/>
          <w:color w:val="auto"/>
        </w:rPr>
      </w:pPr>
    </w:p>
    <w:p>
      <w:pPr>
        <w:ind w:left="320" w:right="420" w:hanging="224"/>
        <w:spacing w:after="0" w:line="285" w:lineRule="auto"/>
        <w:tabs>
          <w:tab w:leader="none" w:pos="320" w:val="left"/>
        </w:tabs>
        <w:numPr>
          <w:ilvl w:val="0"/>
          <w:numId w:val="23"/>
        </w:numPr>
        <w:rPr>
          <w:rFonts w:ascii="Arial" w:cs="Arial" w:eastAsia="Arial" w:hAnsi="Arial"/>
          <w:sz w:val="14"/>
          <w:szCs w:val="14"/>
          <w:color w:val="255993"/>
        </w:rPr>
      </w:pPr>
      <w:r>
        <w:rPr>
          <w:rFonts w:ascii="Arial" w:cs="Arial" w:eastAsia="Arial" w:hAnsi="Arial"/>
          <w:sz w:val="14"/>
          <w:szCs w:val="14"/>
          <w:color w:val="255993"/>
        </w:rPr>
        <w:t>Audit fees include fees incurred associated with the annual audit, the reviews of the Company’s interim financial information, consents to documents filed with the SEC, and services provided in connection with our at-the-market offering program incurred in 2022.</w:t>
      </w:r>
    </w:p>
    <w:p>
      <w:pPr>
        <w:spacing w:after="0" w:line="22" w:lineRule="exact"/>
        <w:rPr>
          <w:rFonts w:ascii="Arial" w:cs="Arial" w:eastAsia="Arial" w:hAnsi="Arial"/>
          <w:sz w:val="14"/>
          <w:szCs w:val="14"/>
          <w:color w:val="255993"/>
        </w:rPr>
      </w:pPr>
    </w:p>
    <w:p>
      <w:pPr>
        <w:ind w:left="320" w:right="140" w:hanging="224"/>
        <w:spacing w:after="0" w:line="285" w:lineRule="auto"/>
        <w:tabs>
          <w:tab w:leader="none" w:pos="320" w:val="left"/>
        </w:tabs>
        <w:numPr>
          <w:ilvl w:val="0"/>
          <w:numId w:val="23"/>
        </w:numPr>
        <w:rPr>
          <w:rFonts w:ascii="Arial" w:cs="Arial" w:eastAsia="Arial" w:hAnsi="Arial"/>
          <w:sz w:val="14"/>
          <w:szCs w:val="14"/>
          <w:color w:val="255993"/>
        </w:rPr>
      </w:pPr>
      <w:r>
        <w:rPr>
          <w:rFonts w:ascii="Arial" w:cs="Arial" w:eastAsia="Arial" w:hAnsi="Arial"/>
          <w:sz w:val="14"/>
          <w:szCs w:val="14"/>
          <w:color w:val="255993"/>
        </w:rPr>
        <w:t>Audit-related fees include fees for assurance and related services that are reasonably related to the performance of the audit or review of our financial statements. There were no such fees incurred in 2023 or 2022.</w:t>
      </w:r>
    </w:p>
    <w:p>
      <w:pPr>
        <w:spacing w:after="0" w:line="36" w:lineRule="exact"/>
        <w:rPr>
          <w:rFonts w:ascii="Arial" w:cs="Arial" w:eastAsia="Arial" w:hAnsi="Arial"/>
          <w:sz w:val="14"/>
          <w:szCs w:val="14"/>
          <w:color w:val="255993"/>
        </w:rPr>
      </w:pPr>
    </w:p>
    <w:p>
      <w:pPr>
        <w:ind w:left="320" w:right="480" w:hanging="224"/>
        <w:spacing w:after="0" w:line="285" w:lineRule="auto"/>
        <w:tabs>
          <w:tab w:leader="none" w:pos="320" w:val="left"/>
        </w:tabs>
        <w:numPr>
          <w:ilvl w:val="0"/>
          <w:numId w:val="23"/>
        </w:numPr>
        <w:rPr>
          <w:rFonts w:ascii="Arial" w:cs="Arial" w:eastAsia="Arial" w:hAnsi="Arial"/>
          <w:sz w:val="14"/>
          <w:szCs w:val="14"/>
          <w:color w:val="255993"/>
        </w:rPr>
      </w:pPr>
      <w:r>
        <w:rPr>
          <w:rFonts w:ascii="Arial" w:cs="Arial" w:eastAsia="Arial" w:hAnsi="Arial"/>
          <w:sz w:val="14"/>
          <w:szCs w:val="14"/>
          <w:color w:val="255993"/>
        </w:rPr>
        <w:t>Tax fees consist of fees for professional services, including tax compliance services and tax advisory services. There were no such fees incurred in 2023 or 2022.</w:t>
      </w:r>
    </w:p>
    <w:p>
      <w:pPr>
        <w:spacing w:after="0" w:line="36" w:lineRule="exact"/>
        <w:rPr>
          <w:rFonts w:ascii="Arial" w:cs="Arial" w:eastAsia="Arial" w:hAnsi="Arial"/>
          <w:sz w:val="14"/>
          <w:szCs w:val="14"/>
          <w:color w:val="255993"/>
        </w:rPr>
      </w:pPr>
    </w:p>
    <w:p>
      <w:pPr>
        <w:ind w:left="320" w:hanging="224"/>
        <w:spacing w:after="0"/>
        <w:tabs>
          <w:tab w:leader="none" w:pos="320" w:val="left"/>
        </w:tabs>
        <w:numPr>
          <w:ilvl w:val="0"/>
          <w:numId w:val="23"/>
        </w:numPr>
        <w:rPr>
          <w:rFonts w:ascii="Arial" w:cs="Arial" w:eastAsia="Arial" w:hAnsi="Arial"/>
          <w:sz w:val="14"/>
          <w:szCs w:val="14"/>
          <w:color w:val="255993"/>
        </w:rPr>
      </w:pPr>
      <w:r>
        <w:rPr>
          <w:rFonts w:ascii="Arial" w:cs="Arial" w:eastAsia="Arial" w:hAnsi="Arial"/>
          <w:sz w:val="14"/>
          <w:szCs w:val="14"/>
          <w:color w:val="255993"/>
        </w:rPr>
        <w:t>All other fees include any fees billed that are not audit fees, audit-related fees or tax fees. There were no such fees incurred in 2023 or 2022.</w:t>
      </w:r>
    </w:p>
    <w:p>
      <w:pPr>
        <w:spacing w:after="0" w:line="217"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26</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20"/>
          </w:cols>
          <w:pgMar w:left="1240" w:top="263" w:right="1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4"/>
          <w:szCs w:val="14"/>
          <w:color w:val="255993"/>
        </w:rPr>
        <w:t>Proposal Two</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AUDITOR INDEPENDENCE</w:t>
      </w:r>
    </w:p>
    <w:p>
      <w:pPr>
        <w:spacing w:after="0" w:line="149"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In 2023, there were no other professional services provided by Ernst &amp; Young LLP, other than those listed above, that would have required our audit committee to consider their compatibility with maintaining the independence of Ernst &amp; Young LLP.</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AUDIT COMMITTEE POLICY ON PRE-APPROVAL OF AUDIT AND PERMISSIBLE NON-AUDIT SERVICES</w:t>
      </w:r>
    </w:p>
    <w:p>
      <w:pPr>
        <w:spacing w:after="0" w:line="13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Our audit committee’s policy is to pre-approve all audit and permissible non-audit services provided by our independent registered public accounting firm, the scope of services provided by our independent registered public accounting firm and the fees for the services to be performed. These services may include audit services, audit-related services, tax services and other services. Pre-approval is detailed as to the particular service or category of services and is generally subject to a specific budget. Our independent registered public accounting firm and management are required to periodically report to the audit committee regarding the extent of services provided by our independent registered public accounting firm in accordance with this pre- approval, and the fees for the services performed to date. The audit committee may delegate to the chairperson authority to approve in advance permitted services to be performed by the independent auditor or other registered public accounting firms along with any associated fees.</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All services related to the fees described in the table above were pre-approved by our audit committee.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VOTE REQUIRED</w:t>
      </w:r>
    </w:p>
    <w:p>
      <w:pPr>
        <w:spacing w:after="0" w:line="149"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The ratification of the appointment of Ernst &amp; Young LLP as our independent registered public accounting firm for our fiscal year ending December 31, 2024 requires the affirmative vote of a majority of the voting power of the shares cast, affirmatively or negatively. Broker non-votes and abstentions will be counted for purposes of determining the presence or absence of a quorum. However, neither broker non-votes nor abstentions will be considered votes cast for or against this proposal. Accordingly, broker non-votes and abstentions will have no impact on the outcome of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869315</wp:posOffset>
            </wp:positionH>
            <wp:positionV relativeFrom="paragraph">
              <wp:posOffset>28575</wp:posOffset>
            </wp:positionV>
            <wp:extent cx="17145" cy="8401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145" cy="84010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527"/>
        </w:trPr>
        <w:tc>
          <w:tcPr>
            <w:tcW w:w="1380" w:type="dxa"/>
            <w:vAlign w:val="bottom"/>
            <w:tcBorders>
              <w:bottom w:val="single" w:sz="8" w:color="255993"/>
            </w:tcBorders>
            <w:shd w:val="clear" w:color="auto" w:fill="255993"/>
          </w:tcPr>
          <w:p>
            <w:pPr>
              <w:spacing w:after="0"/>
              <w:rPr>
                <w:sz w:val="24"/>
                <w:szCs w:val="24"/>
                <w:color w:val="auto"/>
              </w:rPr>
            </w:pPr>
          </w:p>
        </w:tc>
        <w:tc>
          <w:tcPr>
            <w:tcW w:w="240" w:type="dxa"/>
            <w:vAlign w:val="bottom"/>
            <w:tcBorders>
              <w:bottom w:val="single" w:sz="8" w:color="EBEBEB"/>
            </w:tcBorders>
            <w:shd w:val="clear" w:color="auto" w:fill="EBEBEB"/>
          </w:tcPr>
          <w:p>
            <w:pPr>
              <w:spacing w:after="0"/>
              <w:rPr>
                <w:sz w:val="24"/>
                <w:szCs w:val="24"/>
                <w:color w:val="auto"/>
              </w:rPr>
            </w:pPr>
          </w:p>
        </w:tc>
        <w:tc>
          <w:tcPr>
            <w:tcW w:w="1740" w:type="dxa"/>
            <w:vAlign w:val="bottom"/>
            <w:tcBorders>
              <w:bottom w:val="single" w:sz="8" w:color="F8991D"/>
            </w:tcBorders>
            <w:shd w:val="clear" w:color="auto" w:fill="EBEBEB"/>
          </w:tcPr>
          <w:p>
            <w:pPr>
              <w:spacing w:after="0"/>
              <w:rPr>
                <w:sz w:val="20"/>
                <w:szCs w:val="20"/>
                <w:color w:val="auto"/>
              </w:rPr>
            </w:pPr>
            <w:r>
              <w:rPr>
                <w:rFonts w:ascii="Arial" w:cs="Arial" w:eastAsia="Arial" w:hAnsi="Arial"/>
                <w:sz w:val="16"/>
                <w:szCs w:val="16"/>
                <w:color w:val="auto"/>
                <w:w w:val="99"/>
              </w:rPr>
              <w:t>Board Recommendation</w:t>
            </w:r>
          </w:p>
        </w:tc>
        <w:tc>
          <w:tcPr>
            <w:tcW w:w="6040" w:type="dxa"/>
            <w:vAlign w:val="bottom"/>
            <w:tcBorders>
              <w:bottom w:val="single" w:sz="8" w:color="EBEBEB"/>
            </w:tcBorders>
            <w:shd w:val="clear" w:color="auto" w:fill="EBEBEB"/>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1380" w:type="dxa"/>
            <w:vAlign w:val="bottom"/>
            <w:vMerge w:val="restart"/>
            <w:shd w:val="clear" w:color="auto" w:fill="255993"/>
          </w:tcPr>
          <w:p>
            <w:pPr>
              <w:spacing w:after="0"/>
              <w:rPr>
                <w:sz w:val="20"/>
                <w:szCs w:val="20"/>
                <w:color w:val="auto"/>
              </w:rPr>
            </w:pPr>
            <w:r>
              <w:rPr>
                <w:rFonts w:ascii="Arial" w:cs="Arial" w:eastAsia="Arial" w:hAnsi="Arial"/>
                <w:sz w:val="16"/>
                <w:szCs w:val="16"/>
                <w:b w:val="1"/>
                <w:bCs w:val="1"/>
                <w:color w:val="auto"/>
              </w:rPr>
              <w:t xml:space="preserve">  </w:t>
            </w:r>
          </w:p>
        </w:tc>
        <w:tc>
          <w:tcPr>
            <w:tcW w:w="240" w:type="dxa"/>
            <w:vAlign w:val="bottom"/>
            <w:shd w:val="clear" w:color="auto" w:fill="EBEBEB"/>
          </w:tcPr>
          <w:p>
            <w:pPr>
              <w:spacing w:after="0"/>
              <w:rPr>
                <w:sz w:val="24"/>
                <w:szCs w:val="24"/>
                <w:color w:val="auto"/>
              </w:rPr>
            </w:pPr>
          </w:p>
        </w:tc>
        <w:tc>
          <w:tcPr>
            <w:tcW w:w="7780" w:type="dxa"/>
            <w:vAlign w:val="bottom"/>
            <w:gridSpan w:val="2"/>
            <w:shd w:val="clear" w:color="auto" w:fill="EBEBEB"/>
          </w:tcPr>
          <w:p>
            <w:pPr>
              <w:spacing w:after="0"/>
              <w:rPr>
                <w:sz w:val="20"/>
                <w:szCs w:val="20"/>
                <w:color w:val="auto"/>
              </w:rPr>
            </w:pPr>
            <w:r>
              <w:rPr>
                <w:rFonts w:ascii="Arial" w:cs="Arial" w:eastAsia="Arial" w:hAnsi="Arial"/>
                <w:sz w:val="14"/>
                <w:szCs w:val="14"/>
                <w:color w:val="255993"/>
              </w:rPr>
              <w:t xml:space="preserve">Our Board of Directors recommends a vote </w:t>
            </w:r>
            <w:r>
              <w:rPr>
                <w:rFonts w:ascii="Arial" w:cs="Arial" w:eastAsia="Arial" w:hAnsi="Arial"/>
                <w:sz w:val="14"/>
                <w:szCs w:val="14"/>
                <w:b w:val="1"/>
                <w:bCs w:val="1"/>
                <w:color w:val="255993"/>
              </w:rPr>
              <w:t>“FOR”</w:t>
            </w:r>
            <w:r>
              <w:rPr>
                <w:rFonts w:ascii="Arial" w:cs="Arial" w:eastAsia="Arial" w:hAnsi="Arial"/>
                <w:sz w:val="14"/>
                <w:szCs w:val="14"/>
                <w:color w:val="255993"/>
              </w:rPr>
              <w:t xml:space="preserve"> this proposal.</w:t>
            </w:r>
          </w:p>
        </w:tc>
        <w:tc>
          <w:tcPr>
            <w:tcW w:w="0" w:type="dxa"/>
            <w:vAlign w:val="bottom"/>
          </w:tcPr>
          <w:p>
            <w:pPr>
              <w:spacing w:after="0"/>
              <w:rPr>
                <w:sz w:val="1"/>
                <w:szCs w:val="1"/>
                <w:color w:val="auto"/>
              </w:rPr>
            </w:pPr>
          </w:p>
        </w:tc>
      </w:tr>
      <w:tr>
        <w:trPr>
          <w:trHeight w:val="89"/>
        </w:trPr>
        <w:tc>
          <w:tcPr>
            <w:tcW w:w="1380" w:type="dxa"/>
            <w:vAlign w:val="bottom"/>
            <w:vMerge w:val="continue"/>
            <w:shd w:val="clear" w:color="auto" w:fill="255993"/>
          </w:tcPr>
          <w:p>
            <w:pPr>
              <w:spacing w:after="0"/>
              <w:rPr>
                <w:sz w:val="7"/>
                <w:szCs w:val="7"/>
                <w:color w:val="auto"/>
              </w:rPr>
            </w:pPr>
          </w:p>
        </w:tc>
        <w:tc>
          <w:tcPr>
            <w:tcW w:w="240" w:type="dxa"/>
            <w:vAlign w:val="bottom"/>
            <w:shd w:val="clear" w:color="auto" w:fill="EBEBEB"/>
          </w:tcPr>
          <w:p>
            <w:pPr>
              <w:spacing w:after="0"/>
              <w:rPr>
                <w:sz w:val="7"/>
                <w:szCs w:val="7"/>
                <w:color w:val="auto"/>
              </w:rPr>
            </w:pPr>
          </w:p>
        </w:tc>
        <w:tc>
          <w:tcPr>
            <w:tcW w:w="1740" w:type="dxa"/>
            <w:vAlign w:val="bottom"/>
            <w:shd w:val="clear" w:color="auto" w:fill="EBEBEB"/>
          </w:tcPr>
          <w:p>
            <w:pPr>
              <w:spacing w:after="0"/>
              <w:rPr>
                <w:sz w:val="7"/>
                <w:szCs w:val="7"/>
                <w:color w:val="auto"/>
              </w:rPr>
            </w:pPr>
          </w:p>
        </w:tc>
        <w:tc>
          <w:tcPr>
            <w:tcW w:w="6040" w:type="dxa"/>
            <w:vAlign w:val="bottom"/>
            <w:shd w:val="clear" w:color="auto" w:fill="EBEBEB"/>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380" w:type="dxa"/>
            <w:vAlign w:val="bottom"/>
            <w:shd w:val="clear" w:color="auto" w:fill="255993"/>
          </w:tcPr>
          <w:p>
            <w:pPr>
              <w:spacing w:after="0"/>
              <w:rPr>
                <w:sz w:val="19"/>
                <w:szCs w:val="19"/>
                <w:color w:val="auto"/>
              </w:rPr>
            </w:pPr>
          </w:p>
        </w:tc>
        <w:tc>
          <w:tcPr>
            <w:tcW w:w="240" w:type="dxa"/>
            <w:vAlign w:val="bottom"/>
            <w:shd w:val="clear" w:color="auto" w:fill="EBEBEB"/>
          </w:tcPr>
          <w:p>
            <w:pPr>
              <w:spacing w:after="0"/>
              <w:rPr>
                <w:sz w:val="19"/>
                <w:szCs w:val="19"/>
                <w:color w:val="auto"/>
              </w:rPr>
            </w:pPr>
          </w:p>
        </w:tc>
        <w:tc>
          <w:tcPr>
            <w:tcW w:w="1740" w:type="dxa"/>
            <w:vAlign w:val="bottom"/>
            <w:shd w:val="clear" w:color="auto" w:fill="EBEBEB"/>
          </w:tcPr>
          <w:p>
            <w:pPr>
              <w:spacing w:after="0"/>
              <w:rPr>
                <w:sz w:val="19"/>
                <w:szCs w:val="19"/>
                <w:color w:val="auto"/>
              </w:rPr>
            </w:pPr>
          </w:p>
        </w:tc>
        <w:tc>
          <w:tcPr>
            <w:tcW w:w="6040" w:type="dxa"/>
            <w:vAlign w:val="bottom"/>
            <w:shd w:val="clear" w:color="auto" w:fill="EBEBEB"/>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-573405</wp:posOffset>
            </wp:positionV>
            <wp:extent cx="308610" cy="3003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08610" cy="300355"/>
                    </a:xfrm>
                    <a:prstGeom prst="rect">
                      <a:avLst/>
                    </a:prstGeom>
                    <a:noFill/>
                  </pic:spPr>
                </pic:pic>
              </a:graphicData>
            </a:graphic>
          </wp:anchor>
        </w:drawing>
      </w:r>
    </w:p>
    <w:p>
      <w:pPr>
        <w:spacing w:after="0" w:line="187"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27</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38" w:lineRule="exact"/>
        <w:rPr>
          <w:sz w:val="20"/>
          <w:szCs w:val="20"/>
          <w:color w:val="auto"/>
        </w:rPr>
      </w:pPr>
    </w:p>
    <w:p>
      <w:pPr>
        <w:spacing w:after="0"/>
        <w:rPr>
          <w:sz w:val="20"/>
          <w:szCs w:val="20"/>
          <w:color w:val="auto"/>
        </w:rPr>
      </w:pPr>
      <w:r>
        <w:rPr>
          <w:rFonts w:ascii="Arial" w:cs="Arial" w:eastAsia="Arial" w:hAnsi="Arial"/>
          <w:sz w:val="58"/>
          <w:szCs w:val="58"/>
          <w:color w:val="255993"/>
        </w:rPr>
        <w:t>Report of the Audit Committee</w:t>
      </w:r>
    </w:p>
    <w:p>
      <w:pPr>
        <w:spacing w:after="0" w:line="35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audit committee is a committee of our board of directors comprised solely of independent directors as required by Nasdaq listing rules and the rules and regulations of the SEC. The audit committee operates under a written charter adopted by the board of directors, which is available on our website at https://investors.athira.com/corporate-governance/governance-overview. This written charter is reviewed annually for changes, as appropriate. With respect to our financial reporting process, our management is responsible for (1) establishing and maintaining internal controls and (2) preparing our consolidated financial statements. Our independent registered public accounting firm, Ernst &amp; Young LLP, is responsible for performing an independent audit of our consolidated financial statements. It is the responsibility of the audit committee to oversee these activities. It is not the responsibility of the audit committee to prepare our financial statements. These are the fundamental responsibilities of management. In the performance of its oversight function, the audit committee has:</w:t>
      </w:r>
    </w:p>
    <w:p>
      <w:pPr>
        <w:spacing w:after="0" w:line="131" w:lineRule="exact"/>
        <w:rPr>
          <w:sz w:val="20"/>
          <w:szCs w:val="20"/>
          <w:color w:val="auto"/>
        </w:rPr>
      </w:pPr>
    </w:p>
    <w:p>
      <w:pPr>
        <w:ind w:left="140" w:hanging="134"/>
        <w:spacing w:after="0"/>
        <w:tabs>
          <w:tab w:leader="none" w:pos="140" w:val="left"/>
        </w:tabs>
        <w:numPr>
          <w:ilvl w:val="0"/>
          <w:numId w:val="24"/>
        </w:numPr>
        <w:rPr>
          <w:rFonts w:ascii="Arial" w:cs="Arial" w:eastAsia="Arial" w:hAnsi="Arial"/>
          <w:sz w:val="16"/>
          <w:szCs w:val="16"/>
          <w:color w:val="255993"/>
        </w:rPr>
      </w:pPr>
      <w:r>
        <w:rPr>
          <w:rFonts w:ascii="Arial" w:cs="Arial" w:eastAsia="Arial" w:hAnsi="Arial"/>
          <w:sz w:val="16"/>
          <w:szCs w:val="16"/>
          <w:color w:val="auto"/>
        </w:rPr>
        <w:t>reviewed and discussed the audited consolidated financial statements with management and Ernst &amp; Young LLP;</w:t>
      </w:r>
    </w:p>
    <w:p>
      <w:pPr>
        <w:spacing w:after="0" w:line="59" w:lineRule="exact"/>
        <w:rPr>
          <w:rFonts w:ascii="Arial" w:cs="Arial" w:eastAsia="Arial" w:hAnsi="Arial"/>
          <w:sz w:val="16"/>
          <w:szCs w:val="16"/>
          <w:color w:val="255993"/>
        </w:rPr>
      </w:pPr>
    </w:p>
    <w:p>
      <w:pPr>
        <w:ind w:left="140" w:right="200" w:hanging="134"/>
        <w:spacing w:after="0" w:line="281" w:lineRule="auto"/>
        <w:tabs>
          <w:tab w:leader="none" w:pos="140" w:val="left"/>
        </w:tabs>
        <w:numPr>
          <w:ilvl w:val="0"/>
          <w:numId w:val="24"/>
        </w:numPr>
        <w:rPr>
          <w:rFonts w:ascii="Arial" w:cs="Arial" w:eastAsia="Arial" w:hAnsi="Arial"/>
          <w:sz w:val="16"/>
          <w:szCs w:val="16"/>
          <w:color w:val="255993"/>
        </w:rPr>
      </w:pPr>
      <w:r>
        <w:rPr>
          <w:rFonts w:ascii="Arial" w:cs="Arial" w:eastAsia="Arial" w:hAnsi="Arial"/>
          <w:sz w:val="16"/>
          <w:szCs w:val="16"/>
          <w:color w:val="auto"/>
        </w:rPr>
        <w:t>discussed with Ernst &amp; Young LLP the matters required to be discussed by the applicable requirements of the Public Company Accounting Oversight Board, or PCAOB, and the SEC; and</w:t>
      </w:r>
    </w:p>
    <w:p>
      <w:pPr>
        <w:spacing w:after="0" w:line="1" w:lineRule="exact"/>
        <w:rPr>
          <w:rFonts w:ascii="Arial" w:cs="Arial" w:eastAsia="Arial" w:hAnsi="Arial"/>
          <w:sz w:val="16"/>
          <w:szCs w:val="16"/>
          <w:color w:val="255993"/>
        </w:rPr>
      </w:pPr>
    </w:p>
    <w:p>
      <w:pPr>
        <w:ind w:left="140" w:right="80" w:hanging="134"/>
        <w:spacing w:after="0" w:line="266" w:lineRule="auto"/>
        <w:tabs>
          <w:tab w:leader="none" w:pos="140" w:val="left"/>
        </w:tabs>
        <w:numPr>
          <w:ilvl w:val="0"/>
          <w:numId w:val="24"/>
        </w:numPr>
        <w:rPr>
          <w:rFonts w:ascii="Arial" w:cs="Arial" w:eastAsia="Arial" w:hAnsi="Arial"/>
          <w:sz w:val="16"/>
          <w:szCs w:val="16"/>
          <w:color w:val="255993"/>
        </w:rPr>
      </w:pPr>
      <w:r>
        <w:rPr>
          <w:rFonts w:ascii="Arial" w:cs="Arial" w:eastAsia="Arial" w:hAnsi="Arial"/>
          <w:sz w:val="16"/>
          <w:szCs w:val="16"/>
          <w:color w:val="auto"/>
        </w:rPr>
        <w:t>received the written disclosures and the letter from Ernst &amp; Young LLP required by the applicable requirements of the PCAOB regarding the independent accountant’s communications with the audit committee concerning independence, and has discussed with Ernst &amp; Young LLP its independence.</w:t>
      </w:r>
    </w:p>
    <w:p>
      <w:pPr>
        <w:spacing w:after="0" w:line="104" w:lineRule="exact"/>
        <w:rPr>
          <w:sz w:val="20"/>
          <w:szCs w:val="20"/>
          <w:color w:val="auto"/>
        </w:rPr>
      </w:pPr>
    </w:p>
    <w:p>
      <w:pPr>
        <w:ind w:right="360"/>
        <w:spacing w:after="0" w:line="266" w:lineRule="auto"/>
        <w:rPr>
          <w:sz w:val="20"/>
          <w:szCs w:val="20"/>
          <w:color w:val="auto"/>
        </w:rPr>
      </w:pPr>
      <w:r>
        <w:rPr>
          <w:rFonts w:ascii="Arial" w:cs="Arial" w:eastAsia="Arial" w:hAnsi="Arial"/>
          <w:sz w:val="16"/>
          <w:szCs w:val="16"/>
          <w:color w:val="auto"/>
        </w:rPr>
        <w:t>Based on the audit committee’s review and discussions with management and Ernst &amp; Young LLP noted above, the audit committee recommended to the board of directors that the audited consolidated financial statements be included in the Annual Report on Form 10-K for the fiscal year ended December 31, 2023, filed with the SEC on February 22, 2024.</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Respectfully submitted by the members of the audit committee of the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JAMES A. JOHNSON (CHAIR), JOHN M. FLUKE, JR., GRANT PICKERING.</w:t>
      </w:r>
    </w:p>
    <w:p>
      <w:pPr>
        <w:spacing w:after="0" w:line="156"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i w:val="1"/>
          <w:iCs w:val="1"/>
          <w:color w:val="auto"/>
        </w:rPr>
        <w:t>This audit committee report shall not be deemed to be “soliciting material” or to be “filed” with the SEC or subject to Regulation 14A promulgated by the SEC or to the liabilities of Section 18 of the Exchange Act, and shall not be deemed incorporated by reference into any prior or subsequent filing by the Company under the Securities Act of 1933, as amended, or the Securities Act, or the Exchange Act, except to the extent the Company specifically requests that the information be treated as “soliciting material” or specifically incorporates it by reference.</w:t>
      </w:r>
    </w:p>
    <w:p>
      <w:pPr>
        <w:spacing w:after="0" w:line="186"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28</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9" w:lineRule="exact"/>
        <w:rPr>
          <w:sz w:val="20"/>
          <w:szCs w:val="20"/>
          <w:color w:val="auto"/>
        </w:rPr>
      </w:pPr>
    </w:p>
    <w:p>
      <w:pPr>
        <w:ind w:right="2620"/>
        <w:spacing w:after="0" w:line="272" w:lineRule="auto"/>
        <w:rPr>
          <w:sz w:val="20"/>
          <w:szCs w:val="20"/>
          <w:color w:val="auto"/>
        </w:rPr>
      </w:pPr>
      <w:r>
        <w:rPr>
          <w:rFonts w:ascii="Arial" w:cs="Arial" w:eastAsia="Arial" w:hAnsi="Arial"/>
          <w:sz w:val="22"/>
          <w:szCs w:val="22"/>
          <w:b w:val="1"/>
          <w:bCs w:val="1"/>
          <w:color w:val="F8991D"/>
        </w:rPr>
        <w:t>APPROVAL OF AMENDMENT TO OUR AMENDED AND RESTATED CERTIFICATE OF INCORPORATION</w:t>
      </w:r>
    </w:p>
    <w:p>
      <w:pPr>
        <w:spacing w:after="0" w:line="10" w:lineRule="exact"/>
        <w:rPr>
          <w:sz w:val="20"/>
          <w:szCs w:val="20"/>
          <w:color w:val="auto"/>
        </w:rPr>
      </w:pPr>
    </w:p>
    <w:p>
      <w:pPr>
        <w:spacing w:after="0"/>
        <w:rPr>
          <w:sz w:val="20"/>
          <w:szCs w:val="20"/>
          <w:color w:val="auto"/>
        </w:rPr>
      </w:pPr>
      <w:r>
        <w:rPr>
          <w:rFonts w:ascii="Arial" w:cs="Arial" w:eastAsia="Arial" w:hAnsi="Arial"/>
          <w:sz w:val="58"/>
          <w:szCs w:val="58"/>
          <w:color w:val="255993"/>
        </w:rPr>
        <w:t>Proposal Three</w:t>
      </w:r>
    </w:p>
    <w:p>
      <w:pPr>
        <w:spacing w:after="0" w:line="357"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At the Annual Meeting, we are asking our stockholders to approve an amendment to our amended and restated certificate of incorporation, or the existing charter, to provide for exculpation from liability for our officers for certain breaches of fiduciary duties, similar to the protections currently available for our directors, as permitted under Delaware law (the “Exculpation Amendment”). The board of directors has unanimously adopted and declared advisable, and resolved to recommend to the Company’s stockholders that they approve and adopt the Exculpation Amendment.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PROPOSED AMENDMENT TO THE AMENDED AND RESTATED CERTIFICATE OF INCORPORATION</w:t>
      </w:r>
    </w:p>
    <w:p>
      <w:pPr>
        <w:spacing w:after="0" w:line="14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proposed Exculpation Amendment, marked to show the proposed changes, would amend Section 1 of Article IX of the existing charter to read in its entirety as follows (insertions are shown in underlined italics):</w:t>
      </w:r>
    </w:p>
    <w:p>
      <w:pPr>
        <w:spacing w:after="0" w:line="88" w:lineRule="exact"/>
        <w:rPr>
          <w:sz w:val="20"/>
          <w:szCs w:val="20"/>
          <w:color w:val="auto"/>
        </w:rPr>
      </w:pPr>
    </w:p>
    <w:p>
      <w:pPr>
        <w:ind w:left="360" w:right="40"/>
        <w:spacing w:after="0" w:line="256" w:lineRule="auto"/>
        <w:rPr>
          <w:sz w:val="20"/>
          <w:szCs w:val="20"/>
          <w:color w:val="auto"/>
        </w:rPr>
      </w:pPr>
      <w:r>
        <w:rPr>
          <w:rFonts w:ascii="Arial" w:cs="Arial" w:eastAsia="Arial" w:hAnsi="Arial"/>
          <w:sz w:val="16"/>
          <w:szCs w:val="16"/>
          <w:color w:val="auto"/>
        </w:rPr>
        <w:t xml:space="preserve">Section 1. To the fullest extent permitted by the DGCL as the same exists or as may hereafter be amended from time to time, a director </w:t>
      </w:r>
      <w:r>
        <w:rPr>
          <w:rFonts w:ascii="Arial" w:cs="Arial" w:eastAsia="Arial" w:hAnsi="Arial"/>
          <w:sz w:val="16"/>
          <w:szCs w:val="16"/>
          <w:i w:val="1"/>
          <w:iCs w:val="1"/>
          <w:u w:val="single" w:color="auto"/>
          <w:color w:val="auto"/>
        </w:rPr>
        <w:t>or officer</w:t>
      </w:r>
      <w:r>
        <w:rPr>
          <w:rFonts w:ascii="Arial" w:cs="Arial" w:eastAsia="Arial" w:hAnsi="Arial"/>
          <w:sz w:val="16"/>
          <w:szCs w:val="16"/>
          <w:color w:val="auto"/>
        </w:rPr>
        <w:t xml:space="preserve"> of the Company shall not be personally liable to the Company or its stockholders for monetary damages for breach of fiduciary duty as a director </w:t>
      </w:r>
      <w:r>
        <w:rPr>
          <w:rFonts w:ascii="Arial" w:cs="Arial" w:eastAsia="Arial" w:hAnsi="Arial"/>
          <w:sz w:val="16"/>
          <w:szCs w:val="16"/>
          <w:i w:val="1"/>
          <w:iCs w:val="1"/>
          <w:u w:val="single" w:color="auto"/>
          <w:color w:val="auto"/>
        </w:rPr>
        <w:t>or officer, as applicable</w:t>
      </w:r>
      <w:r>
        <w:rPr>
          <w:rFonts w:ascii="Arial" w:cs="Arial" w:eastAsia="Arial" w:hAnsi="Arial"/>
          <w:sz w:val="16"/>
          <w:szCs w:val="16"/>
          <w:color w:val="auto"/>
        </w:rPr>
        <w:t xml:space="preserve">. If the DGCL is amended to authorize corporate action further eliminating or limiting the personal liability of directors </w:t>
      </w:r>
      <w:r>
        <w:rPr>
          <w:rFonts w:ascii="Arial" w:cs="Arial" w:eastAsia="Arial" w:hAnsi="Arial"/>
          <w:sz w:val="16"/>
          <w:szCs w:val="16"/>
          <w:i w:val="1"/>
          <w:iCs w:val="1"/>
          <w:u w:val="single" w:color="auto"/>
          <w:color w:val="auto"/>
        </w:rPr>
        <w:t>or officers</w:t>
      </w:r>
      <w:r>
        <w:rPr>
          <w:rFonts w:ascii="Arial" w:cs="Arial" w:eastAsia="Arial" w:hAnsi="Arial"/>
          <w:sz w:val="16"/>
          <w:szCs w:val="16"/>
          <w:i w:val="1"/>
          <w:iCs w:val="1"/>
          <w:color w:val="auto"/>
        </w:rPr>
        <w:t>,</w:t>
      </w:r>
      <w:r>
        <w:rPr>
          <w:rFonts w:ascii="Arial" w:cs="Arial" w:eastAsia="Arial" w:hAnsi="Arial"/>
          <w:sz w:val="16"/>
          <w:szCs w:val="16"/>
          <w:color w:val="auto"/>
        </w:rPr>
        <w:t xml:space="preserve"> then the liability of a director </w:t>
      </w:r>
      <w:r>
        <w:rPr>
          <w:rFonts w:ascii="Arial" w:cs="Arial" w:eastAsia="Arial" w:hAnsi="Arial"/>
          <w:sz w:val="16"/>
          <w:szCs w:val="16"/>
          <w:i w:val="1"/>
          <w:iCs w:val="1"/>
          <w:u w:val="single" w:color="auto"/>
          <w:color w:val="auto"/>
        </w:rPr>
        <w:t>or officer</w:t>
      </w:r>
      <w:r>
        <w:rPr>
          <w:rFonts w:ascii="Arial" w:cs="Arial" w:eastAsia="Arial" w:hAnsi="Arial"/>
          <w:sz w:val="16"/>
          <w:szCs w:val="16"/>
          <w:color w:val="auto"/>
        </w:rPr>
        <w:t xml:space="preserve"> of the Company, </w:t>
      </w:r>
      <w:r>
        <w:rPr>
          <w:rFonts w:ascii="Arial" w:cs="Arial" w:eastAsia="Arial" w:hAnsi="Arial"/>
          <w:sz w:val="16"/>
          <w:szCs w:val="16"/>
          <w:i w:val="1"/>
          <w:iCs w:val="1"/>
          <w:u w:val="single" w:color="auto"/>
          <w:color w:val="auto"/>
        </w:rPr>
        <w:t>as</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eliminated or limited to the fullest extent permitted by the DGCL, as so amended.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A complete copy of the proposed charter amendment is attached as Annex A to this proxy statement.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PURPOSE OF THE EXCULPATION AMENDMENT</w:t>
      </w:r>
    </w:p>
    <w:p>
      <w:pPr>
        <w:spacing w:after="0" w:line="135"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Effective August 1, 2022, the State of Delaware, where we are incorporated, adopted amendments to Section 102(b)(7) of the Delaware General Corporation Law, or the DGCL, to allow a Delaware corporation to exculpate its officers from personal liability for monetary damages for certain breaches of fiduciary duty as an officer. Prior to this amendment to the DGCL, Delaware corporations were permitted to exculpate directors from personal liability for monetary damages associated with breaches of the duty of care, but that protection did not extend to a Delaware corporation’s officers. Consequently, stockholder plaintiffs have employed a tactic of bringing certain claims—that would otherwise be exculpated if brought against directors—against individual officers to avoid dismissal of such claims. The DGCL amendment was adopted to address inconsistent treatment between officers and directors and respond to rising litigation and insurance costs for Delaware companies and their stockholders.</w:t>
      </w:r>
    </w:p>
    <w:p>
      <w:pPr>
        <w:spacing w:after="0" w:line="115"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Our board of directors desires to amend the existing charter to add provisions consistent with the amendments to the DGCL, including as it may be further amended, and believes that the proposed Exculpation Amendment is necessary in order to (i) continue to attract and retain experienced and qualified officers and (ii) address rising litigation and insurance costs for Delaware corporations and their stockholders. The proposed Exculpation Amendment would allow for the exculpation of officers only in connection with direct claims brought by stockholders, including class actions, but would not eliminate officers’ monetary liability for breach of fiduciary duty claims brought by the Company itself or for derivative claims brought by stockholders in the name of the Company. As is currently the case with directors under our existing charter, the proposed Exculpation Amendment would not limit the liability of officers for any breach of the duty of loyalty to the Company or its stockholders, any acts or omissions not in good faith or which involve intentional misconduct or a knowing violation of the law, or any transaction from which the officer derived an improper personal benefit.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EFFECTIVENESS OF THE EXCULPATION AMENDMENT</w:t>
      </w:r>
    </w:p>
    <w:p>
      <w:pPr>
        <w:spacing w:after="0" w:line="14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If the proposed Exculpation Amendment is approved by the stockholders at the Annual Meeting, it will become effective upon the filing of the certificate of amendment to the existing charter with the Secretary of State of the State of Delaware. In accordance with the DGCL, however, our board of directors may elect to abandon the proposed Exculpation Amendment without further action by the stockholders at any time</w:t>
      </w:r>
    </w:p>
    <w:p>
      <w:pPr>
        <w:spacing w:after="0" w:line="183"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29</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38" w:name="page39"/>
    <w:bookmarkEnd w:id="38"/>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800"/>
        <w:spacing w:after="0"/>
        <w:rPr>
          <w:sz w:val="20"/>
          <w:szCs w:val="20"/>
          <w:color w:val="auto"/>
        </w:rPr>
      </w:pPr>
      <w:r>
        <w:rPr>
          <w:rFonts w:ascii="Arial" w:cs="Arial" w:eastAsia="Arial" w:hAnsi="Arial"/>
          <w:sz w:val="14"/>
          <w:szCs w:val="14"/>
          <w:color w:val="255993"/>
        </w:rPr>
        <w:t>Proposal Three</w:t>
      </w:r>
    </w:p>
    <w:p>
      <w:pPr>
        <w:spacing w:after="0" w:line="104" w:lineRule="exact"/>
        <w:rPr>
          <w:sz w:val="20"/>
          <w:szCs w:val="20"/>
          <w:color w:val="auto"/>
        </w:rPr>
      </w:pPr>
    </w:p>
    <w:p>
      <w:pPr>
        <w:ind w:left="800" w:right="920"/>
        <w:spacing w:after="0" w:line="286" w:lineRule="auto"/>
        <w:rPr>
          <w:sz w:val="20"/>
          <w:szCs w:val="20"/>
          <w:color w:val="auto"/>
        </w:rPr>
      </w:pPr>
      <w:r>
        <w:rPr>
          <w:rFonts w:ascii="Arial" w:cs="Arial" w:eastAsia="Arial" w:hAnsi="Arial"/>
          <w:sz w:val="16"/>
          <w:szCs w:val="16"/>
          <w:color w:val="auto"/>
        </w:rPr>
        <w:t>prior to the effectiveness of the filing of the proposed certificate of amendment to the existing charter with the Secretary of State of the State of Delaware, notwithstanding stockholder approval of the certificate of amendment to the existing charter.</w:t>
      </w:r>
    </w:p>
    <w:p>
      <w:pPr>
        <w:spacing w:after="0" w:line="19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F8991D"/>
        </w:rPr>
        <w:t>VOTE REQUIRED</w:t>
      </w:r>
    </w:p>
    <w:p>
      <w:pPr>
        <w:spacing w:after="0" w:line="149" w:lineRule="exact"/>
        <w:rPr>
          <w:sz w:val="20"/>
          <w:szCs w:val="20"/>
          <w:color w:val="auto"/>
        </w:rPr>
      </w:pPr>
    </w:p>
    <w:p>
      <w:pPr>
        <w:ind w:left="800" w:right="1060"/>
        <w:spacing w:after="0" w:line="271" w:lineRule="auto"/>
        <w:rPr>
          <w:sz w:val="20"/>
          <w:szCs w:val="20"/>
          <w:color w:val="auto"/>
        </w:rPr>
      </w:pPr>
      <w:r>
        <w:rPr>
          <w:rFonts w:ascii="Arial" w:cs="Arial" w:eastAsia="Arial" w:hAnsi="Arial"/>
          <w:sz w:val="16"/>
          <w:szCs w:val="16"/>
          <w:color w:val="auto"/>
        </w:rPr>
        <w:t>The approval of this proposal requires the affirmative “</w:t>
      </w:r>
      <w:r>
        <w:rPr>
          <w:rFonts w:ascii="Arial" w:cs="Arial" w:eastAsia="Arial" w:hAnsi="Arial"/>
          <w:sz w:val="16"/>
          <w:szCs w:val="16"/>
          <w:b w:val="1"/>
          <w:bCs w:val="1"/>
          <w:color w:val="255993"/>
        </w:rPr>
        <w:t>FOR</w:t>
      </w:r>
      <w:r>
        <w:rPr>
          <w:rFonts w:ascii="Arial" w:cs="Arial" w:eastAsia="Arial" w:hAnsi="Arial"/>
          <w:sz w:val="16"/>
          <w:szCs w:val="16"/>
          <w:color w:val="auto"/>
        </w:rPr>
        <w:t>” vote of the holders of a majority of the voting power of all of the outstanding shares of our common stock entitled to vote thereon. Abstentions and broker non-votes will have the same effect as votes “</w:t>
      </w:r>
      <w:r>
        <w:rPr>
          <w:rFonts w:ascii="Arial" w:cs="Arial" w:eastAsia="Arial" w:hAnsi="Arial"/>
          <w:sz w:val="16"/>
          <w:szCs w:val="16"/>
          <w:b w:val="1"/>
          <w:bCs w:val="1"/>
          <w:color w:val="255993"/>
        </w:rPr>
        <w:t>AGAINST</w:t>
      </w:r>
      <w:r>
        <w:rPr>
          <w:rFonts w:ascii="Arial" w:cs="Arial" w:eastAsia="Arial" w:hAnsi="Arial"/>
          <w:sz w:val="16"/>
          <w:szCs w:val="16"/>
          <w:color w:val="auto"/>
        </w:rPr>
        <w: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84455</wp:posOffset>
            </wp:positionV>
            <wp:extent cx="17145" cy="9429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145" cy="942975"/>
                    </a:xfrm>
                    <a:prstGeom prst="rect">
                      <a:avLst/>
                    </a:prstGeom>
                    <a:noFill/>
                  </pic:spPr>
                </pic:pic>
              </a:graphicData>
            </a:graphic>
          </wp:anchor>
        </w:drawing>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527"/>
        </w:trPr>
        <w:tc>
          <w:tcPr>
            <w:tcW w:w="800" w:type="dxa"/>
            <w:vAlign w:val="bottom"/>
          </w:tcPr>
          <w:p>
            <w:pPr>
              <w:spacing w:after="0"/>
              <w:rPr>
                <w:sz w:val="24"/>
                <w:szCs w:val="24"/>
                <w:color w:val="auto"/>
              </w:rPr>
            </w:pPr>
          </w:p>
        </w:tc>
        <w:tc>
          <w:tcPr>
            <w:tcW w:w="1380" w:type="dxa"/>
            <w:vAlign w:val="bottom"/>
            <w:tcBorders>
              <w:bottom w:val="single" w:sz="8" w:color="255993"/>
            </w:tcBorders>
            <w:shd w:val="clear" w:color="auto" w:fill="255993"/>
          </w:tcPr>
          <w:p>
            <w:pPr>
              <w:spacing w:after="0"/>
              <w:rPr>
                <w:sz w:val="24"/>
                <w:szCs w:val="24"/>
                <w:color w:val="auto"/>
              </w:rPr>
            </w:pPr>
          </w:p>
        </w:tc>
        <w:tc>
          <w:tcPr>
            <w:tcW w:w="240" w:type="dxa"/>
            <w:vAlign w:val="bottom"/>
            <w:tcBorders>
              <w:bottom w:val="single" w:sz="8" w:color="EBEBEB"/>
            </w:tcBorders>
            <w:shd w:val="clear" w:color="auto" w:fill="EBEBEB"/>
          </w:tcPr>
          <w:p>
            <w:pPr>
              <w:spacing w:after="0"/>
              <w:rPr>
                <w:sz w:val="24"/>
                <w:szCs w:val="24"/>
                <w:color w:val="auto"/>
              </w:rPr>
            </w:pPr>
          </w:p>
        </w:tc>
        <w:tc>
          <w:tcPr>
            <w:tcW w:w="1740" w:type="dxa"/>
            <w:vAlign w:val="bottom"/>
            <w:tcBorders>
              <w:bottom w:val="single" w:sz="8" w:color="F8991D"/>
            </w:tcBorders>
            <w:shd w:val="clear" w:color="auto" w:fill="EBEBEB"/>
          </w:tcPr>
          <w:p>
            <w:pPr>
              <w:spacing w:after="0"/>
              <w:rPr>
                <w:sz w:val="20"/>
                <w:szCs w:val="20"/>
                <w:color w:val="auto"/>
              </w:rPr>
            </w:pPr>
            <w:r>
              <w:rPr>
                <w:rFonts w:ascii="Arial" w:cs="Arial" w:eastAsia="Arial" w:hAnsi="Arial"/>
                <w:sz w:val="16"/>
                <w:szCs w:val="16"/>
                <w:color w:val="auto"/>
                <w:w w:val="99"/>
              </w:rPr>
              <w:t>Board Recommendation</w:t>
            </w:r>
          </w:p>
        </w:tc>
        <w:tc>
          <w:tcPr>
            <w:tcW w:w="3820" w:type="dxa"/>
            <w:vAlign w:val="bottom"/>
            <w:tcBorders>
              <w:bottom w:val="single" w:sz="8" w:color="EBEBEB"/>
            </w:tcBorders>
            <w:shd w:val="clear" w:color="auto" w:fill="EBEBEB"/>
          </w:tcPr>
          <w:p>
            <w:pPr>
              <w:spacing w:after="0"/>
              <w:rPr>
                <w:sz w:val="24"/>
                <w:szCs w:val="24"/>
                <w:color w:val="auto"/>
              </w:rPr>
            </w:pPr>
          </w:p>
        </w:tc>
        <w:tc>
          <w:tcPr>
            <w:tcW w:w="2220" w:type="dxa"/>
            <w:vAlign w:val="bottom"/>
            <w:tcBorders>
              <w:bottom w:val="single" w:sz="8" w:color="EBEBEB"/>
            </w:tcBorders>
            <w:shd w:val="clear" w:color="auto" w:fill="EBEBEB"/>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800" w:type="dxa"/>
            <w:vAlign w:val="bottom"/>
          </w:tcPr>
          <w:p>
            <w:pPr>
              <w:spacing w:after="0"/>
              <w:rPr>
                <w:sz w:val="24"/>
                <w:szCs w:val="24"/>
                <w:color w:val="auto"/>
              </w:rPr>
            </w:pPr>
          </w:p>
        </w:tc>
        <w:tc>
          <w:tcPr>
            <w:tcW w:w="1380" w:type="dxa"/>
            <w:vAlign w:val="bottom"/>
            <w:vMerge w:val="restart"/>
            <w:shd w:val="clear" w:color="auto" w:fill="255993"/>
          </w:tcPr>
          <w:p>
            <w:pPr>
              <w:spacing w:after="0"/>
              <w:rPr>
                <w:sz w:val="20"/>
                <w:szCs w:val="20"/>
                <w:color w:val="auto"/>
              </w:rPr>
            </w:pPr>
            <w:r>
              <w:rPr>
                <w:rFonts w:ascii="Arial" w:cs="Arial" w:eastAsia="Arial" w:hAnsi="Arial"/>
                <w:sz w:val="16"/>
                <w:szCs w:val="16"/>
                <w:b w:val="1"/>
                <w:bCs w:val="1"/>
                <w:color w:val="auto"/>
              </w:rPr>
              <w:t xml:space="preserve">  </w:t>
            </w:r>
          </w:p>
        </w:tc>
        <w:tc>
          <w:tcPr>
            <w:tcW w:w="240" w:type="dxa"/>
            <w:vAlign w:val="bottom"/>
            <w:shd w:val="clear" w:color="auto" w:fill="EBEBEB"/>
          </w:tcPr>
          <w:p>
            <w:pPr>
              <w:spacing w:after="0"/>
              <w:rPr>
                <w:sz w:val="24"/>
                <w:szCs w:val="24"/>
                <w:color w:val="auto"/>
              </w:rPr>
            </w:pPr>
          </w:p>
        </w:tc>
        <w:tc>
          <w:tcPr>
            <w:tcW w:w="7780" w:type="dxa"/>
            <w:vAlign w:val="bottom"/>
            <w:gridSpan w:val="3"/>
            <w:shd w:val="clear" w:color="auto" w:fill="EBEBEB"/>
          </w:tcPr>
          <w:p>
            <w:pPr>
              <w:spacing w:after="0"/>
              <w:rPr>
                <w:sz w:val="20"/>
                <w:szCs w:val="20"/>
                <w:color w:val="auto"/>
              </w:rPr>
            </w:pPr>
            <w:r>
              <w:rPr>
                <w:rFonts w:ascii="Arial" w:cs="Arial" w:eastAsia="Arial" w:hAnsi="Arial"/>
                <w:sz w:val="14"/>
                <w:szCs w:val="14"/>
                <w:color w:val="255993"/>
              </w:rPr>
              <w:t xml:space="preserve">Our Board of Directors recommends a vote </w:t>
            </w:r>
            <w:r>
              <w:rPr>
                <w:rFonts w:ascii="Arial" w:cs="Arial" w:eastAsia="Arial" w:hAnsi="Arial"/>
                <w:sz w:val="14"/>
                <w:szCs w:val="14"/>
                <w:b w:val="1"/>
                <w:bCs w:val="1"/>
                <w:color w:val="255993"/>
              </w:rPr>
              <w:t>“FOR”</w:t>
            </w:r>
            <w:r>
              <w:rPr>
                <w:rFonts w:ascii="Arial" w:cs="Arial" w:eastAsia="Arial" w:hAnsi="Arial"/>
                <w:sz w:val="14"/>
                <w:szCs w:val="14"/>
                <w:color w:val="255993"/>
              </w:rPr>
              <w:t xml:space="preserve"> the approval of an amendment to our amended and restated certificate</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00" w:type="dxa"/>
            <w:vAlign w:val="bottom"/>
          </w:tcPr>
          <w:p>
            <w:pPr>
              <w:spacing w:after="0"/>
              <w:rPr>
                <w:sz w:val="17"/>
                <w:szCs w:val="17"/>
                <w:color w:val="auto"/>
              </w:rPr>
            </w:pPr>
          </w:p>
        </w:tc>
        <w:tc>
          <w:tcPr>
            <w:tcW w:w="1380" w:type="dxa"/>
            <w:vAlign w:val="bottom"/>
            <w:vMerge w:val="continue"/>
            <w:shd w:val="clear" w:color="auto" w:fill="255993"/>
          </w:tcPr>
          <w:p>
            <w:pPr>
              <w:spacing w:after="0"/>
              <w:rPr>
                <w:sz w:val="17"/>
                <w:szCs w:val="17"/>
                <w:color w:val="auto"/>
              </w:rPr>
            </w:pPr>
          </w:p>
        </w:tc>
        <w:tc>
          <w:tcPr>
            <w:tcW w:w="240" w:type="dxa"/>
            <w:vAlign w:val="bottom"/>
            <w:shd w:val="clear" w:color="auto" w:fill="EBEBEB"/>
          </w:tcPr>
          <w:p>
            <w:pPr>
              <w:spacing w:after="0"/>
              <w:rPr>
                <w:sz w:val="17"/>
                <w:szCs w:val="17"/>
                <w:color w:val="auto"/>
              </w:rPr>
            </w:pPr>
          </w:p>
        </w:tc>
        <w:tc>
          <w:tcPr>
            <w:tcW w:w="5560" w:type="dxa"/>
            <w:vAlign w:val="bottom"/>
            <w:gridSpan w:val="2"/>
            <w:shd w:val="clear" w:color="auto" w:fill="EBEBEB"/>
          </w:tcPr>
          <w:p>
            <w:pPr>
              <w:spacing w:after="0"/>
              <w:rPr>
                <w:sz w:val="20"/>
                <w:szCs w:val="20"/>
                <w:color w:val="auto"/>
              </w:rPr>
            </w:pPr>
            <w:r>
              <w:rPr>
                <w:rFonts w:ascii="Arial" w:cs="Arial" w:eastAsia="Arial" w:hAnsi="Arial"/>
                <w:sz w:val="14"/>
                <w:szCs w:val="14"/>
                <w:color w:val="255993"/>
              </w:rPr>
              <w:t>of incorporation to limit the liability of officers as permitted by Delaware law.</w:t>
            </w:r>
          </w:p>
        </w:tc>
        <w:tc>
          <w:tcPr>
            <w:tcW w:w="2220" w:type="dxa"/>
            <w:vAlign w:val="bottom"/>
            <w:shd w:val="clear" w:color="auto" w:fill="EBEBEB"/>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00" w:type="dxa"/>
            <w:vAlign w:val="bottom"/>
          </w:tcPr>
          <w:p>
            <w:pPr>
              <w:spacing w:after="0"/>
              <w:rPr>
                <w:sz w:val="24"/>
                <w:szCs w:val="24"/>
                <w:color w:val="auto"/>
              </w:rPr>
            </w:pPr>
          </w:p>
        </w:tc>
        <w:tc>
          <w:tcPr>
            <w:tcW w:w="1380" w:type="dxa"/>
            <w:vAlign w:val="bottom"/>
            <w:shd w:val="clear" w:color="auto" w:fill="255993"/>
          </w:tcPr>
          <w:p>
            <w:pPr>
              <w:spacing w:after="0"/>
              <w:rPr>
                <w:sz w:val="24"/>
                <w:szCs w:val="24"/>
                <w:color w:val="auto"/>
              </w:rPr>
            </w:pPr>
          </w:p>
        </w:tc>
        <w:tc>
          <w:tcPr>
            <w:tcW w:w="240" w:type="dxa"/>
            <w:vAlign w:val="bottom"/>
            <w:shd w:val="clear" w:color="auto" w:fill="EBEBEB"/>
          </w:tcPr>
          <w:p>
            <w:pPr>
              <w:spacing w:after="0"/>
              <w:rPr>
                <w:sz w:val="24"/>
                <w:szCs w:val="24"/>
                <w:color w:val="auto"/>
              </w:rPr>
            </w:pPr>
          </w:p>
        </w:tc>
        <w:tc>
          <w:tcPr>
            <w:tcW w:w="1740" w:type="dxa"/>
            <w:vAlign w:val="bottom"/>
            <w:shd w:val="clear" w:color="auto" w:fill="EBEBEB"/>
          </w:tcPr>
          <w:p>
            <w:pPr>
              <w:spacing w:after="0"/>
              <w:rPr>
                <w:sz w:val="24"/>
                <w:szCs w:val="24"/>
                <w:color w:val="auto"/>
              </w:rPr>
            </w:pPr>
          </w:p>
        </w:tc>
        <w:tc>
          <w:tcPr>
            <w:tcW w:w="3820" w:type="dxa"/>
            <w:vAlign w:val="bottom"/>
            <w:shd w:val="clear" w:color="auto" w:fill="EBEBEB"/>
          </w:tcPr>
          <w:p>
            <w:pPr>
              <w:spacing w:after="0"/>
              <w:rPr>
                <w:sz w:val="24"/>
                <w:szCs w:val="24"/>
                <w:color w:val="auto"/>
              </w:rPr>
            </w:pPr>
          </w:p>
        </w:tc>
        <w:tc>
          <w:tcPr>
            <w:tcW w:w="2220" w:type="dxa"/>
            <w:vAlign w:val="bottom"/>
            <w:shd w:val="clear" w:color="auto" w:fill="EBEBEB"/>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8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4"/>
                <w:szCs w:val="14"/>
                <w:color w:val="255993"/>
              </w:rPr>
              <w:t>Athira Pharma, Inc.</w:t>
            </w:r>
          </w:p>
        </w:tc>
        <w:tc>
          <w:tcPr>
            <w:tcW w:w="5800" w:type="dxa"/>
            <w:vAlign w:val="bottom"/>
            <w:gridSpan w:val="3"/>
          </w:tcPr>
          <w:p>
            <w:pPr>
              <w:jc w:val="right"/>
              <w:ind w:right="2400"/>
              <w:spacing w:after="0"/>
              <w:rPr>
                <w:sz w:val="20"/>
                <w:szCs w:val="20"/>
                <w:color w:val="auto"/>
              </w:rPr>
            </w:pPr>
            <w:r>
              <w:rPr>
                <w:rFonts w:ascii="Arial" w:cs="Arial" w:eastAsia="Arial" w:hAnsi="Arial"/>
                <w:sz w:val="14"/>
                <w:szCs w:val="14"/>
                <w:b w:val="1"/>
                <w:bCs w:val="1"/>
                <w:color w:val="255993"/>
              </w:rPr>
              <w:t>30</w:t>
            </w:r>
          </w:p>
        </w:tc>
        <w:tc>
          <w:tcPr>
            <w:tcW w:w="3040" w:type="dxa"/>
            <w:vAlign w:val="bottom"/>
            <w:gridSpan w:val="2"/>
          </w:tcPr>
          <w:p>
            <w:pPr>
              <w:ind w:left="800"/>
              <w:spacing w:after="0"/>
              <w:rPr>
                <w:sz w:val="20"/>
                <w:szCs w:val="20"/>
                <w:color w:val="auto"/>
              </w:rPr>
            </w:pPr>
            <w:r>
              <w:rPr>
                <w:rFonts w:ascii="Arial" w:cs="Arial" w:eastAsia="Arial" w:hAnsi="Arial"/>
                <w:sz w:val="14"/>
                <w:szCs w:val="14"/>
                <w:color w:val="255993"/>
              </w:rPr>
              <w:t>2024 Proxy Statement</w:t>
            </w:r>
          </w:p>
        </w:tc>
        <w:tc>
          <w:tcPr>
            <w:tcW w:w="0" w:type="dxa"/>
            <w:vAlign w:val="bottom"/>
          </w:tcPr>
          <w:p>
            <w:pPr>
              <w:spacing w:after="0"/>
              <w:rPr>
                <w:sz w:val="1"/>
                <w:szCs w:val="1"/>
                <w:color w:val="auto"/>
              </w:rPr>
            </w:pPr>
          </w:p>
        </w:tc>
      </w:tr>
      <w:tr>
        <w:trPr>
          <w:trHeight w:val="158"/>
        </w:trPr>
        <w:tc>
          <w:tcPr>
            <w:tcW w:w="8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382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-993775</wp:posOffset>
            </wp:positionV>
            <wp:extent cx="308610" cy="3003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08610" cy="30035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39" w:name="page40"/>
    <w:bookmarkEnd w:id="39"/>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38" w:lineRule="exact"/>
        <w:rPr>
          <w:sz w:val="20"/>
          <w:szCs w:val="20"/>
          <w:color w:val="auto"/>
        </w:rPr>
      </w:pPr>
    </w:p>
    <w:p>
      <w:pPr>
        <w:ind w:left="800"/>
        <w:spacing w:after="0"/>
        <w:rPr>
          <w:sz w:val="20"/>
          <w:szCs w:val="20"/>
          <w:color w:val="auto"/>
        </w:rPr>
      </w:pPr>
      <w:r>
        <w:rPr>
          <w:rFonts w:ascii="Arial" w:cs="Arial" w:eastAsia="Arial" w:hAnsi="Arial"/>
          <w:sz w:val="58"/>
          <w:szCs w:val="58"/>
          <w:color w:val="255993"/>
        </w:rPr>
        <w:t>Executive Officers</w:t>
      </w:r>
    </w:p>
    <w:p>
      <w:pPr>
        <w:spacing w:after="0" w:line="357" w:lineRule="exact"/>
        <w:rPr>
          <w:sz w:val="20"/>
          <w:szCs w:val="20"/>
          <w:color w:val="auto"/>
        </w:rPr>
      </w:pPr>
    </w:p>
    <w:p>
      <w:pPr>
        <w:ind w:left="800" w:right="1700"/>
        <w:spacing w:after="0" w:line="286" w:lineRule="auto"/>
        <w:rPr>
          <w:sz w:val="20"/>
          <w:szCs w:val="20"/>
          <w:color w:val="auto"/>
        </w:rPr>
      </w:pPr>
      <w:r>
        <w:rPr>
          <w:rFonts w:ascii="Arial" w:cs="Arial" w:eastAsia="Arial" w:hAnsi="Arial"/>
          <w:sz w:val="16"/>
          <w:szCs w:val="16"/>
          <w:color w:val="auto"/>
        </w:rPr>
        <w:t>The following table sets forth certain information about our executive officers as of March 26, 2024. There are no family relationships among any of our directors or executive officers.</w:t>
      </w:r>
    </w:p>
    <w:p>
      <w:pPr>
        <w:spacing w:after="0" w:line="35" w:lineRule="exact"/>
        <w:rPr>
          <w:sz w:val="20"/>
          <w:szCs w:val="20"/>
          <w:color w:val="auto"/>
        </w:rPr>
      </w:pPr>
    </w:p>
    <w:tbl>
      <w:tblPr>
        <w:tblLayout w:type="fixed"/>
        <w:tblInd w:w="800" w:type="dxa"/>
        <w:tblCellMar>
          <w:top w:w="0" w:type="dxa"/>
          <w:left w:w="0" w:type="dxa"/>
          <w:bottom w:w="0" w:type="dxa"/>
          <w:right w:w="0" w:type="dxa"/>
        </w:tblCellMar>
      </w:tblPr>
      <w:tr>
        <w:trPr>
          <w:trHeight w:val="349"/>
        </w:trPr>
        <w:tc>
          <w:tcPr>
            <w:tcW w:w="3060" w:type="dxa"/>
            <w:vAlign w:val="bottom"/>
            <w:shd w:val="clear" w:color="auto" w:fill="255993"/>
          </w:tcPr>
          <w:p>
            <w:pPr>
              <w:ind w:left="60"/>
              <w:spacing w:after="0"/>
              <w:rPr>
                <w:sz w:val="20"/>
                <w:szCs w:val="20"/>
                <w:color w:val="auto"/>
              </w:rPr>
            </w:pPr>
            <w:r>
              <w:rPr>
                <w:rFonts w:ascii="Arial" w:cs="Arial" w:eastAsia="Arial" w:hAnsi="Arial"/>
                <w:sz w:val="14"/>
                <w:szCs w:val="14"/>
                <w:b w:val="1"/>
                <w:bCs w:val="1"/>
                <w:color w:val="FFFFFF"/>
              </w:rPr>
              <w:t>Executive Officers</w:t>
            </w:r>
          </w:p>
        </w:tc>
        <w:tc>
          <w:tcPr>
            <w:tcW w:w="2300" w:type="dxa"/>
            <w:vAlign w:val="bottom"/>
            <w:shd w:val="clear" w:color="auto" w:fill="255993"/>
          </w:tcPr>
          <w:p>
            <w:pPr>
              <w:jc w:val="center"/>
              <w:ind w:left="1288"/>
              <w:spacing w:after="0"/>
              <w:rPr>
                <w:sz w:val="20"/>
                <w:szCs w:val="20"/>
                <w:color w:val="auto"/>
              </w:rPr>
            </w:pPr>
            <w:r>
              <w:rPr>
                <w:rFonts w:ascii="Arial" w:cs="Arial" w:eastAsia="Arial" w:hAnsi="Arial"/>
                <w:sz w:val="14"/>
                <w:szCs w:val="14"/>
                <w:b w:val="1"/>
                <w:bCs w:val="1"/>
                <w:color w:val="FFFFFF"/>
                <w:w w:val="98"/>
              </w:rPr>
              <w:t>Age</w:t>
            </w:r>
          </w:p>
        </w:tc>
        <w:tc>
          <w:tcPr>
            <w:tcW w:w="4040" w:type="dxa"/>
            <w:vAlign w:val="bottom"/>
            <w:shd w:val="clear" w:color="auto" w:fill="255993"/>
          </w:tcPr>
          <w:p>
            <w:pPr>
              <w:ind w:left="320"/>
              <w:spacing w:after="0"/>
              <w:rPr>
                <w:sz w:val="20"/>
                <w:szCs w:val="20"/>
                <w:color w:val="auto"/>
              </w:rPr>
            </w:pPr>
            <w:r>
              <w:rPr>
                <w:rFonts w:ascii="Arial" w:cs="Arial" w:eastAsia="Arial" w:hAnsi="Arial"/>
                <w:sz w:val="14"/>
                <w:szCs w:val="14"/>
                <w:b w:val="1"/>
                <w:bCs w:val="1"/>
                <w:color w:val="FFFFFF"/>
              </w:rPr>
              <w:t>Position</w:t>
            </w:r>
          </w:p>
        </w:tc>
      </w:tr>
      <w:tr>
        <w:trPr>
          <w:trHeight w:val="83"/>
        </w:trPr>
        <w:tc>
          <w:tcPr>
            <w:tcW w:w="3060" w:type="dxa"/>
            <w:vAlign w:val="bottom"/>
            <w:shd w:val="clear" w:color="auto" w:fill="255993"/>
          </w:tcPr>
          <w:p>
            <w:pPr>
              <w:spacing w:after="0"/>
              <w:rPr>
                <w:sz w:val="7"/>
                <w:szCs w:val="7"/>
                <w:color w:val="auto"/>
              </w:rPr>
            </w:pPr>
          </w:p>
        </w:tc>
        <w:tc>
          <w:tcPr>
            <w:tcW w:w="2300" w:type="dxa"/>
            <w:vAlign w:val="bottom"/>
            <w:shd w:val="clear" w:color="auto" w:fill="255993"/>
          </w:tcPr>
          <w:p>
            <w:pPr>
              <w:spacing w:after="0"/>
              <w:rPr>
                <w:sz w:val="7"/>
                <w:szCs w:val="7"/>
                <w:color w:val="auto"/>
              </w:rPr>
            </w:pPr>
          </w:p>
        </w:tc>
        <w:tc>
          <w:tcPr>
            <w:tcW w:w="4040" w:type="dxa"/>
            <w:vAlign w:val="bottom"/>
            <w:shd w:val="clear" w:color="auto" w:fill="255993"/>
          </w:tcPr>
          <w:p>
            <w:pPr>
              <w:spacing w:after="0"/>
              <w:rPr>
                <w:sz w:val="7"/>
                <w:szCs w:val="7"/>
                <w:color w:val="auto"/>
              </w:rPr>
            </w:pPr>
          </w:p>
        </w:tc>
      </w:tr>
      <w:tr>
        <w:trPr>
          <w:trHeight w:val="303"/>
        </w:trPr>
        <w:tc>
          <w:tcPr>
            <w:tcW w:w="3060" w:type="dxa"/>
            <w:vAlign w:val="bottom"/>
            <w:shd w:val="clear" w:color="auto" w:fill="EBEBEB"/>
          </w:tcPr>
          <w:p>
            <w:pPr>
              <w:ind w:left="60"/>
              <w:spacing w:after="0"/>
              <w:rPr>
                <w:sz w:val="20"/>
                <w:szCs w:val="20"/>
                <w:color w:val="auto"/>
              </w:rPr>
            </w:pPr>
            <w:r>
              <w:rPr>
                <w:rFonts w:ascii="Arial" w:cs="Arial" w:eastAsia="Arial" w:hAnsi="Arial"/>
                <w:sz w:val="14"/>
                <w:szCs w:val="14"/>
                <w:color w:val="auto"/>
              </w:rPr>
              <w:t>Mark Litton, Ph.D.</w:t>
            </w:r>
          </w:p>
        </w:tc>
        <w:tc>
          <w:tcPr>
            <w:tcW w:w="2300" w:type="dxa"/>
            <w:vAlign w:val="bottom"/>
            <w:shd w:val="clear" w:color="auto" w:fill="EBEBEB"/>
          </w:tcPr>
          <w:p>
            <w:pPr>
              <w:jc w:val="center"/>
              <w:ind w:left="1268"/>
              <w:spacing w:after="0"/>
              <w:rPr>
                <w:sz w:val="20"/>
                <w:szCs w:val="20"/>
                <w:color w:val="auto"/>
              </w:rPr>
            </w:pPr>
            <w:r>
              <w:rPr>
                <w:rFonts w:ascii="Arial" w:cs="Arial" w:eastAsia="Arial" w:hAnsi="Arial"/>
                <w:sz w:val="14"/>
                <w:szCs w:val="14"/>
                <w:color w:val="auto"/>
              </w:rPr>
              <w:t>56</w:t>
            </w:r>
          </w:p>
        </w:tc>
        <w:tc>
          <w:tcPr>
            <w:tcW w:w="4040" w:type="dxa"/>
            <w:vAlign w:val="bottom"/>
            <w:shd w:val="clear" w:color="auto" w:fill="EBEBEB"/>
          </w:tcPr>
          <w:p>
            <w:pPr>
              <w:ind w:left="320"/>
              <w:spacing w:after="0"/>
              <w:rPr>
                <w:sz w:val="20"/>
                <w:szCs w:val="20"/>
                <w:color w:val="auto"/>
              </w:rPr>
            </w:pPr>
            <w:r>
              <w:rPr>
                <w:rFonts w:ascii="Arial" w:cs="Arial" w:eastAsia="Arial" w:hAnsi="Arial"/>
                <w:sz w:val="14"/>
                <w:szCs w:val="14"/>
                <w:color w:val="auto"/>
              </w:rPr>
              <w:t>President, Chief Executive Officer and Director</w:t>
            </w:r>
          </w:p>
        </w:tc>
      </w:tr>
      <w:tr>
        <w:trPr>
          <w:trHeight w:val="89"/>
        </w:trPr>
        <w:tc>
          <w:tcPr>
            <w:tcW w:w="3060" w:type="dxa"/>
            <w:vAlign w:val="bottom"/>
            <w:shd w:val="clear" w:color="auto" w:fill="EBEBEB"/>
          </w:tcPr>
          <w:p>
            <w:pPr>
              <w:spacing w:after="0"/>
              <w:rPr>
                <w:sz w:val="7"/>
                <w:szCs w:val="7"/>
                <w:color w:val="auto"/>
              </w:rPr>
            </w:pPr>
          </w:p>
        </w:tc>
        <w:tc>
          <w:tcPr>
            <w:tcW w:w="2300" w:type="dxa"/>
            <w:vAlign w:val="bottom"/>
            <w:shd w:val="clear" w:color="auto" w:fill="EBEBEB"/>
          </w:tcPr>
          <w:p>
            <w:pPr>
              <w:spacing w:after="0"/>
              <w:rPr>
                <w:sz w:val="7"/>
                <w:szCs w:val="7"/>
                <w:color w:val="auto"/>
              </w:rPr>
            </w:pPr>
          </w:p>
        </w:tc>
        <w:tc>
          <w:tcPr>
            <w:tcW w:w="4040" w:type="dxa"/>
            <w:vAlign w:val="bottom"/>
            <w:shd w:val="clear" w:color="auto" w:fill="EBEBEB"/>
          </w:tcPr>
          <w:p>
            <w:pPr>
              <w:spacing w:after="0"/>
              <w:rPr>
                <w:sz w:val="7"/>
                <w:szCs w:val="7"/>
                <w:color w:val="auto"/>
              </w:rPr>
            </w:pPr>
          </w:p>
        </w:tc>
      </w:tr>
      <w:tr>
        <w:trPr>
          <w:trHeight w:val="302"/>
        </w:trPr>
        <w:tc>
          <w:tcPr>
            <w:tcW w:w="3060" w:type="dxa"/>
            <w:vAlign w:val="bottom"/>
            <w:shd w:val="clear" w:color="auto" w:fill="FAFAFA"/>
          </w:tcPr>
          <w:p>
            <w:pPr>
              <w:ind w:left="60"/>
              <w:spacing w:after="0"/>
              <w:rPr>
                <w:sz w:val="20"/>
                <w:szCs w:val="20"/>
                <w:color w:val="auto"/>
              </w:rPr>
            </w:pPr>
            <w:r>
              <w:rPr>
                <w:rFonts w:ascii="Arial" w:cs="Arial" w:eastAsia="Arial" w:hAnsi="Arial"/>
                <w:sz w:val="14"/>
                <w:szCs w:val="14"/>
                <w:color w:val="auto"/>
              </w:rPr>
              <w:t>Rachel Lenington</w:t>
            </w:r>
          </w:p>
        </w:tc>
        <w:tc>
          <w:tcPr>
            <w:tcW w:w="2300" w:type="dxa"/>
            <w:vAlign w:val="bottom"/>
            <w:shd w:val="clear" w:color="auto" w:fill="FAFAFA"/>
          </w:tcPr>
          <w:p>
            <w:pPr>
              <w:jc w:val="center"/>
              <w:ind w:left="1268"/>
              <w:spacing w:after="0"/>
              <w:rPr>
                <w:sz w:val="20"/>
                <w:szCs w:val="20"/>
                <w:color w:val="auto"/>
              </w:rPr>
            </w:pPr>
            <w:r>
              <w:rPr>
                <w:rFonts w:ascii="Arial" w:cs="Arial" w:eastAsia="Arial" w:hAnsi="Arial"/>
                <w:sz w:val="14"/>
                <w:szCs w:val="14"/>
                <w:color w:val="auto"/>
              </w:rPr>
              <w:t>50</w:t>
            </w:r>
          </w:p>
        </w:tc>
        <w:tc>
          <w:tcPr>
            <w:tcW w:w="4040" w:type="dxa"/>
            <w:vAlign w:val="bottom"/>
            <w:shd w:val="clear" w:color="auto" w:fill="FAFAFA"/>
          </w:tcPr>
          <w:p>
            <w:pPr>
              <w:ind w:left="320"/>
              <w:spacing w:after="0"/>
              <w:rPr>
                <w:sz w:val="20"/>
                <w:szCs w:val="20"/>
                <w:color w:val="auto"/>
              </w:rPr>
            </w:pPr>
            <w:r>
              <w:rPr>
                <w:rFonts w:ascii="Arial" w:cs="Arial" w:eastAsia="Arial" w:hAnsi="Arial"/>
                <w:sz w:val="14"/>
                <w:szCs w:val="14"/>
                <w:color w:val="auto"/>
              </w:rPr>
              <w:t>Chief Operating Officer and Chief Development Officer</w:t>
            </w:r>
          </w:p>
        </w:tc>
      </w:tr>
      <w:tr>
        <w:trPr>
          <w:trHeight w:val="89"/>
        </w:trPr>
        <w:tc>
          <w:tcPr>
            <w:tcW w:w="3060" w:type="dxa"/>
            <w:vAlign w:val="bottom"/>
            <w:shd w:val="clear" w:color="auto" w:fill="FAFAFA"/>
          </w:tcPr>
          <w:p>
            <w:pPr>
              <w:spacing w:after="0"/>
              <w:rPr>
                <w:sz w:val="7"/>
                <w:szCs w:val="7"/>
                <w:color w:val="auto"/>
              </w:rPr>
            </w:pPr>
          </w:p>
        </w:tc>
        <w:tc>
          <w:tcPr>
            <w:tcW w:w="2300" w:type="dxa"/>
            <w:vAlign w:val="bottom"/>
            <w:shd w:val="clear" w:color="auto" w:fill="FAFAFA"/>
          </w:tcPr>
          <w:p>
            <w:pPr>
              <w:spacing w:after="0"/>
              <w:rPr>
                <w:sz w:val="7"/>
                <w:szCs w:val="7"/>
                <w:color w:val="auto"/>
              </w:rPr>
            </w:pPr>
          </w:p>
        </w:tc>
        <w:tc>
          <w:tcPr>
            <w:tcW w:w="4040" w:type="dxa"/>
            <w:vAlign w:val="bottom"/>
            <w:shd w:val="clear" w:color="auto" w:fill="FAFAFA"/>
          </w:tcPr>
          <w:p>
            <w:pPr>
              <w:spacing w:after="0"/>
              <w:rPr>
                <w:sz w:val="7"/>
                <w:szCs w:val="7"/>
                <w:color w:val="auto"/>
              </w:rPr>
            </w:pPr>
          </w:p>
        </w:tc>
      </w:tr>
      <w:tr>
        <w:trPr>
          <w:trHeight w:val="303"/>
        </w:trPr>
        <w:tc>
          <w:tcPr>
            <w:tcW w:w="3060" w:type="dxa"/>
            <w:vAlign w:val="bottom"/>
            <w:shd w:val="clear" w:color="auto" w:fill="EBEBEB"/>
          </w:tcPr>
          <w:p>
            <w:pPr>
              <w:ind w:left="60"/>
              <w:spacing w:after="0"/>
              <w:rPr>
                <w:sz w:val="20"/>
                <w:szCs w:val="20"/>
                <w:color w:val="auto"/>
              </w:rPr>
            </w:pPr>
            <w:r>
              <w:rPr>
                <w:rFonts w:ascii="Arial" w:cs="Arial" w:eastAsia="Arial" w:hAnsi="Arial"/>
                <w:sz w:val="14"/>
                <w:szCs w:val="14"/>
                <w:color w:val="auto"/>
              </w:rPr>
              <w:t>Andrew Gengos</w:t>
            </w:r>
          </w:p>
        </w:tc>
        <w:tc>
          <w:tcPr>
            <w:tcW w:w="2300" w:type="dxa"/>
            <w:vAlign w:val="bottom"/>
            <w:shd w:val="clear" w:color="auto" w:fill="EBEBEB"/>
          </w:tcPr>
          <w:p>
            <w:pPr>
              <w:jc w:val="center"/>
              <w:ind w:left="1268"/>
              <w:spacing w:after="0"/>
              <w:rPr>
                <w:sz w:val="20"/>
                <w:szCs w:val="20"/>
                <w:color w:val="auto"/>
              </w:rPr>
            </w:pPr>
            <w:r>
              <w:rPr>
                <w:rFonts w:ascii="Arial" w:cs="Arial" w:eastAsia="Arial" w:hAnsi="Arial"/>
                <w:sz w:val="14"/>
                <w:szCs w:val="14"/>
                <w:color w:val="auto"/>
              </w:rPr>
              <w:t>59</w:t>
            </w:r>
          </w:p>
        </w:tc>
        <w:tc>
          <w:tcPr>
            <w:tcW w:w="4040" w:type="dxa"/>
            <w:vAlign w:val="bottom"/>
            <w:shd w:val="clear" w:color="auto" w:fill="EBEBEB"/>
          </w:tcPr>
          <w:p>
            <w:pPr>
              <w:ind w:left="320"/>
              <w:spacing w:after="0"/>
              <w:rPr>
                <w:sz w:val="20"/>
                <w:szCs w:val="20"/>
                <w:color w:val="auto"/>
              </w:rPr>
            </w:pPr>
            <w:r>
              <w:rPr>
                <w:rFonts w:ascii="Arial" w:cs="Arial" w:eastAsia="Arial" w:hAnsi="Arial"/>
                <w:sz w:val="14"/>
                <w:szCs w:val="14"/>
                <w:color w:val="auto"/>
              </w:rPr>
              <w:t>Chief Financial Officer and Chief Business Officer</w:t>
            </w:r>
          </w:p>
        </w:tc>
      </w:tr>
      <w:tr>
        <w:trPr>
          <w:trHeight w:val="89"/>
        </w:trPr>
        <w:tc>
          <w:tcPr>
            <w:tcW w:w="3060" w:type="dxa"/>
            <w:vAlign w:val="bottom"/>
            <w:shd w:val="clear" w:color="auto" w:fill="EBEBEB"/>
          </w:tcPr>
          <w:p>
            <w:pPr>
              <w:spacing w:after="0"/>
              <w:rPr>
                <w:sz w:val="7"/>
                <w:szCs w:val="7"/>
                <w:color w:val="auto"/>
              </w:rPr>
            </w:pPr>
          </w:p>
        </w:tc>
        <w:tc>
          <w:tcPr>
            <w:tcW w:w="2300" w:type="dxa"/>
            <w:vAlign w:val="bottom"/>
            <w:shd w:val="clear" w:color="auto" w:fill="EBEBEB"/>
          </w:tcPr>
          <w:p>
            <w:pPr>
              <w:spacing w:after="0"/>
              <w:rPr>
                <w:sz w:val="7"/>
                <w:szCs w:val="7"/>
                <w:color w:val="auto"/>
              </w:rPr>
            </w:pPr>
          </w:p>
        </w:tc>
        <w:tc>
          <w:tcPr>
            <w:tcW w:w="4040" w:type="dxa"/>
            <w:vAlign w:val="bottom"/>
            <w:shd w:val="clear" w:color="auto" w:fill="EBEBEB"/>
          </w:tcPr>
          <w:p>
            <w:pPr>
              <w:spacing w:after="0"/>
              <w:rPr>
                <w:sz w:val="7"/>
                <w:szCs w:val="7"/>
                <w:color w:val="auto"/>
              </w:rPr>
            </w:pPr>
          </w:p>
        </w:tc>
      </w:tr>
      <w:tr>
        <w:trPr>
          <w:trHeight w:val="303"/>
        </w:trPr>
        <w:tc>
          <w:tcPr>
            <w:tcW w:w="3060" w:type="dxa"/>
            <w:vAlign w:val="bottom"/>
            <w:shd w:val="clear" w:color="auto" w:fill="FAFAFA"/>
          </w:tcPr>
          <w:p>
            <w:pPr>
              <w:ind w:left="60"/>
              <w:spacing w:after="0"/>
              <w:rPr>
                <w:sz w:val="20"/>
                <w:szCs w:val="20"/>
                <w:color w:val="auto"/>
              </w:rPr>
            </w:pPr>
            <w:r>
              <w:rPr>
                <w:rFonts w:ascii="Arial" w:cs="Arial" w:eastAsia="Arial" w:hAnsi="Arial"/>
                <w:sz w:val="14"/>
                <w:szCs w:val="14"/>
                <w:color w:val="auto"/>
              </w:rPr>
              <w:t>Kevin Church, Ph.D.</w:t>
            </w:r>
          </w:p>
        </w:tc>
        <w:tc>
          <w:tcPr>
            <w:tcW w:w="2300" w:type="dxa"/>
            <w:vAlign w:val="bottom"/>
            <w:shd w:val="clear" w:color="auto" w:fill="FAFAFA"/>
          </w:tcPr>
          <w:p>
            <w:pPr>
              <w:jc w:val="center"/>
              <w:ind w:left="1268"/>
              <w:spacing w:after="0"/>
              <w:rPr>
                <w:sz w:val="20"/>
                <w:szCs w:val="20"/>
                <w:color w:val="auto"/>
              </w:rPr>
            </w:pPr>
            <w:r>
              <w:rPr>
                <w:rFonts w:ascii="Arial" w:cs="Arial" w:eastAsia="Arial" w:hAnsi="Arial"/>
                <w:sz w:val="14"/>
                <w:szCs w:val="14"/>
                <w:color w:val="auto"/>
              </w:rPr>
              <w:t>39</w:t>
            </w:r>
          </w:p>
        </w:tc>
        <w:tc>
          <w:tcPr>
            <w:tcW w:w="4040" w:type="dxa"/>
            <w:vAlign w:val="bottom"/>
            <w:shd w:val="clear" w:color="auto" w:fill="FAFAFA"/>
          </w:tcPr>
          <w:p>
            <w:pPr>
              <w:ind w:left="320"/>
              <w:spacing w:after="0"/>
              <w:rPr>
                <w:sz w:val="20"/>
                <w:szCs w:val="20"/>
                <w:color w:val="auto"/>
              </w:rPr>
            </w:pPr>
            <w:r>
              <w:rPr>
                <w:rFonts w:ascii="Arial" w:cs="Arial" w:eastAsia="Arial" w:hAnsi="Arial"/>
                <w:sz w:val="14"/>
                <w:szCs w:val="14"/>
                <w:color w:val="auto"/>
              </w:rPr>
              <w:t>Chief Scientific Officer</w:t>
            </w:r>
          </w:p>
        </w:tc>
      </w:tr>
      <w:tr>
        <w:trPr>
          <w:trHeight w:val="89"/>
        </w:trPr>
        <w:tc>
          <w:tcPr>
            <w:tcW w:w="3060" w:type="dxa"/>
            <w:vAlign w:val="bottom"/>
            <w:shd w:val="clear" w:color="auto" w:fill="FAFAFA"/>
          </w:tcPr>
          <w:p>
            <w:pPr>
              <w:spacing w:after="0"/>
              <w:rPr>
                <w:sz w:val="7"/>
                <w:szCs w:val="7"/>
                <w:color w:val="auto"/>
              </w:rPr>
            </w:pPr>
          </w:p>
        </w:tc>
        <w:tc>
          <w:tcPr>
            <w:tcW w:w="2300" w:type="dxa"/>
            <w:vAlign w:val="bottom"/>
            <w:shd w:val="clear" w:color="auto" w:fill="FAFAFA"/>
          </w:tcPr>
          <w:p>
            <w:pPr>
              <w:spacing w:after="0"/>
              <w:rPr>
                <w:sz w:val="7"/>
                <w:szCs w:val="7"/>
                <w:color w:val="auto"/>
              </w:rPr>
            </w:pPr>
          </w:p>
        </w:tc>
        <w:tc>
          <w:tcPr>
            <w:tcW w:w="4040" w:type="dxa"/>
            <w:vAlign w:val="bottom"/>
            <w:shd w:val="clear" w:color="auto" w:fill="FAFAFA"/>
          </w:tcPr>
          <w:p>
            <w:pPr>
              <w:spacing w:after="0"/>
              <w:rPr>
                <w:sz w:val="7"/>
                <w:szCs w:val="7"/>
                <w:color w:val="auto"/>
              </w:rPr>
            </w:pPr>
          </w:p>
        </w:tc>
      </w:tr>
      <w:tr>
        <w:trPr>
          <w:trHeight w:val="303"/>
        </w:trPr>
        <w:tc>
          <w:tcPr>
            <w:tcW w:w="3060" w:type="dxa"/>
            <w:vAlign w:val="bottom"/>
            <w:shd w:val="clear" w:color="auto" w:fill="EBEBEB"/>
          </w:tcPr>
          <w:p>
            <w:pPr>
              <w:ind w:left="60"/>
              <w:spacing w:after="0"/>
              <w:rPr>
                <w:sz w:val="20"/>
                <w:szCs w:val="20"/>
                <w:color w:val="auto"/>
              </w:rPr>
            </w:pPr>
            <w:r>
              <w:rPr>
                <w:rFonts w:ascii="Arial" w:cs="Arial" w:eastAsia="Arial" w:hAnsi="Arial"/>
                <w:sz w:val="14"/>
                <w:szCs w:val="14"/>
                <w:color w:val="auto"/>
              </w:rPr>
              <w:t>Mark Worthington</w:t>
            </w:r>
          </w:p>
        </w:tc>
        <w:tc>
          <w:tcPr>
            <w:tcW w:w="2300" w:type="dxa"/>
            <w:vAlign w:val="bottom"/>
            <w:shd w:val="clear" w:color="auto" w:fill="EBEBEB"/>
          </w:tcPr>
          <w:p>
            <w:pPr>
              <w:jc w:val="center"/>
              <w:ind w:left="1268"/>
              <w:spacing w:after="0"/>
              <w:rPr>
                <w:sz w:val="20"/>
                <w:szCs w:val="20"/>
                <w:color w:val="auto"/>
              </w:rPr>
            </w:pPr>
            <w:r>
              <w:rPr>
                <w:rFonts w:ascii="Arial" w:cs="Arial" w:eastAsia="Arial" w:hAnsi="Arial"/>
                <w:sz w:val="14"/>
                <w:szCs w:val="14"/>
                <w:color w:val="auto"/>
              </w:rPr>
              <w:t>57</w:t>
            </w:r>
          </w:p>
        </w:tc>
        <w:tc>
          <w:tcPr>
            <w:tcW w:w="4040" w:type="dxa"/>
            <w:vAlign w:val="bottom"/>
            <w:shd w:val="clear" w:color="auto" w:fill="EBEBEB"/>
          </w:tcPr>
          <w:p>
            <w:pPr>
              <w:ind w:left="320"/>
              <w:spacing w:after="0"/>
              <w:rPr>
                <w:sz w:val="20"/>
                <w:szCs w:val="20"/>
                <w:color w:val="auto"/>
              </w:rPr>
            </w:pPr>
            <w:r>
              <w:rPr>
                <w:rFonts w:ascii="Arial" w:cs="Arial" w:eastAsia="Arial" w:hAnsi="Arial"/>
                <w:sz w:val="14"/>
                <w:szCs w:val="14"/>
                <w:color w:val="auto"/>
              </w:rPr>
              <w:t>General Counsel and Corporate Secretary</w:t>
            </w:r>
          </w:p>
        </w:tc>
      </w:tr>
      <w:tr>
        <w:trPr>
          <w:trHeight w:val="116"/>
        </w:trPr>
        <w:tc>
          <w:tcPr>
            <w:tcW w:w="3060" w:type="dxa"/>
            <w:vAlign w:val="bottom"/>
            <w:shd w:val="clear" w:color="auto" w:fill="EBEBEB"/>
          </w:tcPr>
          <w:p>
            <w:pPr>
              <w:spacing w:after="0"/>
              <w:rPr>
                <w:sz w:val="10"/>
                <w:szCs w:val="10"/>
                <w:color w:val="auto"/>
              </w:rPr>
            </w:pPr>
          </w:p>
        </w:tc>
        <w:tc>
          <w:tcPr>
            <w:tcW w:w="2300" w:type="dxa"/>
            <w:vAlign w:val="bottom"/>
            <w:shd w:val="clear" w:color="auto" w:fill="EBEBEB"/>
          </w:tcPr>
          <w:p>
            <w:pPr>
              <w:spacing w:after="0"/>
              <w:rPr>
                <w:sz w:val="10"/>
                <w:szCs w:val="10"/>
                <w:color w:val="auto"/>
              </w:rPr>
            </w:pPr>
          </w:p>
        </w:tc>
        <w:tc>
          <w:tcPr>
            <w:tcW w:w="4040" w:type="dxa"/>
            <w:vAlign w:val="bottom"/>
            <w:shd w:val="clear" w:color="auto" w:fill="EBEBEB"/>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-264795</wp:posOffset>
            </wp:positionV>
            <wp:extent cx="59664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-513715</wp:posOffset>
            </wp:positionV>
            <wp:extent cx="59664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-762635</wp:posOffset>
            </wp:positionV>
            <wp:extent cx="596646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-1010920</wp:posOffset>
            </wp:positionV>
            <wp:extent cx="59664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-1259205</wp:posOffset>
            </wp:positionV>
            <wp:extent cx="59664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4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F8991D"/>
        </w:rPr>
        <w:t>EXECUTIVE OFFICERS</w:t>
      </w:r>
    </w:p>
    <w:p>
      <w:pPr>
        <w:spacing w:after="0" w:line="12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Dr. Litton’s biography is listed in the section titled “</w:t>
      </w:r>
      <w:r>
        <w:rPr>
          <w:rFonts w:ascii="Arial" w:cs="Arial" w:eastAsia="Arial" w:hAnsi="Arial"/>
          <w:sz w:val="16"/>
          <w:szCs w:val="16"/>
          <w:i w:val="1"/>
          <w:iCs w:val="1"/>
          <w:color w:val="auto"/>
        </w:rPr>
        <w:t>Board of Directors and Corporate Governance – Nominees for Director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132080</wp:posOffset>
            </wp:positionV>
            <wp:extent cx="882650" cy="8826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2650" cy="882650"/>
                    </a:xfrm>
                    <a:prstGeom prst="rect">
                      <a:avLst/>
                    </a:prstGeom>
                    <a:noFill/>
                  </pic:spPr>
                </pic:pic>
              </a:graphicData>
            </a:graphic>
          </wp:anchor>
        </w:drawing>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495"/>
        </w:trPr>
        <w:tc>
          <w:tcPr>
            <w:tcW w:w="242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Arial" w:cs="Arial" w:eastAsia="Arial" w:hAnsi="Arial"/>
                <w:sz w:val="40"/>
                <w:szCs w:val="40"/>
                <w:color w:val="255993"/>
              </w:rPr>
              <w:t>Rachel Lenington</w:t>
            </w:r>
          </w:p>
        </w:tc>
        <w:tc>
          <w:tcPr>
            <w:tcW w:w="3660" w:type="dxa"/>
            <w:vAlign w:val="bottom"/>
          </w:tcPr>
          <w:p>
            <w:pPr>
              <w:spacing w:after="0"/>
              <w:rPr>
                <w:sz w:val="24"/>
                <w:szCs w:val="24"/>
                <w:color w:val="auto"/>
              </w:rPr>
            </w:pPr>
          </w:p>
        </w:tc>
      </w:tr>
      <w:tr>
        <w:trPr>
          <w:trHeight w:val="196"/>
        </w:trPr>
        <w:tc>
          <w:tcPr>
            <w:tcW w:w="2420" w:type="dxa"/>
            <w:vAlign w:val="bottom"/>
          </w:tcPr>
          <w:p>
            <w:pPr>
              <w:spacing w:after="0"/>
              <w:rPr>
                <w:sz w:val="17"/>
                <w:szCs w:val="17"/>
                <w:color w:val="auto"/>
              </w:rPr>
            </w:pPr>
          </w:p>
        </w:tc>
        <w:tc>
          <w:tcPr>
            <w:tcW w:w="4940" w:type="dxa"/>
            <w:vAlign w:val="bottom"/>
            <w:gridSpan w:val="2"/>
          </w:tcPr>
          <w:p>
            <w:pPr>
              <w:spacing w:after="0"/>
              <w:rPr>
                <w:sz w:val="20"/>
                <w:szCs w:val="20"/>
                <w:color w:val="auto"/>
              </w:rPr>
            </w:pPr>
            <w:r>
              <w:rPr>
                <w:rFonts w:ascii="Arial" w:cs="Arial" w:eastAsia="Arial" w:hAnsi="Arial"/>
                <w:sz w:val="14"/>
                <w:szCs w:val="14"/>
                <w:b w:val="1"/>
                <w:bCs w:val="1"/>
                <w:color w:val="auto"/>
              </w:rPr>
              <w:t>AGE: 50   EXECUTIVE OFFICER SINCE: JUNE 2021</w:t>
            </w:r>
          </w:p>
        </w:tc>
        <w:tc>
          <w:tcPr>
            <w:tcW w:w="3660" w:type="dxa"/>
            <w:vAlign w:val="bottom"/>
          </w:tcPr>
          <w:p>
            <w:pPr>
              <w:spacing w:after="0"/>
              <w:rPr>
                <w:sz w:val="17"/>
                <w:szCs w:val="17"/>
                <w:color w:val="auto"/>
              </w:rPr>
            </w:pPr>
          </w:p>
        </w:tc>
      </w:tr>
      <w:tr>
        <w:trPr>
          <w:trHeight w:val="225"/>
        </w:trPr>
        <w:tc>
          <w:tcPr>
            <w:tcW w:w="2420" w:type="dxa"/>
            <w:vAlign w:val="bottom"/>
          </w:tcPr>
          <w:p>
            <w:pPr>
              <w:spacing w:after="0"/>
              <w:rPr>
                <w:sz w:val="19"/>
                <w:szCs w:val="19"/>
                <w:color w:val="auto"/>
              </w:rPr>
            </w:pPr>
          </w:p>
        </w:tc>
        <w:tc>
          <w:tcPr>
            <w:tcW w:w="1400" w:type="dxa"/>
            <w:vAlign w:val="bottom"/>
            <w:tcBorders>
              <w:bottom w:val="single" w:sz="8" w:color="F8991D"/>
            </w:tcBorders>
          </w:tcPr>
          <w:p>
            <w:pPr>
              <w:spacing w:after="0"/>
              <w:rPr>
                <w:sz w:val="19"/>
                <w:szCs w:val="19"/>
                <w:color w:val="auto"/>
              </w:rPr>
            </w:pPr>
          </w:p>
        </w:tc>
        <w:tc>
          <w:tcPr>
            <w:tcW w:w="7200" w:type="dxa"/>
            <w:vAlign w:val="bottom"/>
            <w:gridSpan w:val="2"/>
          </w:tcPr>
          <w:p>
            <w:pPr>
              <w:spacing w:after="0"/>
              <w:rPr>
                <w:sz w:val="19"/>
                <w:szCs w:val="19"/>
                <w:color w:val="auto"/>
              </w:rPr>
            </w:pPr>
          </w:p>
        </w:tc>
      </w:tr>
      <w:tr>
        <w:trPr>
          <w:trHeight w:val="431"/>
        </w:trPr>
        <w:tc>
          <w:tcPr>
            <w:tcW w:w="2420" w:type="dxa"/>
            <w:vAlign w:val="bottom"/>
          </w:tcPr>
          <w:p>
            <w:pPr>
              <w:ind w:left="800"/>
              <w:spacing w:after="0"/>
              <w:rPr>
                <w:sz w:val="20"/>
                <w:szCs w:val="20"/>
                <w:color w:val="auto"/>
              </w:rPr>
            </w:pPr>
            <w:r>
              <w:rPr>
                <w:rFonts w:ascii="Arial" w:cs="Arial" w:eastAsia="Arial" w:hAnsi="Arial"/>
                <w:sz w:val="16"/>
                <w:szCs w:val="16"/>
                <w:color w:val="auto"/>
              </w:rPr>
              <w:t> </w:t>
            </w:r>
          </w:p>
        </w:tc>
        <w:tc>
          <w:tcPr>
            <w:tcW w:w="8600" w:type="dxa"/>
            <w:vAlign w:val="bottom"/>
            <w:gridSpan w:val="3"/>
          </w:tcPr>
          <w:p>
            <w:pPr>
              <w:spacing w:after="0"/>
              <w:rPr>
                <w:sz w:val="20"/>
                <w:szCs w:val="20"/>
                <w:color w:val="auto"/>
              </w:rPr>
            </w:pPr>
            <w:r>
              <w:rPr>
                <w:rFonts w:ascii="Arial" w:cs="Arial" w:eastAsia="Arial" w:hAnsi="Arial"/>
                <w:sz w:val="16"/>
                <w:szCs w:val="16"/>
                <w:color w:val="auto"/>
              </w:rPr>
              <w:t>Rachel Lenington has served as our chief operating officer since October 2021 and as our chief</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development officer since February 2024. Prior to that, Ms. Lenington served as our chief technology officer,</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head of product development strategy, from June 2021 to October 2021. From February 2021 to May 2021,</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Ms. Lenington served as a consultant for Lenington Strategic Advisors, LLC, a company that provided</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biotechnology consulting services of which she was the founder. Prior to that, from 2015 to 2020,</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Ms. Lenington served as senior vice president of program and portfolio management at Seagen Inc., a</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publicly traded biotechnology company, where she led a team responsible for strategic business operations,</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program, portfolio, and alliance management, and played an instrumental role in scaling the organization as</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it transformed into a global, multi-product oncology company. From 2010 to 2015, Ms. Lenington was deputy</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director, strategy, planning and management at the Bill &amp; Melinda Gates Foundation, where she managed</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strategy, business operations, and grant budgets for select global health programs. From 2000 to 2010, Ms.</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Lenington held roles of increasing responsibility at Amgen and at Immunex prior to its 2002 acquisition by</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Amgen, including director, global program manager. From 1995 to 1996 and from 1996 to 2000,</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Ms. Lenington was a management consultant first for Accenture and then at Deloitte Consulting,</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respectively, focused on change management and ERP software implementation at Fortune 100 companies.</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She has served on the board of directors of Global Health Labs, Inc., a non-profit organization focused on</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developing health technology solutions for underserved populations, since July 2023. Ms. Lenington earned</w:t>
            </w: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an M.B.A. from Pepperdine University in 2005 and a B.A. in business administration degree from the</w:t>
            </w:r>
          </w:p>
        </w:tc>
      </w:tr>
      <w:tr>
        <w:trPr>
          <w:trHeight w:val="215"/>
        </w:trPr>
        <w:tc>
          <w:tcPr>
            <w:tcW w:w="24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6"/>
                <w:szCs w:val="16"/>
                <w:color w:val="auto"/>
              </w:rPr>
              <w:t>University of Washington in 1995.</w:t>
            </w:r>
          </w:p>
        </w:tc>
        <w:tc>
          <w:tcPr>
            <w:tcW w:w="3660" w:type="dxa"/>
            <w:vAlign w:val="bottom"/>
          </w:tcPr>
          <w:p>
            <w:pPr>
              <w:spacing w:after="0"/>
              <w:rPr>
                <w:sz w:val="18"/>
                <w:szCs w:val="18"/>
                <w:color w:val="auto"/>
              </w:rPr>
            </w:pPr>
          </w:p>
        </w:tc>
      </w:tr>
      <w:tr>
        <w:trPr>
          <w:trHeight w:val="500"/>
        </w:trPr>
        <w:tc>
          <w:tcPr>
            <w:tcW w:w="2420" w:type="dxa"/>
            <w:vAlign w:val="bottom"/>
          </w:tcPr>
          <w:p>
            <w:pPr>
              <w:ind w:left="800"/>
              <w:spacing w:after="0"/>
              <w:rPr>
                <w:sz w:val="20"/>
                <w:szCs w:val="20"/>
                <w:color w:val="auto"/>
              </w:rPr>
            </w:pPr>
            <w:r>
              <w:rPr>
                <w:rFonts w:ascii="Arial" w:cs="Arial" w:eastAsia="Arial" w:hAnsi="Arial"/>
                <w:sz w:val="14"/>
                <w:szCs w:val="14"/>
                <w:color w:val="255993"/>
              </w:rPr>
              <w:t>Athira Pharma, Inc.</w:t>
            </w:r>
          </w:p>
        </w:tc>
        <w:tc>
          <w:tcPr>
            <w:tcW w:w="4940" w:type="dxa"/>
            <w:vAlign w:val="bottom"/>
            <w:gridSpan w:val="2"/>
          </w:tcPr>
          <w:p>
            <w:pPr>
              <w:ind w:left="3000"/>
              <w:spacing w:after="0"/>
              <w:rPr>
                <w:sz w:val="20"/>
                <w:szCs w:val="20"/>
                <w:color w:val="auto"/>
              </w:rPr>
            </w:pPr>
            <w:r>
              <w:rPr>
                <w:rFonts w:ascii="Arial" w:cs="Arial" w:eastAsia="Arial" w:hAnsi="Arial"/>
                <w:sz w:val="14"/>
                <w:szCs w:val="14"/>
                <w:b w:val="1"/>
                <w:bCs w:val="1"/>
                <w:color w:val="255993"/>
              </w:rPr>
              <w:t>31</w:t>
            </w:r>
          </w:p>
        </w:tc>
        <w:tc>
          <w:tcPr>
            <w:tcW w:w="3660" w:type="dxa"/>
            <w:vAlign w:val="bottom"/>
          </w:tcPr>
          <w:p>
            <w:pPr>
              <w:ind w:left="1420"/>
              <w:spacing w:after="0"/>
              <w:rPr>
                <w:sz w:val="20"/>
                <w:szCs w:val="20"/>
                <w:color w:val="auto"/>
              </w:rPr>
            </w:pPr>
            <w:r>
              <w:rPr>
                <w:rFonts w:ascii="Arial" w:cs="Arial" w:eastAsia="Arial" w:hAnsi="Arial"/>
                <w:sz w:val="14"/>
                <w:szCs w:val="14"/>
                <w:color w:val="255993"/>
              </w:rPr>
              <w:t>2024 Proxy Statement</w:t>
            </w:r>
          </w:p>
        </w:tc>
      </w:tr>
      <w:tr>
        <w:trPr>
          <w:trHeight w:val="158"/>
        </w:trPr>
        <w:tc>
          <w:tcPr>
            <w:tcW w:w="24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3540" w:type="dxa"/>
            <w:vAlign w:val="bottom"/>
            <w:tcBorders>
              <w:bottom w:val="single" w:sz="8" w:color="auto"/>
            </w:tcBorders>
          </w:tcPr>
          <w:p>
            <w:pPr>
              <w:spacing w:after="0"/>
              <w:rPr>
                <w:sz w:val="13"/>
                <w:szCs w:val="13"/>
                <w:color w:val="auto"/>
              </w:rPr>
            </w:pPr>
          </w:p>
        </w:tc>
        <w:tc>
          <w:tcPr>
            <w:tcW w:w="3660" w:type="dxa"/>
            <w:vAlign w:val="bottom"/>
            <w:tcBorders>
              <w:bottom w:val="single" w:sz="8" w:color="auto"/>
            </w:tcBorders>
          </w:tcPr>
          <w:p>
            <w:pPr>
              <w:spacing w:after="0"/>
              <w:rPr>
                <w:sz w:val="13"/>
                <w:szCs w:val="13"/>
                <w:color w:val="auto"/>
              </w:rPr>
            </w:pPr>
          </w:p>
        </w:tc>
      </w:tr>
    </w:tbl>
    <w:p>
      <w:pPr>
        <w:sectPr>
          <w:pgSz w:w="11900" w:h="16838" w:orient="portrait"/>
          <w:cols w:equalWidth="0" w:num="1">
            <w:col w:w="11020"/>
          </w:cols>
          <w:pgMar w:left="440" w:top="263" w:right="439" w:bottom="1440" w:gutter="0" w:footer="0" w:header="0"/>
        </w:sectPr>
      </w:pPr>
    </w:p>
    <w:bookmarkStart w:id="40" w:name="page41"/>
    <w:bookmarkEnd w:id="40"/>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800"/>
        <w:spacing w:after="0"/>
        <w:rPr>
          <w:sz w:val="20"/>
          <w:szCs w:val="20"/>
          <w:color w:val="auto"/>
        </w:rPr>
      </w:pPr>
      <w:r>
        <w:rPr>
          <w:rFonts w:ascii="Arial" w:cs="Arial" w:eastAsia="Arial" w:hAnsi="Arial"/>
          <w:sz w:val="14"/>
          <w:szCs w:val="14"/>
          <w:color w:val="255993"/>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126365</wp:posOffset>
            </wp:positionV>
            <wp:extent cx="882650" cy="8832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2650" cy="883285"/>
                    </a:xfrm>
                    <a:prstGeom prst="rect">
                      <a:avLst/>
                    </a:prstGeom>
                    <a:noFill/>
                  </pic:spPr>
                </pic:pic>
              </a:graphicData>
            </a:graphic>
          </wp:anchor>
        </w:drawing>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509"/>
        </w:trPr>
        <w:tc>
          <w:tcPr>
            <w:tcW w:w="2420" w:type="dxa"/>
            <w:vAlign w:val="bottom"/>
          </w:tcPr>
          <w:p>
            <w:pPr>
              <w:spacing w:after="0"/>
              <w:rPr>
                <w:sz w:val="24"/>
                <w:szCs w:val="24"/>
                <w:color w:val="auto"/>
              </w:rPr>
            </w:pPr>
          </w:p>
        </w:tc>
        <w:tc>
          <w:tcPr>
            <w:tcW w:w="6220" w:type="dxa"/>
            <w:vAlign w:val="bottom"/>
            <w:gridSpan w:val="2"/>
          </w:tcPr>
          <w:p>
            <w:pPr>
              <w:spacing w:after="0"/>
              <w:rPr>
                <w:sz w:val="20"/>
                <w:szCs w:val="20"/>
                <w:color w:val="auto"/>
              </w:rPr>
            </w:pPr>
            <w:r>
              <w:rPr>
                <w:rFonts w:ascii="Arial" w:cs="Arial" w:eastAsia="Arial" w:hAnsi="Arial"/>
                <w:sz w:val="40"/>
                <w:szCs w:val="40"/>
                <w:color w:val="255993"/>
              </w:rPr>
              <w:t>Andrew Gengos</w:t>
            </w: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20" w:type="dxa"/>
            <w:vAlign w:val="bottom"/>
          </w:tcPr>
          <w:p>
            <w:pPr>
              <w:spacing w:after="0"/>
              <w:rPr>
                <w:sz w:val="17"/>
                <w:szCs w:val="17"/>
                <w:color w:val="auto"/>
              </w:rPr>
            </w:pPr>
          </w:p>
        </w:tc>
        <w:tc>
          <w:tcPr>
            <w:tcW w:w="6220" w:type="dxa"/>
            <w:vAlign w:val="bottom"/>
            <w:gridSpan w:val="2"/>
          </w:tcPr>
          <w:p>
            <w:pPr>
              <w:spacing w:after="0"/>
              <w:rPr>
                <w:sz w:val="20"/>
                <w:szCs w:val="20"/>
                <w:color w:val="auto"/>
              </w:rPr>
            </w:pPr>
            <w:r>
              <w:rPr>
                <w:rFonts w:ascii="Arial" w:cs="Arial" w:eastAsia="Arial" w:hAnsi="Arial"/>
                <w:sz w:val="14"/>
                <w:szCs w:val="14"/>
                <w:b w:val="1"/>
                <w:bCs w:val="1"/>
                <w:color w:val="auto"/>
              </w:rPr>
              <w:t>AGE: 59   EXECUTIVE OFFICER SINCE: May 2023</w:t>
            </w: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420" w:type="dxa"/>
            <w:vAlign w:val="bottom"/>
            <w:vMerge w:val="restart"/>
          </w:tcPr>
          <w:p>
            <w:pPr>
              <w:ind w:left="800"/>
              <w:spacing w:after="0"/>
              <w:rPr>
                <w:sz w:val="20"/>
                <w:szCs w:val="20"/>
                <w:color w:val="auto"/>
              </w:rPr>
            </w:pPr>
            <w:r>
              <w:rPr>
                <w:rFonts w:ascii="Arial" w:cs="Arial" w:eastAsia="Arial" w:hAnsi="Arial"/>
                <w:sz w:val="16"/>
                <w:szCs w:val="16"/>
                <w:color w:val="auto"/>
              </w:rPr>
              <w:t> </w:t>
            </w:r>
          </w:p>
        </w:tc>
        <w:tc>
          <w:tcPr>
            <w:tcW w:w="1400" w:type="dxa"/>
            <w:vAlign w:val="bottom"/>
            <w:tcBorders>
              <w:bottom w:val="single" w:sz="8" w:color="F8991D"/>
            </w:tcBorders>
          </w:tcPr>
          <w:p>
            <w:pPr>
              <w:spacing w:after="0"/>
              <w:rPr>
                <w:sz w:val="20"/>
                <w:szCs w:val="20"/>
                <w:color w:val="auto"/>
              </w:rPr>
            </w:pPr>
          </w:p>
        </w:tc>
        <w:tc>
          <w:tcPr>
            <w:tcW w:w="72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420" w:type="dxa"/>
            <w:vAlign w:val="bottom"/>
            <w:vMerge w:val="continue"/>
          </w:tcPr>
          <w:p>
            <w:pPr>
              <w:spacing w:after="0"/>
              <w:rPr>
                <w:sz w:val="24"/>
                <w:szCs w:val="24"/>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Andrew Gengos has served as our chief financial officer and chief business officer since May 2023. He</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served as the chief business officer of Cyteir Therapeutics, Inc., a clinical-stage biopharmaceutical company,</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from February 2020 until February 2023, and served in various roles at AOBiome Therapeutics, a</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biotechnology company, from January 2019 to December 2019, including most recently as chief business</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officer and chief financial officer from March 2019 to December 2019. Mr. Gengos also served as the chief</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operating officer and head of corporate development of Synlogic, Inc., a biotechnology company, from</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October 2017 to January 2019, and previously served as president and chief executive officer at</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ImmunoCellular Therapeutics and Neuraltus Pharmaceuticals and as vice president of strategy and</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corporate development at Amgen. From August 2019 to January 2020 he also served as an advisor to Turn</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Therapeutics, a biotechnology company, where he has served on the board of directors since January 2020.</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He started his career as a technology associate at Morgan Stanley before moving on to McKinsey &amp; Co.,</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where he advanced from associate to senior engagement manager, focusing in the healthcare and strategy</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practices. Mr. Gengos earned an M.B.A. from the UCLA Anderson School of Management in 1991 and a</w:t>
            </w:r>
          </w:p>
        </w:tc>
        <w:tc>
          <w:tcPr>
            <w:tcW w:w="0" w:type="dxa"/>
            <w:vAlign w:val="bottom"/>
          </w:tcPr>
          <w:p>
            <w:pPr>
              <w:spacing w:after="0"/>
              <w:rPr>
                <w:sz w:val="1"/>
                <w:szCs w:val="1"/>
                <w:color w:val="auto"/>
              </w:rPr>
            </w:pPr>
          </w:p>
        </w:tc>
      </w:tr>
      <w:tr>
        <w:trPr>
          <w:trHeight w:val="215"/>
        </w:trPr>
        <w:tc>
          <w:tcPr>
            <w:tcW w:w="24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6"/>
                <w:szCs w:val="16"/>
                <w:color w:val="auto"/>
              </w:rPr>
              <w:t>B.S. in chemical engineering from the Massachusetts Institute of Technology in 1986.</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65"/>
        </w:trPr>
        <w:tc>
          <w:tcPr>
            <w:tcW w:w="2420" w:type="dxa"/>
            <w:vAlign w:val="bottom"/>
          </w:tcPr>
          <w:p>
            <w:pPr>
              <w:spacing w:after="0"/>
              <w:rPr>
                <w:sz w:val="24"/>
                <w:szCs w:val="24"/>
                <w:color w:val="auto"/>
              </w:rPr>
            </w:pPr>
          </w:p>
        </w:tc>
        <w:tc>
          <w:tcPr>
            <w:tcW w:w="6220" w:type="dxa"/>
            <w:vAlign w:val="bottom"/>
            <w:gridSpan w:val="2"/>
          </w:tcPr>
          <w:p>
            <w:pPr>
              <w:spacing w:after="0"/>
              <w:rPr>
                <w:sz w:val="20"/>
                <w:szCs w:val="20"/>
                <w:color w:val="auto"/>
              </w:rPr>
            </w:pPr>
            <w:r>
              <w:rPr>
                <w:rFonts w:ascii="Arial" w:cs="Arial" w:eastAsia="Arial" w:hAnsi="Arial"/>
                <w:sz w:val="40"/>
                <w:szCs w:val="40"/>
                <w:color w:val="255993"/>
              </w:rPr>
              <w:t>Kevin Church, Ph.D.</w:t>
            </w: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20" w:type="dxa"/>
            <w:vAlign w:val="bottom"/>
          </w:tcPr>
          <w:p>
            <w:pPr>
              <w:spacing w:after="0"/>
              <w:rPr>
                <w:sz w:val="17"/>
                <w:szCs w:val="17"/>
                <w:color w:val="auto"/>
              </w:rPr>
            </w:pPr>
          </w:p>
        </w:tc>
        <w:tc>
          <w:tcPr>
            <w:tcW w:w="6220" w:type="dxa"/>
            <w:vAlign w:val="bottom"/>
            <w:gridSpan w:val="2"/>
          </w:tcPr>
          <w:p>
            <w:pPr>
              <w:spacing w:after="0"/>
              <w:rPr>
                <w:sz w:val="20"/>
                <w:szCs w:val="20"/>
                <w:color w:val="auto"/>
              </w:rPr>
            </w:pPr>
            <w:r>
              <w:rPr>
                <w:rFonts w:ascii="Arial" w:cs="Arial" w:eastAsia="Arial" w:hAnsi="Arial"/>
                <w:sz w:val="14"/>
                <w:szCs w:val="14"/>
                <w:b w:val="1"/>
                <w:bCs w:val="1"/>
                <w:color w:val="auto"/>
              </w:rPr>
              <w:t>AGE: 39   EXECUTIVE OFFICER SINCE: JULY 2020</w:t>
            </w: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420" w:type="dxa"/>
            <w:vAlign w:val="bottom"/>
            <w:vMerge w:val="restart"/>
          </w:tcPr>
          <w:p>
            <w:pPr>
              <w:ind w:left="800"/>
              <w:spacing w:after="0"/>
              <w:rPr>
                <w:sz w:val="20"/>
                <w:szCs w:val="20"/>
                <w:color w:val="auto"/>
              </w:rPr>
            </w:pPr>
            <w:r>
              <w:rPr>
                <w:rFonts w:ascii="Arial" w:cs="Arial" w:eastAsia="Arial" w:hAnsi="Arial"/>
                <w:sz w:val="16"/>
                <w:szCs w:val="16"/>
                <w:color w:val="auto"/>
              </w:rPr>
              <w:t> </w:t>
            </w:r>
          </w:p>
        </w:tc>
        <w:tc>
          <w:tcPr>
            <w:tcW w:w="1400" w:type="dxa"/>
            <w:vAlign w:val="bottom"/>
            <w:tcBorders>
              <w:bottom w:val="single" w:sz="8" w:color="F8991D"/>
            </w:tcBorders>
          </w:tcPr>
          <w:p>
            <w:pPr>
              <w:spacing w:after="0"/>
              <w:rPr>
                <w:sz w:val="20"/>
                <w:szCs w:val="20"/>
                <w:color w:val="auto"/>
              </w:rPr>
            </w:pPr>
          </w:p>
        </w:tc>
        <w:tc>
          <w:tcPr>
            <w:tcW w:w="72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420" w:type="dxa"/>
            <w:vAlign w:val="bottom"/>
            <w:vMerge w:val="continue"/>
          </w:tcPr>
          <w:p>
            <w:pPr>
              <w:spacing w:after="0"/>
              <w:rPr>
                <w:sz w:val="24"/>
                <w:szCs w:val="24"/>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Kevin Church, Ph.D., has served as our chief scientific officer since January 2023. Prior to this, Dr. Church</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held various roles at the Company, including executive vice president of research from October 2021 to</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January 2023, vice president of discovery from July 2020 to October 2021, director of discovery from</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July 2018 to July 2020, senior research scientist from February 2018 to July 2018, and research scientist</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from July 2016 to February 2018. Dr. Church has research experience in diverse fields of study including</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neurodegenerative diseases, wound healing, and cancer. Dr. Church earned his Ph.D. in molecular</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biosciences from Washington State University in 2016, and prior to that earned his B.S. in microbiology from</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the University of Idaho in 2006. While in graduate school, Dr. Church was recognized for excellence in his</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graduate teaching assistantships. Dr. Church’s graduate work primarily focused on the development of novel</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therapeutics for the treatment of pancreatic cancer, but also included research relating to the treatment of</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diabetic ulcers and neurodegenerative diseases such as Parkinson’s disease dementia and Alzheimer’s</w:t>
            </w:r>
          </w:p>
        </w:tc>
        <w:tc>
          <w:tcPr>
            <w:tcW w:w="0" w:type="dxa"/>
            <w:vAlign w:val="bottom"/>
          </w:tcPr>
          <w:p>
            <w:pPr>
              <w:spacing w:after="0"/>
              <w:rPr>
                <w:sz w:val="1"/>
                <w:szCs w:val="1"/>
                <w:color w:val="auto"/>
              </w:rPr>
            </w:pPr>
          </w:p>
        </w:tc>
      </w:tr>
      <w:tr>
        <w:trPr>
          <w:trHeight w:val="215"/>
        </w:trPr>
        <w:tc>
          <w:tcPr>
            <w:tcW w:w="24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6"/>
                <w:szCs w:val="16"/>
                <w:color w:val="auto"/>
              </w:rPr>
              <w:t>disease.</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2420" w:type="dxa"/>
            <w:vAlign w:val="bottom"/>
          </w:tcPr>
          <w:p>
            <w:pPr>
              <w:ind w:left="800"/>
              <w:spacing w:after="0"/>
              <w:rPr>
                <w:sz w:val="20"/>
                <w:szCs w:val="20"/>
                <w:color w:val="auto"/>
              </w:rPr>
            </w:pPr>
            <w:r>
              <w:rPr>
                <w:rFonts w:ascii="Arial" w:cs="Arial" w:eastAsia="Arial" w:hAnsi="Arial"/>
                <w:sz w:val="14"/>
                <w:szCs w:val="14"/>
                <w:color w:val="255993"/>
              </w:rPr>
              <w:t>Athira Pharma, Inc.</w:t>
            </w:r>
          </w:p>
        </w:tc>
        <w:tc>
          <w:tcPr>
            <w:tcW w:w="6220" w:type="dxa"/>
            <w:vAlign w:val="bottom"/>
            <w:gridSpan w:val="2"/>
          </w:tcPr>
          <w:p>
            <w:pPr>
              <w:ind w:left="3000"/>
              <w:spacing w:after="0"/>
              <w:rPr>
                <w:sz w:val="20"/>
                <w:szCs w:val="20"/>
                <w:color w:val="auto"/>
              </w:rPr>
            </w:pPr>
            <w:r>
              <w:rPr>
                <w:rFonts w:ascii="Arial" w:cs="Arial" w:eastAsia="Arial" w:hAnsi="Arial"/>
                <w:sz w:val="14"/>
                <w:szCs w:val="14"/>
                <w:b w:val="1"/>
                <w:bCs w:val="1"/>
                <w:color w:val="255993"/>
              </w:rPr>
              <w:t>32</w:t>
            </w:r>
          </w:p>
        </w:tc>
        <w:tc>
          <w:tcPr>
            <w:tcW w:w="2380" w:type="dxa"/>
            <w:vAlign w:val="bottom"/>
          </w:tcPr>
          <w:p>
            <w:pPr>
              <w:ind w:left="140"/>
              <w:spacing w:after="0"/>
              <w:rPr>
                <w:sz w:val="20"/>
                <w:szCs w:val="20"/>
                <w:color w:val="auto"/>
              </w:rPr>
            </w:pPr>
            <w:r>
              <w:rPr>
                <w:rFonts w:ascii="Arial" w:cs="Arial" w:eastAsia="Arial" w:hAnsi="Arial"/>
                <w:sz w:val="14"/>
                <w:szCs w:val="14"/>
                <w:color w:val="255993"/>
              </w:rPr>
              <w:t>2024 Proxy Statement</w:t>
            </w:r>
          </w:p>
        </w:tc>
        <w:tc>
          <w:tcPr>
            <w:tcW w:w="0" w:type="dxa"/>
            <w:vAlign w:val="bottom"/>
          </w:tcPr>
          <w:p>
            <w:pPr>
              <w:spacing w:after="0"/>
              <w:rPr>
                <w:sz w:val="1"/>
                <w:szCs w:val="1"/>
                <w:color w:val="auto"/>
              </w:rPr>
            </w:pPr>
          </w:p>
        </w:tc>
      </w:tr>
      <w:tr>
        <w:trPr>
          <w:trHeight w:val="158"/>
        </w:trPr>
        <w:tc>
          <w:tcPr>
            <w:tcW w:w="24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482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-2768600</wp:posOffset>
            </wp:positionV>
            <wp:extent cx="882650" cy="8826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2650" cy="88265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41" w:name="page42"/>
    <w:bookmarkEnd w:id="41"/>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2480" w:type="dxa"/>
            <w:vAlign w:val="bottom"/>
          </w:tcPr>
          <w:p>
            <w:pPr>
              <w:jc w:val="right"/>
              <w:ind w:right="748"/>
              <w:spacing w:after="0"/>
              <w:rPr>
                <w:sz w:val="20"/>
                <w:szCs w:val="20"/>
                <w:color w:val="auto"/>
              </w:rPr>
            </w:pPr>
            <w:r>
              <w:rPr>
                <w:rFonts w:ascii="Arial" w:cs="Arial" w:eastAsia="Arial" w:hAnsi="Arial"/>
                <w:sz w:val="14"/>
                <w:szCs w:val="14"/>
                <w:color w:val="255993"/>
              </w:rPr>
              <w:t>Executive Officers</w:t>
            </w:r>
          </w:p>
        </w:tc>
        <w:tc>
          <w:tcPr>
            <w:tcW w:w="0" w:type="dxa"/>
            <w:vAlign w:val="bottom"/>
          </w:tcPr>
          <w:p>
            <w:pPr>
              <w:spacing w:after="0"/>
              <w:rPr>
                <w:sz w:val="1"/>
                <w:szCs w:val="1"/>
                <w:color w:val="auto"/>
              </w:rPr>
            </w:pPr>
          </w:p>
        </w:tc>
      </w:tr>
      <w:tr>
        <w:trPr>
          <w:trHeight w:val="863"/>
        </w:trPr>
        <w:tc>
          <w:tcPr>
            <w:tcW w:w="2420" w:type="dxa"/>
            <w:vAlign w:val="bottom"/>
          </w:tcPr>
          <w:p>
            <w:pPr>
              <w:spacing w:after="0"/>
              <w:rPr>
                <w:sz w:val="24"/>
                <w:szCs w:val="24"/>
                <w:color w:val="auto"/>
              </w:rPr>
            </w:pPr>
          </w:p>
        </w:tc>
        <w:tc>
          <w:tcPr>
            <w:tcW w:w="6120" w:type="dxa"/>
            <w:vAlign w:val="bottom"/>
            <w:gridSpan w:val="2"/>
          </w:tcPr>
          <w:p>
            <w:pPr>
              <w:spacing w:after="0"/>
              <w:rPr>
                <w:sz w:val="20"/>
                <w:szCs w:val="20"/>
                <w:color w:val="auto"/>
              </w:rPr>
            </w:pPr>
            <w:r>
              <w:rPr>
                <w:rFonts w:ascii="Arial" w:cs="Arial" w:eastAsia="Arial" w:hAnsi="Arial"/>
                <w:sz w:val="40"/>
                <w:szCs w:val="40"/>
                <w:color w:val="255993"/>
              </w:rPr>
              <w:t>Mark Worthington</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20" w:type="dxa"/>
            <w:vAlign w:val="bottom"/>
          </w:tcPr>
          <w:p>
            <w:pPr>
              <w:spacing w:after="0"/>
              <w:rPr>
                <w:sz w:val="17"/>
                <w:szCs w:val="17"/>
                <w:color w:val="auto"/>
              </w:rPr>
            </w:pPr>
          </w:p>
        </w:tc>
        <w:tc>
          <w:tcPr>
            <w:tcW w:w="6120" w:type="dxa"/>
            <w:vAlign w:val="bottom"/>
            <w:gridSpan w:val="2"/>
          </w:tcPr>
          <w:p>
            <w:pPr>
              <w:spacing w:after="0"/>
              <w:rPr>
                <w:sz w:val="20"/>
                <w:szCs w:val="20"/>
                <w:color w:val="auto"/>
              </w:rPr>
            </w:pPr>
            <w:r>
              <w:rPr>
                <w:rFonts w:ascii="Arial" w:cs="Arial" w:eastAsia="Arial" w:hAnsi="Arial"/>
                <w:sz w:val="14"/>
                <w:szCs w:val="14"/>
                <w:b w:val="1"/>
                <w:bCs w:val="1"/>
                <w:color w:val="auto"/>
              </w:rPr>
              <w:t>AGE: 57   EXECUTIVE OFFICER SINCE: JUNE 2021</w:t>
            </w:r>
          </w:p>
        </w:tc>
        <w:tc>
          <w:tcPr>
            <w:tcW w:w="2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420" w:type="dxa"/>
            <w:vAlign w:val="bottom"/>
            <w:vMerge w:val="restart"/>
          </w:tcPr>
          <w:p>
            <w:pPr>
              <w:ind w:left="800"/>
              <w:spacing w:after="0"/>
              <w:rPr>
                <w:sz w:val="20"/>
                <w:szCs w:val="20"/>
                <w:color w:val="auto"/>
              </w:rPr>
            </w:pPr>
            <w:r>
              <w:rPr>
                <w:rFonts w:ascii="Arial" w:cs="Arial" w:eastAsia="Arial" w:hAnsi="Arial"/>
                <w:sz w:val="16"/>
                <w:szCs w:val="16"/>
                <w:color w:val="auto"/>
              </w:rPr>
              <w:t> </w:t>
            </w:r>
          </w:p>
        </w:tc>
        <w:tc>
          <w:tcPr>
            <w:tcW w:w="1400" w:type="dxa"/>
            <w:vAlign w:val="bottom"/>
            <w:tcBorders>
              <w:bottom w:val="single" w:sz="8" w:color="F8991D"/>
            </w:tcBorders>
          </w:tcPr>
          <w:p>
            <w:pPr>
              <w:spacing w:after="0"/>
              <w:rPr>
                <w:sz w:val="20"/>
                <w:szCs w:val="20"/>
                <w:color w:val="auto"/>
              </w:rPr>
            </w:pPr>
          </w:p>
        </w:tc>
        <w:tc>
          <w:tcPr>
            <w:tcW w:w="72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420" w:type="dxa"/>
            <w:vAlign w:val="bottom"/>
            <w:vMerge w:val="continue"/>
          </w:tcPr>
          <w:p>
            <w:pPr>
              <w:spacing w:after="0"/>
              <w:rPr>
                <w:sz w:val="24"/>
                <w:szCs w:val="24"/>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Mark Worthington has served as our general counsel since June 2021, after working with us as outside</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corporate counsel for several years. Prior to joining the Company, Mr. Worthington served as a partner with</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Summit Law Group in Seattle, Washington from September 1997 to May 2021, where he practiced corporate</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and securities law, chaired the corporate/securities practice and served as the co-managing partner.</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Mr. Worthington has advised private and public life sciences and other companies on a wide range of</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corporate governance, compliance and transactional matters, including public offerings, mergers and</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acquisitions, and joint ventures, and worked closely with executive management teams on strategic business</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600" w:type="dxa"/>
            <w:vAlign w:val="bottom"/>
            <w:gridSpan w:val="3"/>
          </w:tcPr>
          <w:p>
            <w:pPr>
              <w:spacing w:after="0"/>
              <w:rPr>
                <w:sz w:val="20"/>
                <w:szCs w:val="20"/>
                <w:color w:val="auto"/>
              </w:rPr>
            </w:pPr>
            <w:r>
              <w:rPr>
                <w:rFonts w:ascii="Arial" w:cs="Arial" w:eastAsia="Arial" w:hAnsi="Arial"/>
                <w:sz w:val="16"/>
                <w:szCs w:val="16"/>
                <w:color w:val="auto"/>
              </w:rPr>
              <w:t>and legal matters. Mr. Worthington received his J.D. from University of California College of the Law, San</w:t>
            </w:r>
          </w:p>
        </w:tc>
        <w:tc>
          <w:tcPr>
            <w:tcW w:w="0" w:type="dxa"/>
            <w:vAlign w:val="bottom"/>
          </w:tcPr>
          <w:p>
            <w:pPr>
              <w:spacing w:after="0"/>
              <w:rPr>
                <w:sz w:val="1"/>
                <w:szCs w:val="1"/>
                <w:color w:val="auto"/>
              </w:rPr>
            </w:pPr>
          </w:p>
        </w:tc>
      </w:tr>
      <w:tr>
        <w:trPr>
          <w:trHeight w:val="215"/>
        </w:trPr>
        <w:tc>
          <w:tcPr>
            <w:tcW w:w="24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6"/>
                <w:szCs w:val="16"/>
                <w:color w:val="auto"/>
              </w:rPr>
              <w:t>Francisco, in 1993 and B.A. in American Studies from Stanford University in 1988.</w:t>
            </w: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9"/>
        </w:trPr>
        <w:tc>
          <w:tcPr>
            <w:tcW w:w="2420" w:type="dxa"/>
            <w:vAlign w:val="bottom"/>
          </w:tcPr>
          <w:p>
            <w:pPr>
              <w:ind w:left="800"/>
              <w:spacing w:after="0"/>
              <w:rPr>
                <w:sz w:val="20"/>
                <w:szCs w:val="20"/>
                <w:color w:val="auto"/>
              </w:rPr>
            </w:pPr>
            <w:r>
              <w:rPr>
                <w:rFonts w:ascii="Arial" w:cs="Arial" w:eastAsia="Arial" w:hAnsi="Arial"/>
                <w:sz w:val="14"/>
                <w:szCs w:val="14"/>
                <w:color w:val="255993"/>
              </w:rPr>
              <w:t>Athira Pharma, Inc.</w:t>
            </w:r>
          </w:p>
        </w:tc>
        <w:tc>
          <w:tcPr>
            <w:tcW w:w="6120" w:type="dxa"/>
            <w:vAlign w:val="bottom"/>
            <w:gridSpan w:val="2"/>
          </w:tcPr>
          <w:p>
            <w:pPr>
              <w:ind w:left="3000"/>
              <w:spacing w:after="0"/>
              <w:rPr>
                <w:sz w:val="20"/>
                <w:szCs w:val="20"/>
                <w:color w:val="auto"/>
              </w:rPr>
            </w:pPr>
            <w:r>
              <w:rPr>
                <w:rFonts w:ascii="Arial" w:cs="Arial" w:eastAsia="Arial" w:hAnsi="Arial"/>
                <w:sz w:val="14"/>
                <w:szCs w:val="14"/>
                <w:b w:val="1"/>
                <w:bCs w:val="1"/>
                <w:color w:val="255993"/>
              </w:rPr>
              <w:t>33</w:t>
            </w:r>
          </w:p>
        </w:tc>
        <w:tc>
          <w:tcPr>
            <w:tcW w:w="2480" w:type="dxa"/>
            <w:vAlign w:val="bottom"/>
          </w:tcPr>
          <w:p>
            <w:pPr>
              <w:jc w:val="right"/>
              <w:ind w:right="748"/>
              <w:spacing w:after="0"/>
              <w:rPr>
                <w:sz w:val="20"/>
                <w:szCs w:val="20"/>
                <w:color w:val="auto"/>
              </w:rPr>
            </w:pPr>
            <w:r>
              <w:rPr>
                <w:rFonts w:ascii="Arial" w:cs="Arial" w:eastAsia="Arial" w:hAnsi="Arial"/>
                <w:sz w:val="14"/>
                <w:szCs w:val="14"/>
                <w:color w:val="255993"/>
              </w:rPr>
              <w:t>2024 Proxy Statement</w:t>
            </w:r>
          </w:p>
        </w:tc>
        <w:tc>
          <w:tcPr>
            <w:tcW w:w="0" w:type="dxa"/>
            <w:vAlign w:val="bottom"/>
          </w:tcPr>
          <w:p>
            <w:pPr>
              <w:spacing w:after="0"/>
              <w:rPr>
                <w:sz w:val="1"/>
                <w:szCs w:val="1"/>
                <w:color w:val="auto"/>
              </w:rPr>
            </w:pPr>
          </w:p>
        </w:tc>
      </w:tr>
      <w:tr>
        <w:trPr>
          <w:trHeight w:val="158"/>
        </w:trPr>
        <w:tc>
          <w:tcPr>
            <w:tcW w:w="24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472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-2408555</wp:posOffset>
            </wp:positionV>
            <wp:extent cx="882650" cy="8832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2650" cy="88328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38" w:lineRule="exact"/>
        <w:rPr>
          <w:sz w:val="20"/>
          <w:szCs w:val="20"/>
          <w:color w:val="auto"/>
        </w:rPr>
      </w:pPr>
    </w:p>
    <w:p>
      <w:pPr>
        <w:spacing w:after="0"/>
        <w:rPr>
          <w:sz w:val="20"/>
          <w:szCs w:val="20"/>
          <w:color w:val="auto"/>
        </w:rPr>
      </w:pPr>
      <w:r>
        <w:rPr>
          <w:rFonts w:ascii="Arial" w:cs="Arial" w:eastAsia="Arial" w:hAnsi="Arial"/>
          <w:sz w:val="58"/>
          <w:szCs w:val="58"/>
          <w:color w:val="255993"/>
        </w:rPr>
        <w:t>Executive Compensation</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PROCESSES AND PROCEDURES FOR COMPENSATION DECISIONS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Our executive compensation programs are designed to:</w:t>
      </w:r>
    </w:p>
    <w:p>
      <w:pPr>
        <w:spacing w:after="0" w:line="167" w:lineRule="exact"/>
        <w:rPr>
          <w:sz w:val="20"/>
          <w:szCs w:val="20"/>
          <w:color w:val="auto"/>
        </w:rPr>
      </w:pPr>
    </w:p>
    <w:p>
      <w:pPr>
        <w:ind w:left="140" w:hanging="134"/>
        <w:spacing w:after="0"/>
        <w:tabs>
          <w:tab w:leader="none" w:pos="140" w:val="left"/>
        </w:tabs>
        <w:numPr>
          <w:ilvl w:val="0"/>
          <w:numId w:val="25"/>
        </w:numPr>
        <w:rPr>
          <w:rFonts w:ascii="Arial" w:cs="Arial" w:eastAsia="Arial" w:hAnsi="Arial"/>
          <w:sz w:val="16"/>
          <w:szCs w:val="16"/>
          <w:color w:val="255993"/>
        </w:rPr>
      </w:pPr>
      <w:r>
        <w:rPr>
          <w:rFonts w:ascii="Arial" w:cs="Arial" w:eastAsia="Arial" w:hAnsi="Arial"/>
          <w:sz w:val="16"/>
          <w:szCs w:val="16"/>
          <w:color w:val="auto"/>
        </w:rPr>
        <w:t>attract, motivate, incentivize and retain employees at the executive level who contribute to our long-term success;</w:t>
      </w:r>
    </w:p>
    <w:p>
      <w:pPr>
        <w:spacing w:after="0" w:line="59" w:lineRule="exact"/>
        <w:rPr>
          <w:rFonts w:ascii="Arial" w:cs="Arial" w:eastAsia="Arial" w:hAnsi="Arial"/>
          <w:sz w:val="16"/>
          <w:szCs w:val="16"/>
          <w:color w:val="255993"/>
        </w:rPr>
      </w:pPr>
    </w:p>
    <w:p>
      <w:pPr>
        <w:ind w:left="140" w:right="240" w:hanging="134"/>
        <w:spacing w:after="0" w:line="281" w:lineRule="auto"/>
        <w:tabs>
          <w:tab w:leader="none" w:pos="140" w:val="left"/>
        </w:tabs>
        <w:numPr>
          <w:ilvl w:val="0"/>
          <w:numId w:val="25"/>
        </w:numPr>
        <w:rPr>
          <w:rFonts w:ascii="Arial" w:cs="Arial" w:eastAsia="Arial" w:hAnsi="Arial"/>
          <w:sz w:val="16"/>
          <w:szCs w:val="16"/>
          <w:color w:val="255993"/>
        </w:rPr>
      </w:pPr>
      <w:r>
        <w:rPr>
          <w:rFonts w:ascii="Arial" w:cs="Arial" w:eastAsia="Arial" w:hAnsi="Arial"/>
          <w:sz w:val="16"/>
          <w:szCs w:val="16"/>
          <w:color w:val="auto"/>
        </w:rPr>
        <w:t>provide compensation packages to our executives that are fair and competitive and reward high levels of performance and the achievement of our business objectives; and</w:t>
      </w:r>
    </w:p>
    <w:p>
      <w:pPr>
        <w:spacing w:after="0" w:line="1" w:lineRule="exact"/>
        <w:rPr>
          <w:rFonts w:ascii="Arial" w:cs="Arial" w:eastAsia="Arial" w:hAnsi="Arial"/>
          <w:sz w:val="16"/>
          <w:szCs w:val="16"/>
          <w:color w:val="255993"/>
        </w:rPr>
      </w:pPr>
    </w:p>
    <w:p>
      <w:pPr>
        <w:ind w:left="140" w:right="620" w:hanging="134"/>
        <w:spacing w:after="0" w:line="286" w:lineRule="auto"/>
        <w:tabs>
          <w:tab w:leader="none" w:pos="140" w:val="left"/>
        </w:tabs>
        <w:numPr>
          <w:ilvl w:val="0"/>
          <w:numId w:val="25"/>
        </w:numPr>
        <w:rPr>
          <w:rFonts w:ascii="Arial" w:cs="Arial" w:eastAsia="Arial" w:hAnsi="Arial"/>
          <w:sz w:val="16"/>
          <w:szCs w:val="16"/>
          <w:color w:val="255993"/>
        </w:rPr>
      </w:pPr>
      <w:r>
        <w:rPr>
          <w:rFonts w:ascii="Arial" w:cs="Arial" w:eastAsia="Arial" w:hAnsi="Arial"/>
          <w:sz w:val="16"/>
          <w:szCs w:val="16"/>
          <w:color w:val="auto"/>
        </w:rPr>
        <w:t>more closely align our executives’ interests with those of our stockholders by focusing on long-term equity incentives that correlate with the growth of sustainable long-term value for our stockholders.</w:t>
      </w:r>
    </w:p>
    <w:p>
      <w:pPr>
        <w:spacing w:after="0" w:line="88" w:lineRule="exact"/>
        <w:rPr>
          <w:sz w:val="20"/>
          <w:szCs w:val="20"/>
          <w:color w:val="auto"/>
        </w:rPr>
      </w:pPr>
    </w:p>
    <w:p>
      <w:pPr>
        <w:jc w:val="both"/>
        <w:ind w:right="700"/>
        <w:spacing w:after="0" w:line="286" w:lineRule="auto"/>
        <w:rPr>
          <w:sz w:val="20"/>
          <w:szCs w:val="20"/>
          <w:color w:val="auto"/>
        </w:rPr>
      </w:pPr>
      <w:r>
        <w:rPr>
          <w:rFonts w:ascii="Arial" w:cs="Arial" w:eastAsia="Arial" w:hAnsi="Arial"/>
          <w:sz w:val="16"/>
          <w:szCs w:val="16"/>
          <w:color w:val="auto"/>
        </w:rPr>
        <w:t>Our compensation committee is responsible for making compensation decisions for executive officers other than our chief executive officer, but may, in its discretion, choose to make compensation recommendations to the full board of directors.</w:t>
      </w:r>
    </w:p>
    <w:p>
      <w:pPr>
        <w:spacing w:after="0" w:line="7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Our board of directors has retained Pearl Meyer &amp; Partners, LLC, a compensation consulting firm, to provide recommendations based on research and analysis of executive compensation in companies in similar industries at a similar size and stage of corporate development, with the goal of ensuring that the compensation we offer to our executives is competitive and fair. Typically, our chief executive officer and chief financial officer will prepare and present recommendations at compensation committee meetings based on the compensation consultant recommendations, our chief executive officer’s own assessment of Company and individual performance and incentive and retention needs, and a representative from the compensation consultant will usually be present in the meetings to respond to committee questions. The compensation committee considers the recommendations for cash and stock-based compensation and approves such compensation for the executive team, excluding the chief executive officer, and recommends such compensation to the board of directors for the chief executive officer. With regard to incentive compensation, the compensation committee evaluates the achievement of defined goals by the executive team, excluding the chief executive officer, and recommends to the board of directors with respect to the achievement of defined goals for the chief executive officer.</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EXECUTIVE COMPENSATION</w:t>
      </w:r>
    </w:p>
    <w:p>
      <w:pPr>
        <w:spacing w:after="0" w:line="108"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This section discusses the material components of the executive compensation program for our named executive officers who are named in the subsection titled “—2022 – 2023 Summary Compensation Table” below. For 2023, our “named executive officers” and their positions were as follows:</w:t>
      </w:r>
    </w:p>
    <w:p>
      <w:pPr>
        <w:spacing w:after="0" w:line="117" w:lineRule="exact"/>
        <w:rPr>
          <w:sz w:val="20"/>
          <w:szCs w:val="20"/>
          <w:color w:val="auto"/>
        </w:rPr>
      </w:pPr>
    </w:p>
    <w:p>
      <w:pPr>
        <w:ind w:left="140" w:hanging="134"/>
        <w:spacing w:after="0"/>
        <w:tabs>
          <w:tab w:leader="none" w:pos="140" w:val="left"/>
        </w:tabs>
        <w:numPr>
          <w:ilvl w:val="0"/>
          <w:numId w:val="26"/>
        </w:numPr>
        <w:rPr>
          <w:rFonts w:ascii="Arial" w:cs="Arial" w:eastAsia="Arial" w:hAnsi="Arial"/>
          <w:sz w:val="16"/>
          <w:szCs w:val="16"/>
          <w:color w:val="255993"/>
        </w:rPr>
      </w:pPr>
      <w:r>
        <w:rPr>
          <w:rFonts w:ascii="Arial" w:cs="Arial" w:eastAsia="Arial" w:hAnsi="Arial"/>
          <w:sz w:val="16"/>
          <w:szCs w:val="16"/>
          <w:color w:val="auto"/>
        </w:rPr>
        <w:t>Mark Litton, Ph.D., our president and chief executive officer;</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26"/>
        </w:numPr>
        <w:rPr>
          <w:rFonts w:ascii="Arial" w:cs="Arial" w:eastAsia="Arial" w:hAnsi="Arial"/>
          <w:sz w:val="16"/>
          <w:szCs w:val="16"/>
          <w:color w:val="255993"/>
        </w:rPr>
      </w:pPr>
      <w:r>
        <w:rPr>
          <w:rFonts w:ascii="Arial" w:cs="Arial" w:eastAsia="Arial" w:hAnsi="Arial"/>
          <w:sz w:val="16"/>
          <w:szCs w:val="16"/>
          <w:color w:val="auto"/>
        </w:rPr>
        <w:t>Andrew Gengos, our chief financial officer and chief business officer; and</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26"/>
        </w:numPr>
        <w:rPr>
          <w:rFonts w:ascii="Arial" w:cs="Arial" w:eastAsia="Arial" w:hAnsi="Arial"/>
          <w:sz w:val="16"/>
          <w:szCs w:val="16"/>
          <w:color w:val="255993"/>
        </w:rPr>
      </w:pPr>
      <w:r>
        <w:rPr>
          <w:rFonts w:ascii="Arial" w:cs="Arial" w:eastAsia="Arial" w:hAnsi="Arial"/>
          <w:sz w:val="16"/>
          <w:szCs w:val="16"/>
          <w:color w:val="auto"/>
        </w:rPr>
        <w:t>Hans Moebius, M.D., Ph.D., our former chief medical officer.</w:t>
      </w:r>
    </w:p>
    <w:p>
      <w:pPr>
        <w:spacing w:after="0" w:line="226"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34</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7820"/>
        <w:spacing w:after="0"/>
        <w:rPr>
          <w:sz w:val="20"/>
          <w:szCs w:val="20"/>
          <w:color w:val="auto"/>
        </w:rPr>
      </w:pPr>
      <w:r>
        <w:rPr>
          <w:rFonts w:ascii="Arial" w:cs="Arial" w:eastAsia="Arial" w:hAnsi="Arial"/>
          <w:sz w:val="14"/>
          <w:szCs w:val="14"/>
          <w:color w:val="255993"/>
        </w:rPr>
        <w:t>Executive Compensation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2022 – 2023 SUMMARY COMPENSATION TABLE</w:t>
      </w:r>
    </w:p>
    <w:p>
      <w:pPr>
        <w:spacing w:after="0" w:line="10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following table represents information regarding the total compensation awarded to, earned by or paid to our named executive officers for the years ended December 31, 2023 and December 31, 2022.</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337"/>
        </w:trPr>
        <w:tc>
          <w:tcPr>
            <w:tcW w:w="1720" w:type="dxa"/>
            <w:vAlign w:val="bottom"/>
            <w:shd w:val="clear" w:color="auto" w:fill="255993"/>
          </w:tcPr>
          <w:p>
            <w:pPr>
              <w:spacing w:after="0"/>
              <w:rPr>
                <w:sz w:val="24"/>
                <w:szCs w:val="24"/>
                <w:color w:val="auto"/>
              </w:rPr>
            </w:pPr>
          </w:p>
        </w:tc>
        <w:tc>
          <w:tcPr>
            <w:tcW w:w="120" w:type="dxa"/>
            <w:vAlign w:val="bottom"/>
            <w:shd w:val="clear" w:color="auto" w:fill="255993"/>
          </w:tcPr>
          <w:p>
            <w:pPr>
              <w:spacing w:after="0"/>
              <w:rPr>
                <w:sz w:val="24"/>
                <w:szCs w:val="24"/>
                <w:color w:val="auto"/>
              </w:rPr>
            </w:pPr>
          </w:p>
        </w:tc>
        <w:tc>
          <w:tcPr>
            <w:tcW w:w="500" w:type="dxa"/>
            <w:vAlign w:val="bottom"/>
            <w:shd w:val="clear" w:color="auto" w:fill="255993"/>
          </w:tcPr>
          <w:p>
            <w:pPr>
              <w:spacing w:after="0"/>
              <w:rPr>
                <w:sz w:val="24"/>
                <w:szCs w:val="24"/>
                <w:color w:val="auto"/>
              </w:rPr>
            </w:pPr>
          </w:p>
        </w:tc>
        <w:tc>
          <w:tcPr>
            <w:tcW w:w="820" w:type="dxa"/>
            <w:vAlign w:val="bottom"/>
            <w:shd w:val="clear" w:color="auto" w:fill="255993"/>
          </w:tcPr>
          <w:p>
            <w:pPr>
              <w:spacing w:after="0"/>
              <w:rPr>
                <w:sz w:val="24"/>
                <w:szCs w:val="24"/>
                <w:color w:val="auto"/>
              </w:rPr>
            </w:pPr>
          </w:p>
        </w:tc>
        <w:tc>
          <w:tcPr>
            <w:tcW w:w="760" w:type="dxa"/>
            <w:vAlign w:val="bottom"/>
            <w:shd w:val="clear" w:color="auto" w:fill="255993"/>
          </w:tcPr>
          <w:p>
            <w:pPr>
              <w:spacing w:after="0"/>
              <w:rPr>
                <w:sz w:val="24"/>
                <w:szCs w:val="24"/>
                <w:color w:val="auto"/>
              </w:rPr>
            </w:pPr>
          </w:p>
        </w:tc>
        <w:tc>
          <w:tcPr>
            <w:tcW w:w="880" w:type="dxa"/>
            <w:vAlign w:val="bottom"/>
            <w:shd w:val="clear" w:color="auto" w:fill="255993"/>
          </w:tcPr>
          <w:p>
            <w:pPr>
              <w:spacing w:after="0"/>
              <w:rPr>
                <w:sz w:val="24"/>
                <w:szCs w:val="24"/>
                <w:color w:val="auto"/>
              </w:rPr>
            </w:pPr>
          </w:p>
        </w:tc>
        <w:tc>
          <w:tcPr>
            <w:tcW w:w="940" w:type="dxa"/>
            <w:vAlign w:val="bottom"/>
            <w:shd w:val="clear" w:color="auto" w:fill="255993"/>
          </w:tcPr>
          <w:p>
            <w:pPr>
              <w:spacing w:after="0"/>
              <w:rPr>
                <w:sz w:val="24"/>
                <w:szCs w:val="24"/>
                <w:color w:val="auto"/>
              </w:rPr>
            </w:pPr>
          </w:p>
        </w:tc>
        <w:tc>
          <w:tcPr>
            <w:tcW w:w="1380" w:type="dxa"/>
            <w:vAlign w:val="bottom"/>
            <w:shd w:val="clear" w:color="auto" w:fill="255993"/>
          </w:tcPr>
          <w:p>
            <w:pPr>
              <w:jc w:val="right"/>
              <w:ind w:right="104"/>
              <w:spacing w:after="0"/>
              <w:rPr>
                <w:sz w:val="20"/>
                <w:szCs w:val="20"/>
                <w:color w:val="auto"/>
              </w:rPr>
            </w:pPr>
            <w:r>
              <w:rPr>
                <w:rFonts w:ascii="Arial" w:cs="Arial" w:eastAsia="Arial" w:hAnsi="Arial"/>
                <w:sz w:val="16"/>
                <w:szCs w:val="16"/>
                <w:b w:val="1"/>
                <w:bCs w:val="1"/>
                <w:color w:val="FFFFFF"/>
              </w:rPr>
              <w:t>Non-equity</w:t>
            </w:r>
          </w:p>
        </w:tc>
        <w:tc>
          <w:tcPr>
            <w:tcW w:w="1440" w:type="dxa"/>
            <w:vAlign w:val="bottom"/>
            <w:shd w:val="clear" w:color="auto" w:fill="255993"/>
          </w:tcPr>
          <w:p>
            <w:pPr>
              <w:spacing w:after="0"/>
              <w:rPr>
                <w:sz w:val="24"/>
                <w:szCs w:val="24"/>
                <w:color w:val="auto"/>
              </w:rPr>
            </w:pPr>
          </w:p>
        </w:tc>
        <w:tc>
          <w:tcPr>
            <w:tcW w:w="840" w:type="dxa"/>
            <w:vAlign w:val="bottom"/>
            <w:shd w:val="clear" w:color="auto" w:fill="255993"/>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255993"/>
          </w:tcPr>
          <w:p>
            <w:pPr>
              <w:spacing w:after="0"/>
              <w:rPr>
                <w:sz w:val="17"/>
                <w:szCs w:val="17"/>
                <w:color w:val="auto"/>
              </w:rPr>
            </w:pPr>
          </w:p>
        </w:tc>
        <w:tc>
          <w:tcPr>
            <w:tcW w:w="120" w:type="dxa"/>
            <w:vAlign w:val="bottom"/>
            <w:shd w:val="clear" w:color="auto" w:fill="255993"/>
          </w:tcPr>
          <w:p>
            <w:pPr>
              <w:spacing w:after="0"/>
              <w:rPr>
                <w:sz w:val="17"/>
                <w:szCs w:val="17"/>
                <w:color w:val="auto"/>
              </w:rPr>
            </w:pPr>
          </w:p>
        </w:tc>
        <w:tc>
          <w:tcPr>
            <w:tcW w:w="500" w:type="dxa"/>
            <w:vAlign w:val="bottom"/>
            <w:shd w:val="clear" w:color="auto" w:fill="255993"/>
          </w:tcPr>
          <w:p>
            <w:pPr>
              <w:spacing w:after="0"/>
              <w:rPr>
                <w:sz w:val="17"/>
                <w:szCs w:val="17"/>
                <w:color w:val="auto"/>
              </w:rPr>
            </w:pPr>
          </w:p>
        </w:tc>
        <w:tc>
          <w:tcPr>
            <w:tcW w:w="820" w:type="dxa"/>
            <w:vAlign w:val="bottom"/>
            <w:shd w:val="clear" w:color="auto" w:fill="255993"/>
          </w:tcPr>
          <w:p>
            <w:pPr>
              <w:spacing w:after="0"/>
              <w:rPr>
                <w:sz w:val="17"/>
                <w:szCs w:val="17"/>
                <w:color w:val="auto"/>
              </w:rPr>
            </w:pPr>
          </w:p>
        </w:tc>
        <w:tc>
          <w:tcPr>
            <w:tcW w:w="760" w:type="dxa"/>
            <w:vAlign w:val="bottom"/>
            <w:shd w:val="clear" w:color="auto" w:fill="255993"/>
          </w:tcPr>
          <w:p>
            <w:pPr>
              <w:spacing w:after="0"/>
              <w:rPr>
                <w:sz w:val="17"/>
                <w:szCs w:val="17"/>
                <w:color w:val="auto"/>
              </w:rPr>
            </w:pPr>
          </w:p>
        </w:tc>
        <w:tc>
          <w:tcPr>
            <w:tcW w:w="880" w:type="dxa"/>
            <w:vAlign w:val="bottom"/>
            <w:shd w:val="clear" w:color="auto" w:fill="255993"/>
          </w:tcPr>
          <w:p>
            <w:pPr>
              <w:jc w:val="right"/>
              <w:ind w:right="145"/>
              <w:spacing w:after="0"/>
              <w:rPr>
                <w:sz w:val="20"/>
                <w:szCs w:val="20"/>
                <w:color w:val="auto"/>
              </w:rPr>
            </w:pPr>
            <w:r>
              <w:rPr>
                <w:rFonts w:ascii="Arial" w:cs="Arial" w:eastAsia="Arial" w:hAnsi="Arial"/>
                <w:sz w:val="16"/>
                <w:szCs w:val="16"/>
                <w:b w:val="1"/>
                <w:bCs w:val="1"/>
                <w:color w:val="FFFFFF"/>
              </w:rPr>
              <w:t>Stock</w:t>
            </w:r>
          </w:p>
        </w:tc>
        <w:tc>
          <w:tcPr>
            <w:tcW w:w="940" w:type="dxa"/>
            <w:vAlign w:val="bottom"/>
            <w:shd w:val="clear" w:color="auto" w:fill="255993"/>
          </w:tcPr>
          <w:p>
            <w:pPr>
              <w:jc w:val="right"/>
              <w:ind w:right="105"/>
              <w:spacing w:after="0"/>
              <w:rPr>
                <w:sz w:val="20"/>
                <w:szCs w:val="20"/>
                <w:color w:val="auto"/>
              </w:rPr>
            </w:pPr>
            <w:r>
              <w:rPr>
                <w:rFonts w:ascii="Arial" w:cs="Arial" w:eastAsia="Arial" w:hAnsi="Arial"/>
                <w:sz w:val="16"/>
                <w:szCs w:val="16"/>
                <w:b w:val="1"/>
                <w:bCs w:val="1"/>
                <w:color w:val="FFFFFF"/>
              </w:rPr>
              <w:t>Option</w:t>
            </w:r>
          </w:p>
        </w:tc>
        <w:tc>
          <w:tcPr>
            <w:tcW w:w="1380" w:type="dxa"/>
            <w:vAlign w:val="bottom"/>
            <w:shd w:val="clear" w:color="auto" w:fill="255993"/>
          </w:tcPr>
          <w:p>
            <w:pPr>
              <w:jc w:val="right"/>
              <w:ind w:right="64"/>
              <w:spacing w:after="0"/>
              <w:rPr>
                <w:sz w:val="20"/>
                <w:szCs w:val="20"/>
                <w:color w:val="auto"/>
              </w:rPr>
            </w:pPr>
            <w:r>
              <w:rPr>
                <w:rFonts w:ascii="Arial" w:cs="Arial" w:eastAsia="Arial" w:hAnsi="Arial"/>
                <w:sz w:val="16"/>
                <w:szCs w:val="16"/>
                <w:b w:val="1"/>
                <w:bCs w:val="1"/>
                <w:color w:val="FFFFFF"/>
              </w:rPr>
              <w:t>Incentive Plan</w:t>
            </w:r>
          </w:p>
        </w:tc>
        <w:tc>
          <w:tcPr>
            <w:tcW w:w="1440" w:type="dxa"/>
            <w:vAlign w:val="bottom"/>
            <w:shd w:val="clear" w:color="auto" w:fill="255993"/>
          </w:tcPr>
          <w:p>
            <w:pPr>
              <w:jc w:val="right"/>
              <w:ind w:right="169"/>
              <w:spacing w:after="0"/>
              <w:rPr>
                <w:sz w:val="20"/>
                <w:szCs w:val="20"/>
                <w:color w:val="auto"/>
              </w:rPr>
            </w:pPr>
            <w:r>
              <w:rPr>
                <w:rFonts w:ascii="Arial" w:cs="Arial" w:eastAsia="Arial" w:hAnsi="Arial"/>
                <w:sz w:val="16"/>
                <w:szCs w:val="16"/>
                <w:b w:val="1"/>
                <w:bCs w:val="1"/>
                <w:color w:val="FFFFFF"/>
              </w:rPr>
              <w:t>All Other</w:t>
            </w:r>
          </w:p>
        </w:tc>
        <w:tc>
          <w:tcPr>
            <w:tcW w:w="840" w:type="dxa"/>
            <w:vAlign w:val="bottom"/>
            <w:shd w:val="clear" w:color="auto" w:fill="255993"/>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255993"/>
          </w:tcPr>
          <w:p>
            <w:pPr>
              <w:ind w:left="60"/>
              <w:spacing w:after="0"/>
              <w:rPr>
                <w:sz w:val="20"/>
                <w:szCs w:val="20"/>
                <w:color w:val="auto"/>
              </w:rPr>
            </w:pPr>
            <w:r>
              <w:rPr>
                <w:rFonts w:ascii="Arial" w:cs="Arial" w:eastAsia="Arial" w:hAnsi="Arial"/>
                <w:sz w:val="16"/>
                <w:szCs w:val="16"/>
                <w:b w:val="1"/>
                <w:bCs w:val="1"/>
                <w:color w:val="FFFFFF"/>
              </w:rPr>
              <w:t>Name and</w:t>
            </w:r>
          </w:p>
        </w:tc>
        <w:tc>
          <w:tcPr>
            <w:tcW w:w="120" w:type="dxa"/>
            <w:vAlign w:val="bottom"/>
            <w:shd w:val="clear" w:color="auto" w:fill="255993"/>
          </w:tcPr>
          <w:p>
            <w:pPr>
              <w:spacing w:after="0"/>
              <w:rPr>
                <w:sz w:val="16"/>
                <w:szCs w:val="16"/>
                <w:color w:val="auto"/>
              </w:rPr>
            </w:pPr>
          </w:p>
        </w:tc>
        <w:tc>
          <w:tcPr>
            <w:tcW w:w="500" w:type="dxa"/>
            <w:vAlign w:val="bottom"/>
            <w:shd w:val="clear" w:color="auto" w:fill="255993"/>
          </w:tcPr>
          <w:p>
            <w:pPr>
              <w:spacing w:after="0"/>
              <w:rPr>
                <w:sz w:val="16"/>
                <w:szCs w:val="16"/>
                <w:color w:val="auto"/>
              </w:rPr>
            </w:pPr>
          </w:p>
        </w:tc>
        <w:tc>
          <w:tcPr>
            <w:tcW w:w="820" w:type="dxa"/>
            <w:vAlign w:val="bottom"/>
            <w:shd w:val="clear" w:color="auto" w:fill="255993"/>
          </w:tcPr>
          <w:p>
            <w:pPr>
              <w:jc w:val="right"/>
              <w:ind w:right="105"/>
              <w:spacing w:after="0"/>
              <w:rPr>
                <w:sz w:val="20"/>
                <w:szCs w:val="20"/>
                <w:color w:val="auto"/>
              </w:rPr>
            </w:pPr>
            <w:r>
              <w:rPr>
                <w:rFonts w:ascii="Arial" w:cs="Arial" w:eastAsia="Arial" w:hAnsi="Arial"/>
                <w:sz w:val="16"/>
                <w:szCs w:val="16"/>
                <w:b w:val="1"/>
                <w:bCs w:val="1"/>
                <w:color w:val="FFFFFF"/>
              </w:rPr>
              <w:t>Salary</w:t>
            </w:r>
          </w:p>
        </w:tc>
        <w:tc>
          <w:tcPr>
            <w:tcW w:w="760" w:type="dxa"/>
            <w:vAlign w:val="bottom"/>
            <w:shd w:val="clear" w:color="auto" w:fill="255993"/>
          </w:tcPr>
          <w:p>
            <w:pPr>
              <w:jc w:val="right"/>
              <w:ind w:right="65"/>
              <w:spacing w:after="0"/>
              <w:rPr>
                <w:sz w:val="20"/>
                <w:szCs w:val="20"/>
                <w:color w:val="auto"/>
              </w:rPr>
            </w:pPr>
            <w:r>
              <w:rPr>
                <w:rFonts w:ascii="Arial" w:cs="Arial" w:eastAsia="Arial" w:hAnsi="Arial"/>
                <w:sz w:val="16"/>
                <w:szCs w:val="16"/>
                <w:b w:val="1"/>
                <w:bCs w:val="1"/>
                <w:color w:val="FFFFFF"/>
              </w:rPr>
              <w:t>Bonus</w:t>
            </w:r>
          </w:p>
        </w:tc>
        <w:tc>
          <w:tcPr>
            <w:tcW w:w="880" w:type="dxa"/>
            <w:vAlign w:val="bottom"/>
            <w:shd w:val="clear" w:color="auto" w:fill="255993"/>
          </w:tcPr>
          <w:p>
            <w:pPr>
              <w:jc w:val="right"/>
              <w:ind w:right="105"/>
              <w:spacing w:after="0"/>
              <w:rPr>
                <w:sz w:val="20"/>
                <w:szCs w:val="20"/>
                <w:color w:val="auto"/>
              </w:rPr>
            </w:pPr>
            <w:r>
              <w:rPr>
                <w:rFonts w:ascii="Arial" w:cs="Arial" w:eastAsia="Arial" w:hAnsi="Arial"/>
                <w:sz w:val="16"/>
                <w:szCs w:val="16"/>
                <w:b w:val="1"/>
                <w:bCs w:val="1"/>
                <w:color w:val="FFFFFF"/>
              </w:rPr>
              <w:t>Awards</w:t>
            </w:r>
          </w:p>
        </w:tc>
        <w:tc>
          <w:tcPr>
            <w:tcW w:w="940" w:type="dxa"/>
            <w:vAlign w:val="bottom"/>
            <w:shd w:val="clear" w:color="auto" w:fill="255993"/>
          </w:tcPr>
          <w:p>
            <w:pPr>
              <w:jc w:val="right"/>
              <w:ind w:right="105"/>
              <w:spacing w:after="0"/>
              <w:rPr>
                <w:sz w:val="20"/>
                <w:szCs w:val="20"/>
                <w:color w:val="auto"/>
              </w:rPr>
            </w:pPr>
            <w:r>
              <w:rPr>
                <w:rFonts w:ascii="Arial" w:cs="Arial" w:eastAsia="Arial" w:hAnsi="Arial"/>
                <w:sz w:val="16"/>
                <w:szCs w:val="16"/>
                <w:b w:val="1"/>
                <w:bCs w:val="1"/>
                <w:color w:val="FFFFFF"/>
              </w:rPr>
              <w:t>Awards</w:t>
            </w:r>
          </w:p>
        </w:tc>
        <w:tc>
          <w:tcPr>
            <w:tcW w:w="1380" w:type="dxa"/>
            <w:vAlign w:val="bottom"/>
            <w:shd w:val="clear" w:color="auto" w:fill="255993"/>
          </w:tcPr>
          <w:p>
            <w:pPr>
              <w:jc w:val="right"/>
              <w:ind w:right="64"/>
              <w:spacing w:after="0"/>
              <w:rPr>
                <w:sz w:val="20"/>
                <w:szCs w:val="20"/>
                <w:color w:val="auto"/>
              </w:rPr>
            </w:pPr>
            <w:r>
              <w:rPr>
                <w:rFonts w:ascii="Arial" w:cs="Arial" w:eastAsia="Arial" w:hAnsi="Arial"/>
                <w:sz w:val="16"/>
                <w:szCs w:val="16"/>
                <w:b w:val="1"/>
                <w:bCs w:val="1"/>
                <w:color w:val="FFFFFF"/>
              </w:rPr>
              <w:t>Compensation</w:t>
            </w:r>
          </w:p>
        </w:tc>
        <w:tc>
          <w:tcPr>
            <w:tcW w:w="1440" w:type="dxa"/>
            <w:vAlign w:val="bottom"/>
            <w:shd w:val="clear" w:color="auto" w:fill="255993"/>
          </w:tcPr>
          <w:p>
            <w:pPr>
              <w:jc w:val="right"/>
              <w:ind w:right="129"/>
              <w:spacing w:after="0"/>
              <w:rPr>
                <w:sz w:val="20"/>
                <w:szCs w:val="20"/>
                <w:color w:val="auto"/>
              </w:rPr>
            </w:pPr>
            <w:r>
              <w:rPr>
                <w:rFonts w:ascii="Arial" w:cs="Arial" w:eastAsia="Arial" w:hAnsi="Arial"/>
                <w:sz w:val="16"/>
                <w:szCs w:val="16"/>
                <w:b w:val="1"/>
                <w:bCs w:val="1"/>
                <w:color w:val="FFFFFF"/>
              </w:rPr>
              <w:t>Compensation</w:t>
            </w:r>
          </w:p>
        </w:tc>
        <w:tc>
          <w:tcPr>
            <w:tcW w:w="84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338"/>
        </w:trPr>
        <w:tc>
          <w:tcPr>
            <w:tcW w:w="1720" w:type="dxa"/>
            <w:vAlign w:val="bottom"/>
            <w:shd w:val="clear" w:color="auto" w:fill="255993"/>
          </w:tcPr>
          <w:p>
            <w:pPr>
              <w:ind w:left="60"/>
              <w:spacing w:after="0"/>
              <w:rPr>
                <w:sz w:val="20"/>
                <w:szCs w:val="20"/>
                <w:color w:val="auto"/>
              </w:rPr>
            </w:pPr>
            <w:r>
              <w:rPr>
                <w:rFonts w:ascii="Arial" w:cs="Arial" w:eastAsia="Arial" w:hAnsi="Arial"/>
                <w:sz w:val="16"/>
                <w:szCs w:val="16"/>
                <w:b w:val="1"/>
                <w:bCs w:val="1"/>
                <w:color w:val="FFFFFF"/>
              </w:rPr>
              <w:t>Principal Position</w:t>
            </w:r>
          </w:p>
        </w:tc>
        <w:tc>
          <w:tcPr>
            <w:tcW w:w="120" w:type="dxa"/>
            <w:vAlign w:val="bottom"/>
            <w:shd w:val="clear" w:color="auto" w:fill="255993"/>
          </w:tcPr>
          <w:p>
            <w:pPr>
              <w:spacing w:after="0"/>
              <w:rPr>
                <w:sz w:val="24"/>
                <w:szCs w:val="24"/>
                <w:color w:val="auto"/>
              </w:rPr>
            </w:pPr>
          </w:p>
        </w:tc>
        <w:tc>
          <w:tcPr>
            <w:tcW w:w="500" w:type="dxa"/>
            <w:vAlign w:val="bottom"/>
            <w:shd w:val="clear" w:color="auto" w:fill="255993"/>
          </w:tcPr>
          <w:p>
            <w:pPr>
              <w:jc w:val="right"/>
              <w:ind w:right="66"/>
              <w:spacing w:after="0"/>
              <w:rPr>
                <w:sz w:val="20"/>
                <w:szCs w:val="20"/>
                <w:color w:val="auto"/>
              </w:rPr>
            </w:pPr>
            <w:r>
              <w:rPr>
                <w:rFonts w:ascii="Arial" w:cs="Arial" w:eastAsia="Arial" w:hAnsi="Arial"/>
                <w:sz w:val="16"/>
                <w:szCs w:val="16"/>
                <w:b w:val="1"/>
                <w:bCs w:val="1"/>
                <w:color w:val="FFFFFF"/>
                <w:w w:val="97"/>
              </w:rPr>
              <w:t>Year</w:t>
            </w:r>
          </w:p>
        </w:tc>
        <w:tc>
          <w:tcPr>
            <w:tcW w:w="820" w:type="dxa"/>
            <w:vAlign w:val="bottom"/>
            <w:shd w:val="clear" w:color="auto" w:fill="255993"/>
          </w:tcPr>
          <w:p>
            <w:pPr>
              <w:jc w:val="right"/>
              <w:ind w:right="45"/>
              <w:spacing w:after="0"/>
              <w:rPr>
                <w:sz w:val="20"/>
                <w:szCs w:val="20"/>
                <w:color w:val="auto"/>
              </w:rPr>
            </w:pPr>
            <w:r>
              <w:rPr>
                <w:rFonts w:ascii="Arial" w:cs="Arial" w:eastAsia="Arial" w:hAnsi="Arial"/>
                <w:sz w:val="16"/>
                <w:szCs w:val="16"/>
                <w:b w:val="1"/>
                <w:bCs w:val="1"/>
                <w:color w:val="FFFFFF"/>
              </w:rPr>
              <w:t>($)</w:t>
            </w:r>
          </w:p>
        </w:tc>
        <w:tc>
          <w:tcPr>
            <w:tcW w:w="760" w:type="dxa"/>
            <w:vAlign w:val="bottom"/>
            <w:shd w:val="clear" w:color="auto" w:fill="255993"/>
          </w:tcPr>
          <w:p>
            <w:pPr>
              <w:jc w:val="right"/>
              <w:ind w:right="65"/>
              <w:spacing w:after="0"/>
              <w:rPr>
                <w:sz w:val="20"/>
                <w:szCs w:val="20"/>
                <w:color w:val="auto"/>
              </w:rPr>
            </w:pPr>
            <w:r>
              <w:rPr>
                <w:rFonts w:ascii="Arial" w:cs="Arial" w:eastAsia="Arial" w:hAnsi="Arial"/>
                <w:sz w:val="16"/>
                <w:szCs w:val="16"/>
                <w:b w:val="1"/>
                <w:bCs w:val="1"/>
                <w:color w:val="FFFFFF"/>
              </w:rPr>
              <w:t>($)</w:t>
            </w:r>
          </w:p>
        </w:tc>
        <w:tc>
          <w:tcPr>
            <w:tcW w:w="880" w:type="dxa"/>
            <w:vAlign w:val="bottom"/>
            <w:shd w:val="clear" w:color="auto" w:fill="255993"/>
          </w:tcPr>
          <w:p>
            <w:pPr>
              <w:jc w:val="right"/>
              <w:ind w:right="105"/>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6"/>
                <w:szCs w:val="26"/>
                <w:b w:val="1"/>
                <w:bCs w:val="1"/>
                <w:color w:val="FFFFFF"/>
                <w:vertAlign w:val="superscript"/>
              </w:rPr>
              <w:t>(1)</w:t>
            </w:r>
          </w:p>
        </w:tc>
        <w:tc>
          <w:tcPr>
            <w:tcW w:w="940" w:type="dxa"/>
            <w:vAlign w:val="bottom"/>
            <w:shd w:val="clear" w:color="auto" w:fill="255993"/>
          </w:tcPr>
          <w:p>
            <w:pPr>
              <w:jc w:val="right"/>
              <w:ind w:right="65"/>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6"/>
                <w:szCs w:val="26"/>
                <w:b w:val="1"/>
                <w:bCs w:val="1"/>
                <w:color w:val="FFFFFF"/>
                <w:vertAlign w:val="superscript"/>
              </w:rPr>
              <w:t>(2)</w:t>
            </w:r>
          </w:p>
        </w:tc>
        <w:tc>
          <w:tcPr>
            <w:tcW w:w="1380" w:type="dxa"/>
            <w:vAlign w:val="bottom"/>
            <w:shd w:val="clear" w:color="auto" w:fill="255993"/>
          </w:tcPr>
          <w:p>
            <w:pPr>
              <w:jc w:val="right"/>
              <w:ind w:right="64"/>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6"/>
                <w:szCs w:val="26"/>
                <w:b w:val="1"/>
                <w:bCs w:val="1"/>
                <w:color w:val="FFFFFF"/>
                <w:vertAlign w:val="superscript"/>
              </w:rPr>
              <w:t>(3)</w:t>
            </w:r>
          </w:p>
        </w:tc>
        <w:tc>
          <w:tcPr>
            <w:tcW w:w="1440" w:type="dxa"/>
            <w:vAlign w:val="bottom"/>
            <w:shd w:val="clear" w:color="auto" w:fill="255993"/>
          </w:tcPr>
          <w:p>
            <w:pPr>
              <w:jc w:val="right"/>
              <w:ind w:right="129"/>
              <w:spacing w:after="0"/>
              <w:rPr>
                <w:sz w:val="20"/>
                <w:szCs w:val="20"/>
                <w:color w:val="auto"/>
              </w:rPr>
            </w:pPr>
            <w:r>
              <w:rPr>
                <w:rFonts w:ascii="Arial" w:cs="Arial" w:eastAsia="Arial" w:hAnsi="Arial"/>
                <w:sz w:val="16"/>
                <w:szCs w:val="16"/>
                <w:b w:val="1"/>
                <w:bCs w:val="1"/>
                <w:color w:val="FFFFFF"/>
              </w:rPr>
              <w:t>($)</w:t>
            </w:r>
          </w:p>
        </w:tc>
        <w:tc>
          <w:tcPr>
            <w:tcW w:w="84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88"/>
        </w:trPr>
        <w:tc>
          <w:tcPr>
            <w:tcW w:w="1720" w:type="dxa"/>
            <w:vAlign w:val="bottom"/>
            <w:shd w:val="clear" w:color="auto" w:fill="EBEBEB"/>
          </w:tcPr>
          <w:p>
            <w:pPr>
              <w:ind w:left="60"/>
              <w:spacing w:after="0"/>
              <w:rPr>
                <w:sz w:val="20"/>
                <w:szCs w:val="20"/>
                <w:color w:val="auto"/>
              </w:rPr>
            </w:pPr>
            <w:r>
              <w:rPr>
                <w:rFonts w:ascii="Arial" w:cs="Arial" w:eastAsia="Arial" w:hAnsi="Arial"/>
                <w:sz w:val="14"/>
                <w:szCs w:val="14"/>
                <w:b w:val="1"/>
                <w:bCs w:val="1"/>
                <w:color w:val="auto"/>
              </w:rPr>
              <w:t>Mark Litton, Ph.D.,</w:t>
            </w:r>
          </w:p>
        </w:tc>
        <w:tc>
          <w:tcPr>
            <w:tcW w:w="120" w:type="dxa"/>
            <w:vAlign w:val="bottom"/>
            <w:shd w:val="clear" w:color="auto" w:fill="EBEBEB"/>
          </w:tcPr>
          <w:p>
            <w:pPr>
              <w:spacing w:after="0"/>
              <w:rPr>
                <w:sz w:val="24"/>
                <w:szCs w:val="24"/>
                <w:color w:val="auto"/>
              </w:rPr>
            </w:pPr>
          </w:p>
        </w:tc>
        <w:tc>
          <w:tcPr>
            <w:tcW w:w="500" w:type="dxa"/>
            <w:vAlign w:val="bottom"/>
            <w:shd w:val="clear" w:color="auto" w:fill="EBEBEB"/>
          </w:tcPr>
          <w:p>
            <w:pPr>
              <w:jc w:val="right"/>
              <w:ind w:right="66"/>
              <w:spacing w:after="0"/>
              <w:rPr>
                <w:sz w:val="20"/>
                <w:szCs w:val="20"/>
                <w:color w:val="auto"/>
              </w:rPr>
            </w:pPr>
            <w:r>
              <w:rPr>
                <w:rFonts w:ascii="Arial" w:cs="Arial" w:eastAsia="Arial" w:hAnsi="Arial"/>
                <w:sz w:val="14"/>
                <w:szCs w:val="14"/>
                <w:color w:val="auto"/>
              </w:rPr>
              <w:t>2023</w:t>
            </w:r>
          </w:p>
        </w:tc>
        <w:tc>
          <w:tcPr>
            <w:tcW w:w="820" w:type="dxa"/>
            <w:vAlign w:val="bottom"/>
            <w:shd w:val="clear" w:color="auto" w:fill="EBEBEB"/>
          </w:tcPr>
          <w:p>
            <w:pPr>
              <w:jc w:val="right"/>
              <w:ind w:right="45"/>
              <w:spacing w:after="0"/>
              <w:rPr>
                <w:sz w:val="20"/>
                <w:szCs w:val="20"/>
                <w:color w:val="auto"/>
              </w:rPr>
            </w:pPr>
            <w:r>
              <w:rPr>
                <w:rFonts w:ascii="Arial" w:cs="Arial" w:eastAsia="Arial" w:hAnsi="Arial"/>
                <w:sz w:val="14"/>
                <w:szCs w:val="14"/>
                <w:color w:val="auto"/>
              </w:rPr>
              <w:t>585,000</w:t>
            </w:r>
          </w:p>
        </w:tc>
        <w:tc>
          <w:tcPr>
            <w:tcW w:w="760" w:type="dxa"/>
            <w:vAlign w:val="bottom"/>
            <w:shd w:val="clear" w:color="auto" w:fill="EBEBEB"/>
          </w:tcPr>
          <w:p>
            <w:pPr>
              <w:jc w:val="right"/>
              <w:ind w:right="65"/>
              <w:spacing w:after="0"/>
              <w:rPr>
                <w:sz w:val="20"/>
                <w:szCs w:val="20"/>
                <w:color w:val="auto"/>
              </w:rPr>
            </w:pPr>
            <w:r>
              <w:rPr>
                <w:rFonts w:ascii="Arial" w:cs="Arial" w:eastAsia="Arial" w:hAnsi="Arial"/>
                <w:sz w:val="14"/>
                <w:szCs w:val="14"/>
                <w:color w:val="auto"/>
              </w:rPr>
              <w:t>—</w:t>
            </w:r>
          </w:p>
        </w:tc>
        <w:tc>
          <w:tcPr>
            <w:tcW w:w="880" w:type="dxa"/>
            <w:vAlign w:val="bottom"/>
            <w:shd w:val="clear" w:color="auto" w:fill="EBEBEB"/>
          </w:tcPr>
          <w:p>
            <w:pPr>
              <w:jc w:val="right"/>
              <w:ind w:right="105"/>
              <w:spacing w:after="0"/>
              <w:rPr>
                <w:sz w:val="20"/>
                <w:szCs w:val="20"/>
                <w:color w:val="auto"/>
              </w:rPr>
            </w:pPr>
            <w:r>
              <w:rPr>
                <w:rFonts w:ascii="Arial" w:cs="Arial" w:eastAsia="Arial" w:hAnsi="Arial"/>
                <w:sz w:val="14"/>
                <w:szCs w:val="14"/>
                <w:color w:val="auto"/>
              </w:rPr>
              <w:t>—</w:t>
            </w:r>
          </w:p>
        </w:tc>
        <w:tc>
          <w:tcPr>
            <w:tcW w:w="940" w:type="dxa"/>
            <w:vAlign w:val="bottom"/>
            <w:shd w:val="clear" w:color="auto" w:fill="EBEBEB"/>
          </w:tcPr>
          <w:p>
            <w:pPr>
              <w:jc w:val="right"/>
              <w:ind w:right="65"/>
              <w:spacing w:after="0"/>
              <w:rPr>
                <w:sz w:val="20"/>
                <w:szCs w:val="20"/>
                <w:color w:val="auto"/>
              </w:rPr>
            </w:pPr>
            <w:r>
              <w:rPr>
                <w:rFonts w:ascii="Arial" w:cs="Arial" w:eastAsia="Arial" w:hAnsi="Arial"/>
                <w:sz w:val="14"/>
                <w:szCs w:val="14"/>
                <w:color w:val="auto"/>
              </w:rPr>
              <w:t>1,378,860</w:t>
            </w:r>
          </w:p>
        </w:tc>
        <w:tc>
          <w:tcPr>
            <w:tcW w:w="1380" w:type="dxa"/>
            <w:vAlign w:val="bottom"/>
            <w:shd w:val="clear" w:color="auto" w:fill="EBEBEB"/>
          </w:tcPr>
          <w:p>
            <w:pPr>
              <w:jc w:val="right"/>
              <w:ind w:right="64"/>
              <w:spacing w:after="0"/>
              <w:rPr>
                <w:sz w:val="20"/>
                <w:szCs w:val="20"/>
                <w:color w:val="auto"/>
              </w:rPr>
            </w:pPr>
            <w:r>
              <w:rPr>
                <w:rFonts w:ascii="Arial" w:cs="Arial" w:eastAsia="Arial" w:hAnsi="Arial"/>
                <w:sz w:val="14"/>
                <w:szCs w:val="14"/>
                <w:color w:val="auto"/>
              </w:rPr>
              <w:t>297,619</w:t>
            </w:r>
          </w:p>
        </w:tc>
        <w:tc>
          <w:tcPr>
            <w:tcW w:w="1440" w:type="dxa"/>
            <w:vAlign w:val="bottom"/>
            <w:shd w:val="clear" w:color="auto" w:fill="EBEBEB"/>
          </w:tcPr>
          <w:p>
            <w:pPr>
              <w:jc w:val="right"/>
              <w:ind w:right="129"/>
              <w:spacing w:after="0" w:line="288" w:lineRule="exact"/>
              <w:rPr>
                <w:sz w:val="20"/>
                <w:szCs w:val="20"/>
                <w:color w:val="auto"/>
              </w:rPr>
            </w:pPr>
            <w:r>
              <w:rPr>
                <w:rFonts w:ascii="Arial" w:cs="Arial" w:eastAsia="Arial" w:hAnsi="Arial"/>
                <w:sz w:val="28"/>
                <w:szCs w:val="28"/>
                <w:color w:val="auto"/>
                <w:vertAlign w:val="subscript"/>
              </w:rPr>
              <w:t>85</w:t>
            </w:r>
            <w:r>
              <w:rPr>
                <w:rFonts w:ascii="Arial" w:cs="Arial" w:eastAsia="Arial" w:hAnsi="Arial"/>
                <w:sz w:val="12"/>
                <w:szCs w:val="12"/>
                <w:color w:val="auto"/>
              </w:rPr>
              <w:t>(4)</w:t>
            </w:r>
          </w:p>
        </w:tc>
        <w:tc>
          <w:tcPr>
            <w:tcW w:w="840" w:type="dxa"/>
            <w:vAlign w:val="bottom"/>
            <w:shd w:val="clear" w:color="auto" w:fill="EBEBEB"/>
          </w:tcPr>
          <w:p>
            <w:pPr>
              <w:jc w:val="right"/>
              <w:spacing w:after="0"/>
              <w:rPr>
                <w:sz w:val="20"/>
                <w:szCs w:val="20"/>
                <w:color w:val="auto"/>
              </w:rPr>
            </w:pPr>
            <w:r>
              <w:rPr>
                <w:rFonts w:ascii="Arial" w:cs="Arial" w:eastAsia="Arial" w:hAnsi="Arial"/>
                <w:sz w:val="14"/>
                <w:szCs w:val="14"/>
                <w:color w:val="auto"/>
              </w:rPr>
              <w:t>2,261,564</w:t>
            </w:r>
          </w:p>
        </w:tc>
        <w:tc>
          <w:tcPr>
            <w:tcW w:w="0" w:type="dxa"/>
            <w:vAlign w:val="bottom"/>
          </w:tcPr>
          <w:p>
            <w:pPr>
              <w:spacing w:after="0"/>
              <w:rPr>
                <w:sz w:val="1"/>
                <w:szCs w:val="1"/>
                <w:color w:val="auto"/>
              </w:rPr>
            </w:pPr>
          </w:p>
        </w:tc>
      </w:tr>
      <w:tr>
        <w:trPr>
          <w:trHeight w:val="157"/>
        </w:trPr>
        <w:tc>
          <w:tcPr>
            <w:tcW w:w="1720" w:type="dxa"/>
            <w:vAlign w:val="bottom"/>
            <w:shd w:val="clear" w:color="auto" w:fill="EBEBEB"/>
          </w:tcPr>
          <w:p>
            <w:pPr>
              <w:ind w:left="60"/>
              <w:spacing w:after="0" w:line="157" w:lineRule="exact"/>
              <w:rPr>
                <w:sz w:val="20"/>
                <w:szCs w:val="20"/>
                <w:color w:val="auto"/>
              </w:rPr>
            </w:pPr>
            <w:r>
              <w:rPr>
                <w:rFonts w:ascii="Arial" w:cs="Arial" w:eastAsia="Arial" w:hAnsi="Arial"/>
                <w:sz w:val="14"/>
                <w:szCs w:val="14"/>
                <w:color w:val="auto"/>
              </w:rPr>
              <w:t>President and</w:t>
            </w:r>
          </w:p>
        </w:tc>
        <w:tc>
          <w:tcPr>
            <w:tcW w:w="120" w:type="dxa"/>
            <w:vAlign w:val="bottom"/>
            <w:shd w:val="clear" w:color="auto" w:fill="EBEBEB"/>
          </w:tcPr>
          <w:p>
            <w:pPr>
              <w:spacing w:after="0"/>
              <w:rPr>
                <w:sz w:val="13"/>
                <w:szCs w:val="13"/>
                <w:color w:val="auto"/>
              </w:rPr>
            </w:pPr>
          </w:p>
        </w:tc>
        <w:tc>
          <w:tcPr>
            <w:tcW w:w="500" w:type="dxa"/>
            <w:vAlign w:val="bottom"/>
            <w:shd w:val="clear" w:color="auto" w:fill="EBEBEB"/>
          </w:tcPr>
          <w:p>
            <w:pPr>
              <w:spacing w:after="0"/>
              <w:rPr>
                <w:sz w:val="13"/>
                <w:szCs w:val="13"/>
                <w:color w:val="auto"/>
              </w:rPr>
            </w:pPr>
          </w:p>
        </w:tc>
        <w:tc>
          <w:tcPr>
            <w:tcW w:w="820" w:type="dxa"/>
            <w:vAlign w:val="bottom"/>
            <w:shd w:val="clear" w:color="auto" w:fill="EBEBEB"/>
          </w:tcPr>
          <w:p>
            <w:pPr>
              <w:spacing w:after="0"/>
              <w:rPr>
                <w:sz w:val="13"/>
                <w:szCs w:val="13"/>
                <w:color w:val="auto"/>
              </w:rPr>
            </w:pPr>
          </w:p>
        </w:tc>
        <w:tc>
          <w:tcPr>
            <w:tcW w:w="760" w:type="dxa"/>
            <w:vAlign w:val="bottom"/>
            <w:shd w:val="clear" w:color="auto" w:fill="EBEBEB"/>
          </w:tcPr>
          <w:p>
            <w:pPr>
              <w:spacing w:after="0"/>
              <w:rPr>
                <w:sz w:val="13"/>
                <w:szCs w:val="13"/>
                <w:color w:val="auto"/>
              </w:rPr>
            </w:pPr>
          </w:p>
        </w:tc>
        <w:tc>
          <w:tcPr>
            <w:tcW w:w="880" w:type="dxa"/>
            <w:vAlign w:val="bottom"/>
            <w:shd w:val="clear" w:color="auto" w:fill="EBEBEB"/>
          </w:tcPr>
          <w:p>
            <w:pPr>
              <w:spacing w:after="0"/>
              <w:rPr>
                <w:sz w:val="13"/>
                <w:szCs w:val="13"/>
                <w:color w:val="auto"/>
              </w:rPr>
            </w:pPr>
          </w:p>
        </w:tc>
        <w:tc>
          <w:tcPr>
            <w:tcW w:w="940" w:type="dxa"/>
            <w:vAlign w:val="bottom"/>
            <w:shd w:val="clear" w:color="auto" w:fill="EBEBEB"/>
          </w:tcPr>
          <w:p>
            <w:pPr>
              <w:spacing w:after="0"/>
              <w:rPr>
                <w:sz w:val="13"/>
                <w:szCs w:val="13"/>
                <w:color w:val="auto"/>
              </w:rPr>
            </w:pPr>
          </w:p>
        </w:tc>
        <w:tc>
          <w:tcPr>
            <w:tcW w:w="1380" w:type="dxa"/>
            <w:vAlign w:val="bottom"/>
            <w:shd w:val="clear" w:color="auto" w:fill="EBEBEB"/>
          </w:tcPr>
          <w:p>
            <w:pPr>
              <w:spacing w:after="0"/>
              <w:rPr>
                <w:sz w:val="13"/>
                <w:szCs w:val="13"/>
                <w:color w:val="auto"/>
              </w:rPr>
            </w:pPr>
          </w:p>
        </w:tc>
        <w:tc>
          <w:tcPr>
            <w:tcW w:w="1440" w:type="dxa"/>
            <w:vAlign w:val="bottom"/>
            <w:shd w:val="clear" w:color="auto" w:fill="EBEBEB"/>
          </w:tcPr>
          <w:p>
            <w:pPr>
              <w:spacing w:after="0"/>
              <w:rPr>
                <w:sz w:val="13"/>
                <w:szCs w:val="13"/>
                <w:color w:val="auto"/>
              </w:rPr>
            </w:pPr>
          </w:p>
        </w:tc>
        <w:tc>
          <w:tcPr>
            <w:tcW w:w="840" w:type="dxa"/>
            <w:vAlign w:val="bottom"/>
            <w:shd w:val="clear" w:color="auto" w:fill="EBEBEB"/>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20" w:type="dxa"/>
            <w:vAlign w:val="bottom"/>
            <w:shd w:val="clear" w:color="auto" w:fill="EBEBEB"/>
          </w:tcPr>
          <w:p>
            <w:pPr>
              <w:ind w:left="60"/>
              <w:spacing w:after="0" w:line="153" w:lineRule="exact"/>
              <w:rPr>
                <w:sz w:val="20"/>
                <w:szCs w:val="20"/>
                <w:color w:val="auto"/>
              </w:rPr>
            </w:pPr>
            <w:r>
              <w:rPr>
                <w:rFonts w:ascii="Arial" w:cs="Arial" w:eastAsia="Arial" w:hAnsi="Arial"/>
                <w:sz w:val="14"/>
                <w:szCs w:val="14"/>
                <w:color w:val="auto"/>
              </w:rPr>
              <w:t>Chief Executive</w:t>
            </w:r>
          </w:p>
        </w:tc>
        <w:tc>
          <w:tcPr>
            <w:tcW w:w="120" w:type="dxa"/>
            <w:vAlign w:val="bottom"/>
            <w:shd w:val="clear" w:color="auto" w:fill="EBEBEB"/>
          </w:tcPr>
          <w:p>
            <w:pPr>
              <w:spacing w:after="0"/>
              <w:rPr>
                <w:sz w:val="13"/>
                <w:szCs w:val="13"/>
                <w:color w:val="auto"/>
              </w:rPr>
            </w:pPr>
          </w:p>
        </w:tc>
        <w:tc>
          <w:tcPr>
            <w:tcW w:w="500" w:type="dxa"/>
            <w:vAlign w:val="bottom"/>
            <w:vMerge w:val="restart"/>
            <w:shd w:val="clear" w:color="auto" w:fill="EBEBEB"/>
          </w:tcPr>
          <w:p>
            <w:pPr>
              <w:jc w:val="right"/>
              <w:ind w:right="66"/>
              <w:spacing w:after="0"/>
              <w:rPr>
                <w:sz w:val="20"/>
                <w:szCs w:val="20"/>
                <w:color w:val="auto"/>
              </w:rPr>
            </w:pPr>
            <w:r>
              <w:rPr>
                <w:rFonts w:ascii="Arial" w:cs="Arial" w:eastAsia="Arial" w:hAnsi="Arial"/>
                <w:sz w:val="14"/>
                <w:szCs w:val="14"/>
                <w:color w:val="auto"/>
              </w:rPr>
              <w:t>2022</w:t>
            </w:r>
          </w:p>
        </w:tc>
        <w:tc>
          <w:tcPr>
            <w:tcW w:w="820" w:type="dxa"/>
            <w:vAlign w:val="bottom"/>
            <w:vMerge w:val="restart"/>
            <w:shd w:val="clear" w:color="auto" w:fill="EBEBEB"/>
          </w:tcPr>
          <w:p>
            <w:pPr>
              <w:jc w:val="right"/>
              <w:ind w:right="45"/>
              <w:spacing w:after="0"/>
              <w:rPr>
                <w:sz w:val="20"/>
                <w:szCs w:val="20"/>
                <w:color w:val="auto"/>
              </w:rPr>
            </w:pPr>
            <w:r>
              <w:rPr>
                <w:rFonts w:ascii="Arial" w:cs="Arial" w:eastAsia="Arial" w:hAnsi="Arial"/>
                <w:sz w:val="14"/>
                <w:szCs w:val="14"/>
                <w:color w:val="auto"/>
              </w:rPr>
              <w:t>543,400</w:t>
            </w:r>
          </w:p>
        </w:tc>
        <w:tc>
          <w:tcPr>
            <w:tcW w:w="760" w:type="dxa"/>
            <w:vAlign w:val="bottom"/>
            <w:vMerge w:val="restart"/>
            <w:shd w:val="clear" w:color="auto" w:fill="EBEBEB"/>
          </w:tcPr>
          <w:p>
            <w:pPr>
              <w:jc w:val="right"/>
              <w:ind w:right="65"/>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EBEBEB"/>
          </w:tcPr>
          <w:p>
            <w:pPr>
              <w:jc w:val="right"/>
              <w:ind w:right="105"/>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EBEBEB"/>
          </w:tcPr>
          <w:p>
            <w:pPr>
              <w:jc w:val="right"/>
              <w:ind w:right="65"/>
              <w:spacing w:after="0"/>
              <w:rPr>
                <w:sz w:val="20"/>
                <w:szCs w:val="20"/>
                <w:color w:val="auto"/>
              </w:rPr>
            </w:pPr>
            <w:r>
              <w:rPr>
                <w:rFonts w:ascii="Arial" w:cs="Arial" w:eastAsia="Arial" w:hAnsi="Arial"/>
                <w:sz w:val="14"/>
                <w:szCs w:val="14"/>
                <w:color w:val="auto"/>
              </w:rPr>
              <w:t>2,998,052</w:t>
            </w:r>
          </w:p>
        </w:tc>
        <w:tc>
          <w:tcPr>
            <w:tcW w:w="1380" w:type="dxa"/>
            <w:vAlign w:val="bottom"/>
            <w:vMerge w:val="restart"/>
            <w:shd w:val="clear" w:color="auto" w:fill="EBEBEB"/>
          </w:tcPr>
          <w:p>
            <w:pPr>
              <w:jc w:val="right"/>
              <w:ind w:right="64"/>
              <w:spacing w:after="0"/>
              <w:rPr>
                <w:sz w:val="20"/>
                <w:szCs w:val="20"/>
                <w:color w:val="auto"/>
              </w:rPr>
            </w:pPr>
            <w:r>
              <w:rPr>
                <w:rFonts w:ascii="Arial" w:cs="Arial" w:eastAsia="Arial" w:hAnsi="Arial"/>
                <w:sz w:val="14"/>
                <w:szCs w:val="14"/>
                <w:color w:val="auto"/>
              </w:rPr>
              <w:t>233,662</w:t>
            </w:r>
          </w:p>
        </w:tc>
        <w:tc>
          <w:tcPr>
            <w:tcW w:w="1440" w:type="dxa"/>
            <w:vAlign w:val="bottom"/>
            <w:vMerge w:val="restart"/>
            <w:shd w:val="clear" w:color="auto" w:fill="EBEBEB"/>
          </w:tcPr>
          <w:p>
            <w:pPr>
              <w:jc w:val="right"/>
              <w:ind w:right="129"/>
              <w:spacing w:after="0"/>
              <w:rPr>
                <w:sz w:val="20"/>
                <w:szCs w:val="20"/>
                <w:color w:val="auto"/>
              </w:rPr>
            </w:pPr>
            <w:r>
              <w:rPr>
                <w:rFonts w:ascii="Arial" w:cs="Arial" w:eastAsia="Arial" w:hAnsi="Arial"/>
                <w:sz w:val="28"/>
                <w:szCs w:val="28"/>
                <w:color w:val="auto"/>
                <w:vertAlign w:val="subscript"/>
              </w:rPr>
              <w:t>85</w:t>
            </w:r>
            <w:r>
              <w:rPr>
                <w:rFonts w:ascii="Arial" w:cs="Arial" w:eastAsia="Arial" w:hAnsi="Arial"/>
                <w:sz w:val="12"/>
                <w:szCs w:val="12"/>
                <w:color w:val="auto"/>
              </w:rPr>
              <w:t>(4)</w:t>
            </w:r>
          </w:p>
        </w:tc>
        <w:tc>
          <w:tcPr>
            <w:tcW w:w="840" w:type="dxa"/>
            <w:vAlign w:val="bottom"/>
            <w:vMerge w:val="restart"/>
            <w:shd w:val="clear" w:color="auto" w:fill="EBEBEB"/>
          </w:tcPr>
          <w:p>
            <w:pPr>
              <w:jc w:val="right"/>
              <w:spacing w:after="0"/>
              <w:rPr>
                <w:sz w:val="20"/>
                <w:szCs w:val="20"/>
                <w:color w:val="auto"/>
              </w:rPr>
            </w:pPr>
            <w:r>
              <w:rPr>
                <w:rFonts w:ascii="Arial" w:cs="Arial" w:eastAsia="Arial" w:hAnsi="Arial"/>
                <w:sz w:val="14"/>
                <w:szCs w:val="14"/>
                <w:color w:val="auto"/>
              </w:rPr>
              <w:t>3,775,199</w:t>
            </w:r>
          </w:p>
        </w:tc>
        <w:tc>
          <w:tcPr>
            <w:tcW w:w="0" w:type="dxa"/>
            <w:vAlign w:val="bottom"/>
          </w:tcPr>
          <w:p>
            <w:pPr>
              <w:spacing w:after="0"/>
              <w:rPr>
                <w:sz w:val="1"/>
                <w:szCs w:val="1"/>
                <w:color w:val="auto"/>
              </w:rPr>
            </w:pPr>
          </w:p>
        </w:tc>
      </w:tr>
      <w:tr>
        <w:trPr>
          <w:trHeight w:val="259"/>
        </w:trPr>
        <w:tc>
          <w:tcPr>
            <w:tcW w:w="1720" w:type="dxa"/>
            <w:vAlign w:val="bottom"/>
            <w:tcBorders>
              <w:bottom w:val="single" w:sz="8" w:color="EBEBEB"/>
            </w:tcBorders>
            <w:shd w:val="clear" w:color="auto" w:fill="EBEBEB"/>
          </w:tcPr>
          <w:p>
            <w:pPr>
              <w:ind w:left="60"/>
              <w:spacing w:after="0"/>
              <w:rPr>
                <w:sz w:val="20"/>
                <w:szCs w:val="20"/>
                <w:color w:val="auto"/>
              </w:rPr>
            </w:pPr>
            <w:r>
              <w:rPr>
                <w:rFonts w:ascii="Arial" w:cs="Arial" w:eastAsia="Arial" w:hAnsi="Arial"/>
                <w:sz w:val="14"/>
                <w:szCs w:val="14"/>
                <w:color w:val="auto"/>
              </w:rPr>
              <w:t>Officer</w:t>
            </w:r>
          </w:p>
        </w:tc>
        <w:tc>
          <w:tcPr>
            <w:tcW w:w="120" w:type="dxa"/>
            <w:vAlign w:val="bottom"/>
            <w:tcBorders>
              <w:bottom w:val="single" w:sz="8" w:color="EBEBEB"/>
            </w:tcBorders>
            <w:shd w:val="clear" w:color="auto" w:fill="EBEBEB"/>
          </w:tcPr>
          <w:p>
            <w:pPr>
              <w:spacing w:after="0"/>
              <w:rPr>
                <w:sz w:val="22"/>
                <w:szCs w:val="22"/>
                <w:color w:val="auto"/>
              </w:rPr>
            </w:pPr>
          </w:p>
        </w:tc>
        <w:tc>
          <w:tcPr>
            <w:tcW w:w="500" w:type="dxa"/>
            <w:vAlign w:val="bottom"/>
            <w:tcBorders>
              <w:bottom w:val="single" w:sz="8" w:color="EBEBEB"/>
            </w:tcBorders>
            <w:vMerge w:val="continue"/>
            <w:shd w:val="clear" w:color="auto" w:fill="EBEBEB"/>
          </w:tcPr>
          <w:p>
            <w:pPr>
              <w:spacing w:after="0"/>
              <w:rPr>
                <w:sz w:val="22"/>
                <w:szCs w:val="22"/>
                <w:color w:val="auto"/>
              </w:rPr>
            </w:pPr>
          </w:p>
        </w:tc>
        <w:tc>
          <w:tcPr>
            <w:tcW w:w="820" w:type="dxa"/>
            <w:vAlign w:val="bottom"/>
            <w:tcBorders>
              <w:bottom w:val="single" w:sz="8" w:color="EBEBEB"/>
            </w:tcBorders>
            <w:vMerge w:val="continue"/>
            <w:shd w:val="clear" w:color="auto" w:fill="EBEBEB"/>
          </w:tcPr>
          <w:p>
            <w:pPr>
              <w:spacing w:after="0"/>
              <w:rPr>
                <w:sz w:val="22"/>
                <w:szCs w:val="22"/>
                <w:color w:val="auto"/>
              </w:rPr>
            </w:pPr>
          </w:p>
        </w:tc>
        <w:tc>
          <w:tcPr>
            <w:tcW w:w="760" w:type="dxa"/>
            <w:vAlign w:val="bottom"/>
            <w:tcBorders>
              <w:bottom w:val="single" w:sz="8" w:color="EBEBEB"/>
            </w:tcBorders>
            <w:vMerge w:val="continue"/>
            <w:shd w:val="clear" w:color="auto" w:fill="EBEBEB"/>
          </w:tcPr>
          <w:p>
            <w:pPr>
              <w:spacing w:after="0"/>
              <w:rPr>
                <w:sz w:val="22"/>
                <w:szCs w:val="22"/>
                <w:color w:val="auto"/>
              </w:rPr>
            </w:pPr>
          </w:p>
        </w:tc>
        <w:tc>
          <w:tcPr>
            <w:tcW w:w="880" w:type="dxa"/>
            <w:vAlign w:val="bottom"/>
            <w:tcBorders>
              <w:bottom w:val="single" w:sz="8" w:color="EBEBEB"/>
            </w:tcBorders>
            <w:vMerge w:val="continue"/>
            <w:shd w:val="clear" w:color="auto" w:fill="EBEBEB"/>
          </w:tcPr>
          <w:p>
            <w:pPr>
              <w:spacing w:after="0"/>
              <w:rPr>
                <w:sz w:val="22"/>
                <w:szCs w:val="22"/>
                <w:color w:val="auto"/>
              </w:rPr>
            </w:pPr>
          </w:p>
        </w:tc>
        <w:tc>
          <w:tcPr>
            <w:tcW w:w="940" w:type="dxa"/>
            <w:vAlign w:val="bottom"/>
            <w:tcBorders>
              <w:bottom w:val="single" w:sz="8" w:color="EBEBEB"/>
            </w:tcBorders>
            <w:vMerge w:val="continue"/>
            <w:shd w:val="clear" w:color="auto" w:fill="EBEBEB"/>
          </w:tcPr>
          <w:p>
            <w:pPr>
              <w:spacing w:after="0"/>
              <w:rPr>
                <w:sz w:val="22"/>
                <w:szCs w:val="22"/>
                <w:color w:val="auto"/>
              </w:rPr>
            </w:pPr>
          </w:p>
        </w:tc>
        <w:tc>
          <w:tcPr>
            <w:tcW w:w="1380" w:type="dxa"/>
            <w:vAlign w:val="bottom"/>
            <w:tcBorders>
              <w:bottom w:val="single" w:sz="8" w:color="EBEBEB"/>
            </w:tcBorders>
            <w:vMerge w:val="continue"/>
            <w:shd w:val="clear" w:color="auto" w:fill="EBEBEB"/>
          </w:tcPr>
          <w:p>
            <w:pPr>
              <w:spacing w:after="0"/>
              <w:rPr>
                <w:sz w:val="22"/>
                <w:szCs w:val="22"/>
                <w:color w:val="auto"/>
              </w:rPr>
            </w:pPr>
          </w:p>
        </w:tc>
        <w:tc>
          <w:tcPr>
            <w:tcW w:w="1440" w:type="dxa"/>
            <w:vAlign w:val="bottom"/>
            <w:tcBorders>
              <w:bottom w:val="single" w:sz="8" w:color="EBEBEB"/>
            </w:tcBorders>
            <w:vMerge w:val="continue"/>
            <w:shd w:val="clear" w:color="auto" w:fill="EBEBEB"/>
          </w:tcPr>
          <w:p>
            <w:pPr>
              <w:spacing w:after="0"/>
              <w:rPr>
                <w:sz w:val="22"/>
                <w:szCs w:val="22"/>
                <w:color w:val="auto"/>
              </w:rPr>
            </w:pPr>
          </w:p>
        </w:tc>
        <w:tc>
          <w:tcPr>
            <w:tcW w:w="840" w:type="dxa"/>
            <w:vAlign w:val="bottom"/>
            <w:tcBorders>
              <w:bottom w:val="single" w:sz="8" w:color="EBEBEB"/>
            </w:tcBorders>
            <w:vMerge w:val="continue"/>
            <w:shd w:val="clear" w:color="auto" w:fill="EBEBEB"/>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1720" w:type="dxa"/>
            <w:vAlign w:val="bottom"/>
          </w:tcPr>
          <w:p>
            <w:pPr>
              <w:ind w:left="60"/>
              <w:spacing w:after="0"/>
              <w:rPr>
                <w:sz w:val="20"/>
                <w:szCs w:val="20"/>
                <w:color w:val="auto"/>
              </w:rPr>
            </w:pPr>
            <w:r>
              <w:rPr>
                <w:rFonts w:ascii="Arial" w:cs="Arial" w:eastAsia="Arial" w:hAnsi="Arial"/>
                <w:sz w:val="14"/>
                <w:szCs w:val="14"/>
                <w:b w:val="1"/>
                <w:bCs w:val="1"/>
                <w:color w:val="auto"/>
              </w:rPr>
              <w:t>Andrew Gengos,</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60"/>
              <w:spacing w:after="0"/>
              <w:rPr>
                <w:sz w:val="20"/>
                <w:szCs w:val="20"/>
                <w:color w:val="auto"/>
              </w:rPr>
            </w:pPr>
            <w:r>
              <w:rPr>
                <w:rFonts w:ascii="Arial" w:cs="Arial" w:eastAsia="Arial" w:hAnsi="Arial"/>
                <w:sz w:val="14"/>
                <w:szCs w:val="14"/>
                <w:color w:val="auto"/>
              </w:rPr>
              <w:t>Chief Financial Officer</w:t>
            </w:r>
          </w:p>
        </w:tc>
        <w:tc>
          <w:tcPr>
            <w:tcW w:w="620" w:type="dxa"/>
            <w:vAlign w:val="bottom"/>
            <w:gridSpan w:val="2"/>
            <w:vMerge w:val="restart"/>
          </w:tcPr>
          <w:p>
            <w:pPr>
              <w:jc w:val="right"/>
              <w:ind w:right="66"/>
              <w:spacing w:after="0"/>
              <w:rPr>
                <w:sz w:val="20"/>
                <w:szCs w:val="20"/>
                <w:color w:val="auto"/>
              </w:rPr>
            </w:pPr>
            <w:r>
              <w:rPr>
                <w:rFonts w:ascii="Arial" w:cs="Arial" w:eastAsia="Arial" w:hAnsi="Arial"/>
                <w:sz w:val="14"/>
                <w:szCs w:val="14"/>
                <w:color w:val="auto"/>
              </w:rPr>
              <w:t>2023</w:t>
            </w:r>
          </w:p>
        </w:tc>
        <w:tc>
          <w:tcPr>
            <w:tcW w:w="820" w:type="dxa"/>
            <w:vAlign w:val="bottom"/>
            <w:vMerge w:val="restart"/>
          </w:tcPr>
          <w:p>
            <w:pPr>
              <w:jc w:val="right"/>
              <w:ind w:right="45"/>
              <w:spacing w:after="0"/>
              <w:rPr>
                <w:sz w:val="20"/>
                <w:szCs w:val="20"/>
                <w:color w:val="auto"/>
              </w:rPr>
            </w:pPr>
            <w:r>
              <w:rPr>
                <w:rFonts w:ascii="Arial" w:cs="Arial" w:eastAsia="Arial" w:hAnsi="Arial"/>
                <w:sz w:val="14"/>
                <w:szCs w:val="14"/>
                <w:color w:val="auto"/>
              </w:rPr>
              <w:t>289,135</w:t>
            </w:r>
          </w:p>
        </w:tc>
        <w:tc>
          <w:tcPr>
            <w:tcW w:w="760" w:type="dxa"/>
            <w:vAlign w:val="bottom"/>
            <w:vMerge w:val="restart"/>
          </w:tcPr>
          <w:p>
            <w:pPr>
              <w:jc w:val="right"/>
              <w:ind w:right="65"/>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05"/>
              <w:spacing w:after="0"/>
              <w:rPr>
                <w:sz w:val="20"/>
                <w:szCs w:val="20"/>
                <w:color w:val="auto"/>
              </w:rPr>
            </w:pPr>
            <w:r>
              <w:rPr>
                <w:rFonts w:ascii="Arial" w:cs="Arial" w:eastAsia="Arial" w:hAnsi="Arial"/>
                <w:sz w:val="14"/>
                <w:szCs w:val="14"/>
                <w:color w:val="auto"/>
              </w:rPr>
              <w:t>28,400</w:t>
            </w:r>
          </w:p>
        </w:tc>
        <w:tc>
          <w:tcPr>
            <w:tcW w:w="940" w:type="dxa"/>
            <w:vAlign w:val="bottom"/>
            <w:vMerge w:val="restart"/>
          </w:tcPr>
          <w:p>
            <w:pPr>
              <w:jc w:val="right"/>
              <w:ind w:right="65"/>
              <w:spacing w:after="0"/>
              <w:rPr>
                <w:sz w:val="20"/>
                <w:szCs w:val="20"/>
                <w:color w:val="auto"/>
              </w:rPr>
            </w:pPr>
            <w:r>
              <w:rPr>
                <w:rFonts w:ascii="Arial" w:cs="Arial" w:eastAsia="Arial" w:hAnsi="Arial"/>
                <w:sz w:val="14"/>
                <w:szCs w:val="14"/>
                <w:color w:val="auto"/>
              </w:rPr>
              <w:t>901,318</w:t>
            </w:r>
          </w:p>
        </w:tc>
        <w:tc>
          <w:tcPr>
            <w:tcW w:w="1380" w:type="dxa"/>
            <w:vAlign w:val="bottom"/>
            <w:vMerge w:val="restart"/>
          </w:tcPr>
          <w:p>
            <w:pPr>
              <w:jc w:val="right"/>
              <w:ind w:right="64"/>
              <w:spacing w:after="0"/>
              <w:rPr>
                <w:sz w:val="20"/>
                <w:szCs w:val="20"/>
                <w:color w:val="auto"/>
              </w:rPr>
            </w:pPr>
            <w:r>
              <w:rPr>
                <w:rFonts w:ascii="Arial" w:cs="Arial" w:eastAsia="Arial" w:hAnsi="Arial"/>
                <w:sz w:val="14"/>
                <w:szCs w:val="14"/>
                <w:color w:val="auto"/>
              </w:rPr>
              <w:t>106,980</w:t>
            </w:r>
          </w:p>
        </w:tc>
        <w:tc>
          <w:tcPr>
            <w:tcW w:w="1440" w:type="dxa"/>
            <w:vAlign w:val="bottom"/>
            <w:vMerge w:val="restart"/>
          </w:tcPr>
          <w:p>
            <w:pPr>
              <w:jc w:val="right"/>
              <w:ind w:right="129"/>
              <w:spacing w:after="0" w:line="306" w:lineRule="exact"/>
              <w:rPr>
                <w:sz w:val="20"/>
                <w:szCs w:val="20"/>
                <w:color w:val="auto"/>
              </w:rPr>
            </w:pPr>
            <w:r>
              <w:rPr>
                <w:rFonts w:ascii="Arial" w:cs="Arial" w:eastAsia="Arial" w:hAnsi="Arial"/>
                <w:sz w:val="28"/>
                <w:szCs w:val="28"/>
                <w:color w:val="auto"/>
                <w:vertAlign w:val="subscript"/>
              </w:rPr>
              <w:t>49</w:t>
            </w:r>
            <w:r>
              <w:rPr>
                <w:rFonts w:ascii="Arial" w:cs="Arial" w:eastAsia="Arial" w:hAnsi="Arial"/>
                <w:sz w:val="12"/>
                <w:szCs w:val="12"/>
                <w:color w:val="auto"/>
              </w:rPr>
              <w:t>(4)</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1,325,881</w:t>
            </w:r>
          </w:p>
        </w:tc>
        <w:tc>
          <w:tcPr>
            <w:tcW w:w="0" w:type="dxa"/>
            <w:vAlign w:val="bottom"/>
          </w:tcPr>
          <w:p>
            <w:pPr>
              <w:spacing w:after="0"/>
              <w:rPr>
                <w:sz w:val="1"/>
                <w:szCs w:val="1"/>
                <w:color w:val="auto"/>
              </w:rPr>
            </w:pPr>
          </w:p>
        </w:tc>
      </w:tr>
      <w:tr>
        <w:trPr>
          <w:trHeight w:val="162"/>
        </w:trPr>
        <w:tc>
          <w:tcPr>
            <w:tcW w:w="1720" w:type="dxa"/>
            <w:vAlign w:val="bottom"/>
          </w:tcPr>
          <w:p>
            <w:pPr>
              <w:ind w:left="60"/>
              <w:spacing w:after="0"/>
              <w:rPr>
                <w:sz w:val="20"/>
                <w:szCs w:val="20"/>
                <w:color w:val="auto"/>
              </w:rPr>
            </w:pPr>
            <w:r>
              <w:rPr>
                <w:rFonts w:ascii="Arial" w:cs="Arial" w:eastAsia="Arial" w:hAnsi="Arial"/>
                <w:sz w:val="14"/>
                <w:szCs w:val="14"/>
                <w:color w:val="auto"/>
              </w:rPr>
              <w:t>and Chief Business</w:t>
            </w:r>
          </w:p>
        </w:tc>
        <w:tc>
          <w:tcPr>
            <w:tcW w:w="62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720" w:type="dxa"/>
            <w:vAlign w:val="bottom"/>
          </w:tcPr>
          <w:p>
            <w:pPr>
              <w:ind w:left="60"/>
              <w:spacing w:after="0"/>
              <w:rPr>
                <w:sz w:val="20"/>
                <w:szCs w:val="20"/>
                <w:color w:val="auto"/>
              </w:rPr>
            </w:pPr>
            <w:r>
              <w:rPr>
                <w:rFonts w:ascii="Arial" w:cs="Arial" w:eastAsia="Arial" w:hAnsi="Arial"/>
                <w:sz w:val="14"/>
                <w:szCs w:val="14"/>
                <w:color w:val="auto"/>
              </w:rPr>
              <w:t>Officer</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1720" w:type="dxa"/>
            <w:vAlign w:val="bottom"/>
          </w:tcPr>
          <w:p>
            <w:pPr>
              <w:spacing w:after="0"/>
              <w:rPr>
                <w:sz w:val="7"/>
                <w:szCs w:val="7"/>
                <w:color w:val="auto"/>
              </w:rPr>
            </w:pPr>
          </w:p>
        </w:tc>
        <w:tc>
          <w:tcPr>
            <w:tcW w:w="620" w:type="dxa"/>
            <w:vAlign w:val="bottom"/>
            <w:gridSpan w:val="2"/>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720" w:type="dxa"/>
            <w:vAlign w:val="bottom"/>
            <w:shd w:val="clear" w:color="auto" w:fill="EBEBEB"/>
          </w:tcPr>
          <w:p>
            <w:pPr>
              <w:ind w:left="60"/>
              <w:spacing w:after="0"/>
              <w:rPr>
                <w:sz w:val="20"/>
                <w:szCs w:val="20"/>
                <w:color w:val="auto"/>
              </w:rPr>
            </w:pPr>
            <w:r>
              <w:rPr>
                <w:rFonts w:ascii="Arial" w:cs="Arial" w:eastAsia="Arial" w:hAnsi="Arial"/>
                <w:sz w:val="14"/>
                <w:szCs w:val="14"/>
                <w:b w:val="1"/>
                <w:bCs w:val="1"/>
                <w:color w:val="auto"/>
              </w:rPr>
              <w:t>Hans Moebius, M.D.,</w:t>
            </w:r>
          </w:p>
        </w:tc>
        <w:tc>
          <w:tcPr>
            <w:tcW w:w="120" w:type="dxa"/>
            <w:vAlign w:val="bottom"/>
            <w:shd w:val="clear" w:color="auto" w:fill="EBEBEB"/>
          </w:tcPr>
          <w:p>
            <w:pPr>
              <w:spacing w:after="0"/>
              <w:rPr>
                <w:sz w:val="24"/>
                <w:szCs w:val="24"/>
                <w:color w:val="auto"/>
              </w:rPr>
            </w:pPr>
          </w:p>
        </w:tc>
        <w:tc>
          <w:tcPr>
            <w:tcW w:w="500" w:type="dxa"/>
            <w:vAlign w:val="bottom"/>
            <w:shd w:val="clear" w:color="auto" w:fill="EBEBEB"/>
          </w:tcPr>
          <w:p>
            <w:pPr>
              <w:jc w:val="right"/>
              <w:ind w:right="66"/>
              <w:spacing w:after="0"/>
              <w:rPr>
                <w:sz w:val="20"/>
                <w:szCs w:val="20"/>
                <w:color w:val="auto"/>
              </w:rPr>
            </w:pPr>
            <w:r>
              <w:rPr>
                <w:rFonts w:ascii="Arial" w:cs="Arial" w:eastAsia="Arial" w:hAnsi="Arial"/>
                <w:sz w:val="14"/>
                <w:szCs w:val="14"/>
                <w:color w:val="auto"/>
              </w:rPr>
              <w:t>2023</w:t>
            </w:r>
          </w:p>
        </w:tc>
        <w:tc>
          <w:tcPr>
            <w:tcW w:w="820" w:type="dxa"/>
            <w:vAlign w:val="bottom"/>
            <w:shd w:val="clear" w:color="auto" w:fill="EBEBEB"/>
          </w:tcPr>
          <w:p>
            <w:pPr>
              <w:jc w:val="right"/>
              <w:ind w:right="45"/>
              <w:spacing w:after="0"/>
              <w:rPr>
                <w:sz w:val="20"/>
                <w:szCs w:val="20"/>
                <w:color w:val="auto"/>
              </w:rPr>
            </w:pPr>
            <w:r>
              <w:rPr>
                <w:rFonts w:ascii="Arial" w:cs="Arial" w:eastAsia="Arial" w:hAnsi="Arial"/>
                <w:sz w:val="14"/>
                <w:szCs w:val="14"/>
                <w:color w:val="auto"/>
              </w:rPr>
              <w:t>465,000</w:t>
            </w:r>
          </w:p>
        </w:tc>
        <w:tc>
          <w:tcPr>
            <w:tcW w:w="760" w:type="dxa"/>
            <w:vAlign w:val="bottom"/>
            <w:shd w:val="clear" w:color="auto" w:fill="EBEBEB"/>
          </w:tcPr>
          <w:p>
            <w:pPr>
              <w:jc w:val="right"/>
              <w:ind w:right="65"/>
              <w:spacing w:after="0"/>
              <w:rPr>
                <w:sz w:val="20"/>
                <w:szCs w:val="20"/>
                <w:color w:val="auto"/>
              </w:rPr>
            </w:pPr>
            <w:r>
              <w:rPr>
                <w:rFonts w:ascii="Arial" w:cs="Arial" w:eastAsia="Arial" w:hAnsi="Arial"/>
                <w:sz w:val="14"/>
                <w:szCs w:val="14"/>
                <w:color w:val="auto"/>
              </w:rPr>
              <w:t>—</w:t>
            </w:r>
          </w:p>
        </w:tc>
        <w:tc>
          <w:tcPr>
            <w:tcW w:w="880" w:type="dxa"/>
            <w:vAlign w:val="bottom"/>
            <w:shd w:val="clear" w:color="auto" w:fill="EBEBEB"/>
          </w:tcPr>
          <w:p>
            <w:pPr>
              <w:jc w:val="right"/>
              <w:ind w:right="105"/>
              <w:spacing w:after="0"/>
              <w:rPr>
                <w:sz w:val="20"/>
                <w:szCs w:val="20"/>
                <w:color w:val="auto"/>
              </w:rPr>
            </w:pPr>
            <w:r>
              <w:rPr>
                <w:rFonts w:ascii="Arial" w:cs="Arial" w:eastAsia="Arial" w:hAnsi="Arial"/>
                <w:sz w:val="14"/>
                <w:szCs w:val="14"/>
                <w:color w:val="auto"/>
              </w:rPr>
              <w:t>—</w:t>
            </w:r>
          </w:p>
        </w:tc>
        <w:tc>
          <w:tcPr>
            <w:tcW w:w="940" w:type="dxa"/>
            <w:vAlign w:val="bottom"/>
            <w:shd w:val="clear" w:color="auto" w:fill="EBEBEB"/>
          </w:tcPr>
          <w:p>
            <w:pPr>
              <w:jc w:val="right"/>
              <w:ind w:right="65"/>
              <w:spacing w:after="0"/>
              <w:rPr>
                <w:sz w:val="20"/>
                <w:szCs w:val="20"/>
                <w:color w:val="auto"/>
              </w:rPr>
            </w:pPr>
            <w:r>
              <w:rPr>
                <w:rFonts w:ascii="Arial" w:cs="Arial" w:eastAsia="Arial" w:hAnsi="Arial"/>
                <w:sz w:val="14"/>
                <w:szCs w:val="14"/>
                <w:color w:val="auto"/>
              </w:rPr>
              <w:t>531,999</w:t>
            </w:r>
          </w:p>
        </w:tc>
        <w:tc>
          <w:tcPr>
            <w:tcW w:w="1380" w:type="dxa"/>
            <w:vAlign w:val="bottom"/>
            <w:shd w:val="clear" w:color="auto" w:fill="EBEBEB"/>
          </w:tcPr>
          <w:p>
            <w:pPr>
              <w:jc w:val="right"/>
              <w:ind w:right="64"/>
              <w:spacing w:after="0"/>
              <w:rPr>
                <w:sz w:val="20"/>
                <w:szCs w:val="20"/>
                <w:color w:val="auto"/>
              </w:rPr>
            </w:pPr>
            <w:r>
              <w:rPr>
                <w:rFonts w:ascii="Arial" w:cs="Arial" w:eastAsia="Arial" w:hAnsi="Arial"/>
                <w:sz w:val="14"/>
                <w:szCs w:val="14"/>
                <w:color w:val="auto"/>
              </w:rPr>
              <w:t>172,050</w:t>
            </w:r>
          </w:p>
        </w:tc>
        <w:tc>
          <w:tcPr>
            <w:tcW w:w="1440" w:type="dxa"/>
            <w:vAlign w:val="bottom"/>
            <w:shd w:val="clear" w:color="auto" w:fill="EBEBEB"/>
          </w:tcPr>
          <w:p>
            <w:pPr>
              <w:jc w:val="right"/>
              <w:ind w:right="129"/>
              <w:spacing w:after="0"/>
              <w:rPr>
                <w:sz w:val="20"/>
                <w:szCs w:val="20"/>
                <w:color w:val="auto"/>
              </w:rPr>
            </w:pPr>
            <w:r>
              <w:rPr>
                <w:rFonts w:ascii="Arial" w:cs="Arial" w:eastAsia="Arial" w:hAnsi="Arial"/>
                <w:sz w:val="14"/>
                <w:szCs w:val="14"/>
                <w:color w:val="auto"/>
              </w:rPr>
              <w:t>123,424</w:t>
            </w:r>
            <w:r>
              <w:rPr>
                <w:rFonts w:ascii="Arial" w:cs="Arial" w:eastAsia="Arial" w:hAnsi="Arial"/>
                <w:sz w:val="23"/>
                <w:szCs w:val="23"/>
                <w:color w:val="auto"/>
                <w:vertAlign w:val="superscript"/>
              </w:rPr>
              <w:t>(5)</w:t>
            </w:r>
          </w:p>
        </w:tc>
        <w:tc>
          <w:tcPr>
            <w:tcW w:w="840" w:type="dxa"/>
            <w:vAlign w:val="bottom"/>
            <w:shd w:val="clear" w:color="auto" w:fill="EBEBEB"/>
          </w:tcPr>
          <w:p>
            <w:pPr>
              <w:jc w:val="right"/>
              <w:spacing w:after="0"/>
              <w:rPr>
                <w:sz w:val="20"/>
                <w:szCs w:val="20"/>
                <w:color w:val="auto"/>
              </w:rPr>
            </w:pPr>
            <w:r>
              <w:rPr>
                <w:rFonts w:ascii="Arial" w:cs="Arial" w:eastAsia="Arial" w:hAnsi="Arial"/>
                <w:sz w:val="14"/>
                <w:szCs w:val="14"/>
                <w:color w:val="auto"/>
              </w:rPr>
              <w:t>1,292,474</w:t>
            </w:r>
          </w:p>
        </w:tc>
        <w:tc>
          <w:tcPr>
            <w:tcW w:w="0" w:type="dxa"/>
            <w:vAlign w:val="bottom"/>
          </w:tcPr>
          <w:p>
            <w:pPr>
              <w:spacing w:after="0"/>
              <w:rPr>
                <w:sz w:val="1"/>
                <w:szCs w:val="1"/>
                <w:color w:val="auto"/>
              </w:rPr>
            </w:pPr>
          </w:p>
        </w:tc>
      </w:tr>
      <w:tr>
        <w:trPr>
          <w:trHeight w:val="153"/>
        </w:trPr>
        <w:tc>
          <w:tcPr>
            <w:tcW w:w="1720" w:type="dxa"/>
            <w:vAlign w:val="bottom"/>
            <w:shd w:val="clear" w:color="auto" w:fill="EBEBEB"/>
          </w:tcPr>
          <w:p>
            <w:pPr>
              <w:ind w:left="60"/>
              <w:spacing w:after="0" w:line="153" w:lineRule="exact"/>
              <w:rPr>
                <w:sz w:val="20"/>
                <w:szCs w:val="20"/>
                <w:color w:val="auto"/>
              </w:rPr>
            </w:pPr>
            <w:r>
              <w:rPr>
                <w:rFonts w:ascii="Arial" w:cs="Arial" w:eastAsia="Arial" w:hAnsi="Arial"/>
                <w:sz w:val="14"/>
                <w:szCs w:val="14"/>
                <w:b w:val="1"/>
                <w:bCs w:val="1"/>
                <w:color w:val="auto"/>
              </w:rPr>
              <w:t>Ph.D</w:t>
            </w:r>
          </w:p>
        </w:tc>
        <w:tc>
          <w:tcPr>
            <w:tcW w:w="120" w:type="dxa"/>
            <w:vAlign w:val="bottom"/>
            <w:shd w:val="clear" w:color="auto" w:fill="EBEBEB"/>
          </w:tcPr>
          <w:p>
            <w:pPr>
              <w:spacing w:after="0"/>
              <w:rPr>
                <w:sz w:val="13"/>
                <w:szCs w:val="13"/>
                <w:color w:val="auto"/>
              </w:rPr>
            </w:pPr>
          </w:p>
        </w:tc>
        <w:tc>
          <w:tcPr>
            <w:tcW w:w="500" w:type="dxa"/>
            <w:vAlign w:val="bottom"/>
            <w:shd w:val="clear" w:color="auto" w:fill="EBEBEB"/>
          </w:tcPr>
          <w:p>
            <w:pPr>
              <w:spacing w:after="0"/>
              <w:rPr>
                <w:sz w:val="13"/>
                <w:szCs w:val="13"/>
                <w:color w:val="auto"/>
              </w:rPr>
            </w:pPr>
          </w:p>
        </w:tc>
        <w:tc>
          <w:tcPr>
            <w:tcW w:w="820" w:type="dxa"/>
            <w:vAlign w:val="bottom"/>
            <w:shd w:val="clear" w:color="auto" w:fill="EBEBEB"/>
          </w:tcPr>
          <w:p>
            <w:pPr>
              <w:spacing w:after="0"/>
              <w:rPr>
                <w:sz w:val="13"/>
                <w:szCs w:val="13"/>
                <w:color w:val="auto"/>
              </w:rPr>
            </w:pPr>
          </w:p>
        </w:tc>
        <w:tc>
          <w:tcPr>
            <w:tcW w:w="760" w:type="dxa"/>
            <w:vAlign w:val="bottom"/>
            <w:shd w:val="clear" w:color="auto" w:fill="EBEBEB"/>
          </w:tcPr>
          <w:p>
            <w:pPr>
              <w:spacing w:after="0"/>
              <w:rPr>
                <w:sz w:val="13"/>
                <w:szCs w:val="13"/>
                <w:color w:val="auto"/>
              </w:rPr>
            </w:pPr>
          </w:p>
        </w:tc>
        <w:tc>
          <w:tcPr>
            <w:tcW w:w="880" w:type="dxa"/>
            <w:vAlign w:val="bottom"/>
            <w:shd w:val="clear" w:color="auto" w:fill="EBEBEB"/>
          </w:tcPr>
          <w:p>
            <w:pPr>
              <w:spacing w:after="0"/>
              <w:rPr>
                <w:sz w:val="13"/>
                <w:szCs w:val="13"/>
                <w:color w:val="auto"/>
              </w:rPr>
            </w:pPr>
          </w:p>
        </w:tc>
        <w:tc>
          <w:tcPr>
            <w:tcW w:w="940" w:type="dxa"/>
            <w:vAlign w:val="bottom"/>
            <w:shd w:val="clear" w:color="auto" w:fill="EBEBEB"/>
          </w:tcPr>
          <w:p>
            <w:pPr>
              <w:spacing w:after="0"/>
              <w:rPr>
                <w:sz w:val="13"/>
                <w:szCs w:val="13"/>
                <w:color w:val="auto"/>
              </w:rPr>
            </w:pPr>
          </w:p>
        </w:tc>
        <w:tc>
          <w:tcPr>
            <w:tcW w:w="1380" w:type="dxa"/>
            <w:vAlign w:val="bottom"/>
            <w:shd w:val="clear" w:color="auto" w:fill="EBEBEB"/>
          </w:tcPr>
          <w:p>
            <w:pPr>
              <w:spacing w:after="0"/>
              <w:rPr>
                <w:sz w:val="13"/>
                <w:szCs w:val="13"/>
                <w:color w:val="auto"/>
              </w:rPr>
            </w:pPr>
          </w:p>
        </w:tc>
        <w:tc>
          <w:tcPr>
            <w:tcW w:w="1440" w:type="dxa"/>
            <w:vAlign w:val="bottom"/>
            <w:shd w:val="clear" w:color="auto" w:fill="EBEBEB"/>
          </w:tcPr>
          <w:p>
            <w:pPr>
              <w:spacing w:after="0"/>
              <w:rPr>
                <w:sz w:val="13"/>
                <w:szCs w:val="13"/>
                <w:color w:val="auto"/>
              </w:rPr>
            </w:pPr>
          </w:p>
        </w:tc>
        <w:tc>
          <w:tcPr>
            <w:tcW w:w="840" w:type="dxa"/>
            <w:vAlign w:val="bottom"/>
            <w:shd w:val="clear" w:color="auto" w:fill="EBEBEB"/>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EBEBEB"/>
          </w:tcPr>
          <w:p>
            <w:pPr>
              <w:ind w:left="60"/>
              <w:spacing w:after="0"/>
              <w:rPr>
                <w:sz w:val="20"/>
                <w:szCs w:val="20"/>
                <w:color w:val="auto"/>
              </w:rPr>
            </w:pPr>
            <w:r>
              <w:rPr>
                <w:rFonts w:ascii="Arial" w:cs="Arial" w:eastAsia="Arial" w:hAnsi="Arial"/>
                <w:sz w:val="14"/>
                <w:szCs w:val="14"/>
                <w:color w:val="auto"/>
              </w:rPr>
              <w:t>Former Chief Medical</w:t>
            </w:r>
          </w:p>
        </w:tc>
        <w:tc>
          <w:tcPr>
            <w:tcW w:w="120" w:type="dxa"/>
            <w:vAlign w:val="bottom"/>
            <w:shd w:val="clear" w:color="auto" w:fill="EBEBEB"/>
          </w:tcPr>
          <w:p>
            <w:pPr>
              <w:spacing w:after="0"/>
              <w:rPr>
                <w:sz w:val="14"/>
                <w:szCs w:val="14"/>
                <w:color w:val="auto"/>
              </w:rPr>
            </w:pPr>
          </w:p>
        </w:tc>
        <w:tc>
          <w:tcPr>
            <w:tcW w:w="500" w:type="dxa"/>
            <w:vAlign w:val="bottom"/>
            <w:vMerge w:val="restart"/>
            <w:shd w:val="clear" w:color="auto" w:fill="EBEBEB"/>
          </w:tcPr>
          <w:p>
            <w:pPr>
              <w:jc w:val="right"/>
              <w:ind w:right="66"/>
              <w:spacing w:after="0"/>
              <w:rPr>
                <w:sz w:val="20"/>
                <w:szCs w:val="20"/>
                <w:color w:val="auto"/>
              </w:rPr>
            </w:pPr>
            <w:r>
              <w:rPr>
                <w:rFonts w:ascii="Arial" w:cs="Arial" w:eastAsia="Arial" w:hAnsi="Arial"/>
                <w:sz w:val="14"/>
                <w:szCs w:val="14"/>
                <w:color w:val="auto"/>
              </w:rPr>
              <w:t>2022</w:t>
            </w:r>
          </w:p>
        </w:tc>
        <w:tc>
          <w:tcPr>
            <w:tcW w:w="820" w:type="dxa"/>
            <w:vAlign w:val="bottom"/>
            <w:vMerge w:val="restart"/>
            <w:shd w:val="clear" w:color="auto" w:fill="EBEBEB"/>
          </w:tcPr>
          <w:p>
            <w:pPr>
              <w:jc w:val="right"/>
              <w:ind w:right="45"/>
              <w:spacing w:after="0"/>
              <w:rPr>
                <w:sz w:val="20"/>
                <w:szCs w:val="20"/>
                <w:color w:val="auto"/>
              </w:rPr>
            </w:pPr>
            <w:r>
              <w:rPr>
                <w:rFonts w:ascii="Arial" w:cs="Arial" w:eastAsia="Arial" w:hAnsi="Arial"/>
                <w:sz w:val="14"/>
                <w:szCs w:val="14"/>
                <w:color w:val="auto"/>
              </w:rPr>
              <w:t>430,000</w:t>
            </w:r>
          </w:p>
        </w:tc>
        <w:tc>
          <w:tcPr>
            <w:tcW w:w="760" w:type="dxa"/>
            <w:vAlign w:val="bottom"/>
            <w:vMerge w:val="restart"/>
            <w:shd w:val="clear" w:color="auto" w:fill="EBEBEB"/>
          </w:tcPr>
          <w:p>
            <w:pPr>
              <w:jc w:val="right"/>
              <w:ind w:right="65"/>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EBEBEB"/>
          </w:tcPr>
          <w:p>
            <w:pPr>
              <w:jc w:val="right"/>
              <w:ind w:right="105"/>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EBEBEB"/>
          </w:tcPr>
          <w:p>
            <w:pPr>
              <w:jc w:val="right"/>
              <w:ind w:right="65"/>
              <w:spacing w:after="0"/>
              <w:rPr>
                <w:sz w:val="20"/>
                <w:szCs w:val="20"/>
                <w:color w:val="auto"/>
              </w:rPr>
            </w:pPr>
            <w:r>
              <w:rPr>
                <w:rFonts w:ascii="Arial" w:cs="Arial" w:eastAsia="Arial" w:hAnsi="Arial"/>
                <w:sz w:val="14"/>
                <w:szCs w:val="14"/>
                <w:color w:val="auto"/>
              </w:rPr>
              <w:t>1,450,891</w:t>
            </w:r>
          </w:p>
        </w:tc>
        <w:tc>
          <w:tcPr>
            <w:tcW w:w="1380" w:type="dxa"/>
            <w:vAlign w:val="bottom"/>
            <w:vMerge w:val="restart"/>
            <w:shd w:val="clear" w:color="auto" w:fill="EBEBEB"/>
          </w:tcPr>
          <w:p>
            <w:pPr>
              <w:jc w:val="right"/>
              <w:ind w:right="64"/>
              <w:spacing w:after="0"/>
              <w:rPr>
                <w:sz w:val="20"/>
                <w:szCs w:val="20"/>
                <w:color w:val="auto"/>
              </w:rPr>
            </w:pPr>
            <w:r>
              <w:rPr>
                <w:rFonts w:ascii="Arial" w:cs="Arial" w:eastAsia="Arial" w:hAnsi="Arial"/>
                <w:sz w:val="14"/>
                <w:szCs w:val="14"/>
                <w:color w:val="auto"/>
              </w:rPr>
              <w:t>147,920</w:t>
            </w:r>
          </w:p>
        </w:tc>
        <w:tc>
          <w:tcPr>
            <w:tcW w:w="1440" w:type="dxa"/>
            <w:vAlign w:val="bottom"/>
            <w:vMerge w:val="restart"/>
            <w:shd w:val="clear" w:color="auto" w:fill="EBEBEB"/>
          </w:tcPr>
          <w:p>
            <w:pPr>
              <w:jc w:val="right"/>
              <w:ind w:right="129"/>
              <w:spacing w:after="0"/>
              <w:rPr>
                <w:sz w:val="20"/>
                <w:szCs w:val="20"/>
                <w:color w:val="auto"/>
              </w:rPr>
            </w:pPr>
            <w:r>
              <w:rPr>
                <w:rFonts w:ascii="Arial" w:cs="Arial" w:eastAsia="Arial" w:hAnsi="Arial"/>
                <w:sz w:val="14"/>
                <w:szCs w:val="14"/>
                <w:color w:val="auto"/>
              </w:rPr>
              <w:t>74,922</w:t>
            </w:r>
            <w:r>
              <w:rPr>
                <w:rFonts w:ascii="Arial" w:cs="Arial" w:eastAsia="Arial" w:hAnsi="Arial"/>
                <w:sz w:val="23"/>
                <w:szCs w:val="23"/>
                <w:color w:val="auto"/>
                <w:vertAlign w:val="superscript"/>
              </w:rPr>
              <w:t>(5)</w:t>
            </w:r>
          </w:p>
        </w:tc>
        <w:tc>
          <w:tcPr>
            <w:tcW w:w="840" w:type="dxa"/>
            <w:vAlign w:val="bottom"/>
            <w:vMerge w:val="restart"/>
            <w:shd w:val="clear" w:color="auto" w:fill="EBEBEB"/>
          </w:tcPr>
          <w:p>
            <w:pPr>
              <w:jc w:val="right"/>
              <w:spacing w:after="0"/>
              <w:rPr>
                <w:sz w:val="20"/>
                <w:szCs w:val="20"/>
                <w:color w:val="auto"/>
              </w:rPr>
            </w:pPr>
            <w:r>
              <w:rPr>
                <w:rFonts w:ascii="Arial" w:cs="Arial" w:eastAsia="Arial" w:hAnsi="Arial"/>
                <w:sz w:val="14"/>
                <w:szCs w:val="14"/>
                <w:color w:val="auto"/>
              </w:rPr>
              <w:t>2,103,733</w:t>
            </w:r>
          </w:p>
        </w:tc>
        <w:tc>
          <w:tcPr>
            <w:tcW w:w="0" w:type="dxa"/>
            <w:vAlign w:val="bottom"/>
          </w:tcPr>
          <w:p>
            <w:pPr>
              <w:spacing w:after="0"/>
              <w:rPr>
                <w:sz w:val="1"/>
                <w:szCs w:val="1"/>
                <w:color w:val="auto"/>
              </w:rPr>
            </w:pPr>
          </w:p>
        </w:tc>
      </w:tr>
      <w:tr>
        <w:trPr>
          <w:trHeight w:val="250"/>
        </w:trPr>
        <w:tc>
          <w:tcPr>
            <w:tcW w:w="1720" w:type="dxa"/>
            <w:vAlign w:val="bottom"/>
            <w:shd w:val="clear" w:color="auto" w:fill="EBEBEB"/>
          </w:tcPr>
          <w:p>
            <w:pPr>
              <w:ind w:left="60"/>
              <w:spacing w:after="0"/>
              <w:rPr>
                <w:sz w:val="20"/>
                <w:szCs w:val="20"/>
                <w:color w:val="auto"/>
              </w:rPr>
            </w:pPr>
            <w:r>
              <w:rPr>
                <w:rFonts w:ascii="Arial" w:cs="Arial" w:eastAsia="Arial" w:hAnsi="Arial"/>
                <w:sz w:val="14"/>
                <w:szCs w:val="14"/>
                <w:color w:val="auto"/>
              </w:rPr>
              <w:t>Officer</w:t>
            </w:r>
          </w:p>
        </w:tc>
        <w:tc>
          <w:tcPr>
            <w:tcW w:w="120" w:type="dxa"/>
            <w:vAlign w:val="bottom"/>
            <w:shd w:val="clear" w:color="auto" w:fill="EBEBEB"/>
          </w:tcPr>
          <w:p>
            <w:pPr>
              <w:spacing w:after="0"/>
              <w:rPr>
                <w:sz w:val="21"/>
                <w:szCs w:val="21"/>
                <w:color w:val="auto"/>
              </w:rPr>
            </w:pPr>
          </w:p>
        </w:tc>
        <w:tc>
          <w:tcPr>
            <w:tcW w:w="500" w:type="dxa"/>
            <w:vAlign w:val="bottom"/>
            <w:vMerge w:val="continue"/>
            <w:shd w:val="clear" w:color="auto" w:fill="EBEBEB"/>
          </w:tcPr>
          <w:p>
            <w:pPr>
              <w:spacing w:after="0"/>
              <w:rPr>
                <w:sz w:val="21"/>
                <w:szCs w:val="21"/>
                <w:color w:val="auto"/>
              </w:rPr>
            </w:pPr>
          </w:p>
        </w:tc>
        <w:tc>
          <w:tcPr>
            <w:tcW w:w="820" w:type="dxa"/>
            <w:vAlign w:val="bottom"/>
            <w:vMerge w:val="continue"/>
            <w:shd w:val="clear" w:color="auto" w:fill="EBEBEB"/>
          </w:tcPr>
          <w:p>
            <w:pPr>
              <w:spacing w:after="0"/>
              <w:rPr>
                <w:sz w:val="21"/>
                <w:szCs w:val="21"/>
                <w:color w:val="auto"/>
              </w:rPr>
            </w:pPr>
          </w:p>
        </w:tc>
        <w:tc>
          <w:tcPr>
            <w:tcW w:w="760" w:type="dxa"/>
            <w:vAlign w:val="bottom"/>
            <w:vMerge w:val="continue"/>
            <w:shd w:val="clear" w:color="auto" w:fill="EBEBEB"/>
          </w:tcPr>
          <w:p>
            <w:pPr>
              <w:spacing w:after="0"/>
              <w:rPr>
                <w:sz w:val="21"/>
                <w:szCs w:val="21"/>
                <w:color w:val="auto"/>
              </w:rPr>
            </w:pPr>
          </w:p>
        </w:tc>
        <w:tc>
          <w:tcPr>
            <w:tcW w:w="880" w:type="dxa"/>
            <w:vAlign w:val="bottom"/>
            <w:vMerge w:val="continue"/>
            <w:shd w:val="clear" w:color="auto" w:fill="EBEBEB"/>
          </w:tcPr>
          <w:p>
            <w:pPr>
              <w:spacing w:after="0"/>
              <w:rPr>
                <w:sz w:val="21"/>
                <w:szCs w:val="21"/>
                <w:color w:val="auto"/>
              </w:rPr>
            </w:pPr>
          </w:p>
        </w:tc>
        <w:tc>
          <w:tcPr>
            <w:tcW w:w="940" w:type="dxa"/>
            <w:vAlign w:val="bottom"/>
            <w:vMerge w:val="continue"/>
            <w:shd w:val="clear" w:color="auto" w:fill="EBEBEB"/>
          </w:tcPr>
          <w:p>
            <w:pPr>
              <w:spacing w:after="0"/>
              <w:rPr>
                <w:sz w:val="21"/>
                <w:szCs w:val="21"/>
                <w:color w:val="auto"/>
              </w:rPr>
            </w:pPr>
          </w:p>
        </w:tc>
        <w:tc>
          <w:tcPr>
            <w:tcW w:w="1380" w:type="dxa"/>
            <w:vAlign w:val="bottom"/>
            <w:vMerge w:val="continue"/>
            <w:shd w:val="clear" w:color="auto" w:fill="EBEBEB"/>
          </w:tcPr>
          <w:p>
            <w:pPr>
              <w:spacing w:after="0"/>
              <w:rPr>
                <w:sz w:val="21"/>
                <w:szCs w:val="21"/>
                <w:color w:val="auto"/>
              </w:rPr>
            </w:pPr>
          </w:p>
        </w:tc>
        <w:tc>
          <w:tcPr>
            <w:tcW w:w="1440" w:type="dxa"/>
            <w:vAlign w:val="bottom"/>
            <w:vMerge w:val="continue"/>
            <w:shd w:val="clear" w:color="auto" w:fill="EBEBEB"/>
          </w:tcPr>
          <w:p>
            <w:pPr>
              <w:spacing w:after="0"/>
              <w:rPr>
                <w:sz w:val="21"/>
                <w:szCs w:val="21"/>
                <w:color w:val="auto"/>
              </w:rPr>
            </w:pPr>
          </w:p>
        </w:tc>
        <w:tc>
          <w:tcPr>
            <w:tcW w:w="840" w:type="dxa"/>
            <w:vAlign w:val="bottom"/>
            <w:vMerge w:val="continue"/>
            <w:shd w:val="clear" w:color="auto" w:fill="EBEBEB"/>
          </w:tcPr>
          <w:p>
            <w:pPr>
              <w:spacing w:after="0"/>
              <w:rPr>
                <w:sz w:val="21"/>
                <w:szCs w:val="21"/>
                <w:color w:val="auto"/>
              </w:rPr>
            </w:pPr>
          </w:p>
        </w:tc>
        <w:tc>
          <w:tcPr>
            <w:tcW w:w="0" w:type="dxa"/>
            <w:vAlign w:val="bottom"/>
          </w:tcPr>
          <w:p>
            <w:pPr>
              <w:spacing w:after="0"/>
              <w:rPr>
                <w:sz w:val="1"/>
                <w:szCs w:val="1"/>
                <w:color w:val="auto"/>
              </w:rPr>
            </w:pPr>
          </w:p>
        </w:tc>
      </w:tr>
      <w:tr>
        <w:trPr>
          <w:trHeight w:val="29"/>
        </w:trPr>
        <w:tc>
          <w:tcPr>
            <w:tcW w:w="1720" w:type="dxa"/>
            <w:vAlign w:val="bottom"/>
            <w:shd w:val="clear" w:color="auto" w:fill="EBEBEB"/>
          </w:tcPr>
          <w:p>
            <w:pPr>
              <w:spacing w:after="0"/>
              <w:rPr>
                <w:sz w:val="2"/>
                <w:szCs w:val="2"/>
                <w:color w:val="auto"/>
              </w:rPr>
            </w:pPr>
          </w:p>
        </w:tc>
        <w:tc>
          <w:tcPr>
            <w:tcW w:w="120" w:type="dxa"/>
            <w:vAlign w:val="bottom"/>
            <w:shd w:val="clear" w:color="auto" w:fill="EBEBEB"/>
          </w:tcPr>
          <w:p>
            <w:pPr>
              <w:spacing w:after="0"/>
              <w:rPr>
                <w:sz w:val="2"/>
                <w:szCs w:val="2"/>
                <w:color w:val="auto"/>
              </w:rPr>
            </w:pPr>
          </w:p>
        </w:tc>
        <w:tc>
          <w:tcPr>
            <w:tcW w:w="500" w:type="dxa"/>
            <w:vAlign w:val="bottom"/>
            <w:shd w:val="clear" w:color="auto" w:fill="EBEBEB"/>
          </w:tcPr>
          <w:p>
            <w:pPr>
              <w:spacing w:after="0"/>
              <w:rPr>
                <w:sz w:val="2"/>
                <w:szCs w:val="2"/>
                <w:color w:val="auto"/>
              </w:rPr>
            </w:pPr>
          </w:p>
        </w:tc>
        <w:tc>
          <w:tcPr>
            <w:tcW w:w="820" w:type="dxa"/>
            <w:vAlign w:val="bottom"/>
            <w:shd w:val="clear" w:color="auto" w:fill="EBEBEB"/>
          </w:tcPr>
          <w:p>
            <w:pPr>
              <w:spacing w:after="0"/>
              <w:rPr>
                <w:sz w:val="2"/>
                <w:szCs w:val="2"/>
                <w:color w:val="auto"/>
              </w:rPr>
            </w:pPr>
          </w:p>
        </w:tc>
        <w:tc>
          <w:tcPr>
            <w:tcW w:w="760" w:type="dxa"/>
            <w:vAlign w:val="bottom"/>
            <w:shd w:val="clear" w:color="auto" w:fill="EBEBEB"/>
          </w:tcPr>
          <w:p>
            <w:pPr>
              <w:spacing w:after="0"/>
              <w:rPr>
                <w:sz w:val="2"/>
                <w:szCs w:val="2"/>
                <w:color w:val="auto"/>
              </w:rPr>
            </w:pPr>
          </w:p>
        </w:tc>
        <w:tc>
          <w:tcPr>
            <w:tcW w:w="880" w:type="dxa"/>
            <w:vAlign w:val="bottom"/>
            <w:shd w:val="clear" w:color="auto" w:fill="EBEBEB"/>
          </w:tcPr>
          <w:p>
            <w:pPr>
              <w:spacing w:after="0"/>
              <w:rPr>
                <w:sz w:val="2"/>
                <w:szCs w:val="2"/>
                <w:color w:val="auto"/>
              </w:rPr>
            </w:pPr>
          </w:p>
        </w:tc>
        <w:tc>
          <w:tcPr>
            <w:tcW w:w="940" w:type="dxa"/>
            <w:vAlign w:val="bottom"/>
            <w:shd w:val="clear" w:color="auto" w:fill="EBEBEB"/>
          </w:tcPr>
          <w:p>
            <w:pPr>
              <w:spacing w:after="0"/>
              <w:rPr>
                <w:sz w:val="2"/>
                <w:szCs w:val="2"/>
                <w:color w:val="auto"/>
              </w:rPr>
            </w:pPr>
          </w:p>
        </w:tc>
        <w:tc>
          <w:tcPr>
            <w:tcW w:w="1380" w:type="dxa"/>
            <w:vAlign w:val="bottom"/>
            <w:shd w:val="clear" w:color="auto" w:fill="EBEBEB"/>
          </w:tcPr>
          <w:p>
            <w:pPr>
              <w:spacing w:after="0"/>
              <w:rPr>
                <w:sz w:val="2"/>
                <w:szCs w:val="2"/>
                <w:color w:val="auto"/>
              </w:rPr>
            </w:pPr>
          </w:p>
        </w:tc>
        <w:tc>
          <w:tcPr>
            <w:tcW w:w="1440" w:type="dxa"/>
            <w:vAlign w:val="bottom"/>
            <w:shd w:val="clear" w:color="auto" w:fill="EBEBEB"/>
          </w:tcPr>
          <w:p>
            <w:pPr>
              <w:spacing w:after="0"/>
              <w:rPr>
                <w:sz w:val="2"/>
                <w:szCs w:val="2"/>
                <w:color w:val="auto"/>
              </w:rPr>
            </w:pPr>
          </w:p>
        </w:tc>
        <w:tc>
          <w:tcPr>
            <w:tcW w:w="840" w:type="dxa"/>
            <w:vAlign w:val="bottom"/>
            <w:shd w:val="clear" w:color="auto" w:fill="EBEBE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-556895</wp:posOffset>
            </wp:positionV>
            <wp:extent cx="59664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-1662430</wp:posOffset>
            </wp:positionV>
            <wp:extent cx="59664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33" w:lineRule="exact"/>
        <w:rPr>
          <w:sz w:val="20"/>
          <w:szCs w:val="20"/>
          <w:color w:val="auto"/>
        </w:rPr>
      </w:pPr>
    </w:p>
    <w:p>
      <w:pPr>
        <w:ind w:left="320" w:right="60" w:hanging="224"/>
        <w:spacing w:after="0" w:line="250" w:lineRule="auto"/>
        <w:tabs>
          <w:tab w:leader="none" w:pos="320" w:val="left"/>
        </w:tabs>
        <w:numPr>
          <w:ilvl w:val="0"/>
          <w:numId w:val="27"/>
        </w:numPr>
        <w:rPr>
          <w:rFonts w:ascii="Arial" w:cs="Arial" w:eastAsia="Arial" w:hAnsi="Arial"/>
          <w:sz w:val="14"/>
          <w:szCs w:val="14"/>
          <w:color w:val="255993"/>
        </w:rPr>
      </w:pPr>
      <w:r>
        <w:rPr>
          <w:rFonts w:ascii="Arial" w:cs="Arial" w:eastAsia="Arial" w:hAnsi="Arial"/>
          <w:sz w:val="14"/>
          <w:szCs w:val="14"/>
          <w:color w:val="255993"/>
        </w:rPr>
        <w:t xml:space="preserve">In accordance with SEC rules, amounts in this column reflect the aggregate grant date fair value of performance RSU awards granted during 2023 reflecting the probable outcome of such performance conditions computed in accordance with ASC Topic 718, rather than the amounts paid or realized by the named executive officer. For a discussion of valuation assumptions, see Note 9 to our financial statements and the sections titled </w:t>
      </w:r>
      <w:r>
        <w:rPr>
          <w:rFonts w:ascii="Arial" w:cs="Arial" w:eastAsia="Arial" w:hAnsi="Arial"/>
          <w:sz w:val="14"/>
          <w:szCs w:val="14"/>
          <w:i w:val="1"/>
          <w:iCs w:val="1"/>
          <w:color w:val="255993"/>
        </w:rPr>
        <w:t>“Stock-based Compensation”</w:t>
      </w:r>
      <w:r>
        <w:rPr>
          <w:rFonts w:ascii="Arial" w:cs="Arial" w:eastAsia="Arial" w:hAnsi="Arial"/>
          <w:sz w:val="14"/>
          <w:szCs w:val="14"/>
          <w:color w:val="255993"/>
        </w:rPr>
        <w:t xml:space="preserve"> included in our Annual Report on Form 10-K for the year ended December 31, 2023, filed with the SEC on February 22, 2024. The fair value of the performance RSUs at the grant date has been calculated assuming that the highest level of performance conditions will be achieved for each award.</w:t>
      </w:r>
    </w:p>
    <w:p>
      <w:pPr>
        <w:spacing w:after="0" w:line="46" w:lineRule="exact"/>
        <w:rPr>
          <w:rFonts w:ascii="Arial" w:cs="Arial" w:eastAsia="Arial" w:hAnsi="Arial"/>
          <w:sz w:val="14"/>
          <w:szCs w:val="14"/>
          <w:color w:val="255993"/>
        </w:rPr>
      </w:pPr>
    </w:p>
    <w:p>
      <w:pPr>
        <w:ind w:left="320" w:right="120" w:hanging="224"/>
        <w:spacing w:after="0" w:line="256" w:lineRule="auto"/>
        <w:tabs>
          <w:tab w:leader="none" w:pos="320" w:val="left"/>
        </w:tabs>
        <w:numPr>
          <w:ilvl w:val="0"/>
          <w:numId w:val="27"/>
        </w:numPr>
        <w:rPr>
          <w:rFonts w:ascii="Arial" w:cs="Arial" w:eastAsia="Arial" w:hAnsi="Arial"/>
          <w:sz w:val="14"/>
          <w:szCs w:val="14"/>
          <w:color w:val="255993"/>
        </w:rPr>
      </w:pPr>
      <w:r>
        <w:rPr>
          <w:rFonts w:ascii="Arial" w:cs="Arial" w:eastAsia="Arial" w:hAnsi="Arial"/>
          <w:sz w:val="14"/>
          <w:szCs w:val="14"/>
          <w:color w:val="255993"/>
        </w:rPr>
        <w:t xml:space="preserve">In accordance with SEC rules, amounts in this column reflect the aggregate grant date fair value of stock options granted during 2022 and 2023 computed in accordance with ASC Topic 718, rather than the amounts paid or realized by the named executive officer. For a discussion of valuation assumptions, see Note 9 and the sections titled </w:t>
      </w:r>
      <w:r>
        <w:rPr>
          <w:rFonts w:ascii="Arial" w:cs="Arial" w:eastAsia="Arial" w:hAnsi="Arial"/>
          <w:sz w:val="14"/>
          <w:szCs w:val="14"/>
          <w:i w:val="1"/>
          <w:iCs w:val="1"/>
          <w:color w:val="255993"/>
        </w:rPr>
        <w:t>“Stock-based Compensation”</w:t>
      </w:r>
      <w:r>
        <w:rPr>
          <w:rFonts w:ascii="Arial" w:cs="Arial" w:eastAsia="Arial" w:hAnsi="Arial"/>
          <w:sz w:val="14"/>
          <w:szCs w:val="14"/>
          <w:color w:val="255993"/>
        </w:rPr>
        <w:t xml:space="preserve"> to our financial statements included in each of our Annual Reports on Form 10-K for the years ended December 31, 2022 and December 31, 2023.</w:t>
      </w:r>
    </w:p>
    <w:p>
      <w:pPr>
        <w:spacing w:after="0" w:line="55" w:lineRule="exact"/>
        <w:rPr>
          <w:rFonts w:ascii="Arial" w:cs="Arial" w:eastAsia="Arial" w:hAnsi="Arial"/>
          <w:sz w:val="14"/>
          <w:szCs w:val="14"/>
          <w:color w:val="255993"/>
        </w:rPr>
      </w:pPr>
    </w:p>
    <w:p>
      <w:pPr>
        <w:ind w:left="320" w:right="720" w:hanging="224"/>
        <w:spacing w:after="0" w:line="285" w:lineRule="auto"/>
        <w:tabs>
          <w:tab w:leader="none" w:pos="320" w:val="left"/>
        </w:tabs>
        <w:numPr>
          <w:ilvl w:val="0"/>
          <w:numId w:val="27"/>
        </w:numPr>
        <w:rPr>
          <w:rFonts w:ascii="Arial" w:cs="Arial" w:eastAsia="Arial" w:hAnsi="Arial"/>
          <w:sz w:val="14"/>
          <w:szCs w:val="14"/>
          <w:color w:val="255993"/>
        </w:rPr>
      </w:pPr>
      <w:r>
        <w:rPr>
          <w:rFonts w:ascii="Arial" w:cs="Arial" w:eastAsia="Arial" w:hAnsi="Arial"/>
          <w:sz w:val="14"/>
          <w:szCs w:val="14"/>
          <w:color w:val="255993"/>
        </w:rPr>
        <w:t>Represents cash bonuses earned by the named executive officers pursuant to our Executive Incentive Compensation Plan for 2022 performance, paid in 2023, and for 2023 performance, paid in 2024.</w:t>
      </w:r>
    </w:p>
    <w:p>
      <w:pPr>
        <w:spacing w:after="0" w:line="36" w:lineRule="exact"/>
        <w:rPr>
          <w:rFonts w:ascii="Arial" w:cs="Arial" w:eastAsia="Arial" w:hAnsi="Arial"/>
          <w:sz w:val="14"/>
          <w:szCs w:val="14"/>
          <w:color w:val="255993"/>
        </w:rPr>
      </w:pPr>
    </w:p>
    <w:p>
      <w:pPr>
        <w:ind w:left="320" w:hanging="224"/>
        <w:spacing w:after="0"/>
        <w:tabs>
          <w:tab w:leader="none" w:pos="320" w:val="left"/>
        </w:tabs>
        <w:numPr>
          <w:ilvl w:val="0"/>
          <w:numId w:val="27"/>
        </w:numPr>
        <w:rPr>
          <w:rFonts w:ascii="Arial" w:cs="Arial" w:eastAsia="Arial" w:hAnsi="Arial"/>
          <w:sz w:val="14"/>
          <w:szCs w:val="14"/>
          <w:color w:val="255993"/>
        </w:rPr>
      </w:pPr>
      <w:r>
        <w:rPr>
          <w:rFonts w:ascii="Arial" w:cs="Arial" w:eastAsia="Arial" w:hAnsi="Arial"/>
          <w:sz w:val="14"/>
          <w:szCs w:val="14"/>
          <w:color w:val="255993"/>
        </w:rPr>
        <w:t>Represents payments made on the executive’s behalf for basic life insurance and accidental death and dismemberment insurance.</w:t>
      </w:r>
    </w:p>
    <w:p>
      <w:pPr>
        <w:spacing w:after="0" w:line="82" w:lineRule="exact"/>
        <w:rPr>
          <w:rFonts w:ascii="Arial" w:cs="Arial" w:eastAsia="Arial" w:hAnsi="Arial"/>
          <w:sz w:val="14"/>
          <w:szCs w:val="14"/>
          <w:color w:val="255993"/>
        </w:rPr>
      </w:pPr>
    </w:p>
    <w:p>
      <w:pPr>
        <w:ind w:left="320" w:right="80" w:hanging="224"/>
        <w:spacing w:after="0" w:line="252" w:lineRule="auto"/>
        <w:tabs>
          <w:tab w:leader="none" w:pos="320" w:val="left"/>
        </w:tabs>
        <w:numPr>
          <w:ilvl w:val="0"/>
          <w:numId w:val="27"/>
        </w:numPr>
        <w:rPr>
          <w:rFonts w:ascii="Arial" w:cs="Arial" w:eastAsia="Arial" w:hAnsi="Arial"/>
          <w:sz w:val="14"/>
          <w:szCs w:val="14"/>
          <w:color w:val="255993"/>
        </w:rPr>
      </w:pPr>
      <w:r>
        <w:rPr>
          <w:rFonts w:ascii="Arial" w:cs="Arial" w:eastAsia="Arial" w:hAnsi="Arial"/>
          <w:sz w:val="14"/>
          <w:szCs w:val="14"/>
          <w:color w:val="255993"/>
        </w:rPr>
        <w:t>Represents cash stipends paid to Dr. Moebius under the terms of his employment agreement to defray the costs associated with mandatory and elective benefits contributions. The reported amount for 2023 includes monthly cash stipends of $8,987 plus an additional $15,590, which is equal to 9.061% of the cash bonus earned by Dr. Moebius during 2023. The reported amount for 2022 includes monthly cash stipends of $5,200 plus an additional $12,522, which is equal to 8.465% of the cash bonus earned by Dr. Moebius during 2022. Dr. Moebius resigned as our chief medical officer in January 2024 but continues to provide advisory services to the company.</w:t>
      </w:r>
    </w:p>
    <w:p>
      <w:pPr>
        <w:spacing w:after="0" w:line="181"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35</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126365</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255993"/>
        </w:rPr>
        <w:t>Executive Compensation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OUTSTANDING EQUITY AWARDS AT DECEMBER 31, 2023</w:t>
      </w:r>
    </w:p>
    <w:p>
      <w:pPr>
        <w:spacing w:after="0" w:line="108"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following table shows grants of stock options and restricted stock units to each of our named executive officers outstanding at December 31, 2023.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337"/>
        </w:trPr>
        <w:tc>
          <w:tcPr>
            <w:tcW w:w="1440" w:type="dxa"/>
            <w:vAlign w:val="bottom"/>
            <w:shd w:val="clear" w:color="auto" w:fill="255993"/>
          </w:tcPr>
          <w:p>
            <w:pPr>
              <w:spacing w:after="0"/>
              <w:rPr>
                <w:sz w:val="24"/>
                <w:szCs w:val="24"/>
                <w:color w:val="auto"/>
              </w:rPr>
            </w:pPr>
          </w:p>
        </w:tc>
        <w:tc>
          <w:tcPr>
            <w:tcW w:w="1520" w:type="dxa"/>
            <w:vAlign w:val="bottom"/>
            <w:shd w:val="clear" w:color="auto" w:fill="255993"/>
          </w:tcPr>
          <w:p>
            <w:pPr>
              <w:spacing w:after="0"/>
              <w:rPr>
                <w:sz w:val="24"/>
                <w:szCs w:val="24"/>
                <w:color w:val="auto"/>
              </w:rPr>
            </w:pPr>
          </w:p>
        </w:tc>
        <w:tc>
          <w:tcPr>
            <w:tcW w:w="1160" w:type="dxa"/>
            <w:vAlign w:val="bottom"/>
            <w:shd w:val="clear" w:color="auto" w:fill="255993"/>
          </w:tcPr>
          <w:p>
            <w:pPr>
              <w:spacing w:after="0"/>
              <w:rPr>
                <w:sz w:val="24"/>
                <w:szCs w:val="24"/>
                <w:color w:val="auto"/>
              </w:rPr>
            </w:pPr>
          </w:p>
        </w:tc>
        <w:tc>
          <w:tcPr>
            <w:tcW w:w="1320" w:type="dxa"/>
            <w:vAlign w:val="bottom"/>
            <w:shd w:val="clear" w:color="auto" w:fill="255993"/>
          </w:tcPr>
          <w:p>
            <w:pPr>
              <w:spacing w:after="0"/>
              <w:rPr>
                <w:sz w:val="24"/>
                <w:szCs w:val="24"/>
                <w:color w:val="auto"/>
              </w:rPr>
            </w:pPr>
          </w:p>
        </w:tc>
        <w:tc>
          <w:tcPr>
            <w:tcW w:w="900" w:type="dxa"/>
            <w:vAlign w:val="bottom"/>
            <w:shd w:val="clear" w:color="auto" w:fill="255993"/>
          </w:tcPr>
          <w:p>
            <w:pPr>
              <w:spacing w:after="0"/>
              <w:rPr>
                <w:sz w:val="24"/>
                <w:szCs w:val="24"/>
                <w:color w:val="auto"/>
              </w:rPr>
            </w:pPr>
          </w:p>
        </w:tc>
        <w:tc>
          <w:tcPr>
            <w:tcW w:w="1160" w:type="dxa"/>
            <w:vAlign w:val="bottom"/>
            <w:shd w:val="clear" w:color="auto" w:fill="255993"/>
          </w:tcPr>
          <w:p>
            <w:pPr>
              <w:spacing w:after="0"/>
              <w:rPr>
                <w:sz w:val="24"/>
                <w:szCs w:val="24"/>
                <w:color w:val="auto"/>
              </w:rPr>
            </w:pPr>
          </w:p>
        </w:tc>
        <w:tc>
          <w:tcPr>
            <w:tcW w:w="1900" w:type="dxa"/>
            <w:vAlign w:val="bottom"/>
            <w:gridSpan w:val="2"/>
            <w:shd w:val="clear" w:color="auto" w:fill="255993"/>
          </w:tcPr>
          <w:p>
            <w:pPr>
              <w:jc w:val="right"/>
              <w:ind w:right="245"/>
              <w:spacing w:after="0"/>
              <w:rPr>
                <w:sz w:val="20"/>
                <w:szCs w:val="20"/>
                <w:color w:val="auto"/>
              </w:rPr>
            </w:pPr>
            <w:r>
              <w:rPr>
                <w:rFonts w:ascii="Arial" w:cs="Arial" w:eastAsia="Arial" w:hAnsi="Arial"/>
                <w:sz w:val="16"/>
                <w:szCs w:val="16"/>
                <w:b w:val="1"/>
                <w:bCs w:val="1"/>
                <w:color w:val="FFFFFF"/>
              </w:rPr>
              <w:t>Stock Awards</w:t>
            </w:r>
          </w:p>
        </w:tc>
        <w:tc>
          <w:tcPr>
            <w:tcW w:w="0" w:type="dxa"/>
            <w:vAlign w:val="bottom"/>
          </w:tcPr>
          <w:p>
            <w:pPr>
              <w:spacing w:after="0"/>
              <w:rPr>
                <w:sz w:val="1"/>
                <w:szCs w:val="1"/>
                <w:color w:val="auto"/>
              </w:rPr>
            </w:pPr>
          </w:p>
        </w:tc>
      </w:tr>
      <w:tr>
        <w:trPr>
          <w:trHeight w:val="223"/>
        </w:trPr>
        <w:tc>
          <w:tcPr>
            <w:tcW w:w="1440" w:type="dxa"/>
            <w:vAlign w:val="bottom"/>
            <w:shd w:val="clear" w:color="auto" w:fill="255993"/>
          </w:tcPr>
          <w:p>
            <w:pPr>
              <w:spacing w:after="0"/>
              <w:rPr>
                <w:sz w:val="19"/>
                <w:szCs w:val="19"/>
                <w:color w:val="auto"/>
              </w:rPr>
            </w:pPr>
          </w:p>
        </w:tc>
        <w:tc>
          <w:tcPr>
            <w:tcW w:w="1520" w:type="dxa"/>
            <w:vAlign w:val="bottom"/>
            <w:shd w:val="clear" w:color="auto" w:fill="255993"/>
          </w:tcPr>
          <w:p>
            <w:pPr>
              <w:spacing w:after="0"/>
              <w:rPr>
                <w:sz w:val="19"/>
                <w:szCs w:val="19"/>
                <w:color w:val="auto"/>
              </w:rPr>
            </w:pPr>
          </w:p>
        </w:tc>
        <w:tc>
          <w:tcPr>
            <w:tcW w:w="4540" w:type="dxa"/>
            <w:vAlign w:val="bottom"/>
            <w:gridSpan w:val="4"/>
            <w:shd w:val="clear" w:color="auto" w:fill="255993"/>
          </w:tcPr>
          <w:p>
            <w:pPr>
              <w:jc w:val="right"/>
              <w:ind w:right="187"/>
              <w:spacing w:after="0"/>
              <w:rPr>
                <w:sz w:val="20"/>
                <w:szCs w:val="20"/>
                <w:color w:val="auto"/>
              </w:rPr>
            </w:pPr>
            <w:r>
              <w:rPr>
                <w:rFonts w:ascii="Arial" w:cs="Arial" w:eastAsia="Arial" w:hAnsi="Arial"/>
                <w:sz w:val="16"/>
                <w:szCs w:val="16"/>
                <w:b w:val="1"/>
                <w:bCs w:val="1"/>
                <w:color w:val="FFFFFF"/>
              </w:rPr>
              <w:t>Number of Securities Underlying Unexercised Options</w:t>
            </w:r>
          </w:p>
        </w:tc>
        <w:tc>
          <w:tcPr>
            <w:tcW w:w="1900" w:type="dxa"/>
            <w:vAlign w:val="bottom"/>
            <w:gridSpan w:val="2"/>
            <w:shd w:val="clear" w:color="auto" w:fill="255993"/>
          </w:tcPr>
          <w:p>
            <w:pPr>
              <w:jc w:val="right"/>
              <w:ind w:right="345"/>
              <w:spacing w:after="0"/>
              <w:rPr>
                <w:sz w:val="20"/>
                <w:szCs w:val="20"/>
                <w:color w:val="auto"/>
              </w:rPr>
            </w:pPr>
            <w:r>
              <w:rPr>
                <w:rFonts w:ascii="Arial" w:cs="Arial" w:eastAsia="Arial" w:hAnsi="Arial"/>
                <w:sz w:val="16"/>
                <w:szCs w:val="16"/>
                <w:b w:val="1"/>
                <w:bCs w:val="1"/>
                <w:color w:val="FFFFFF"/>
              </w:rPr>
              <w:t>(unvested)</w:t>
            </w:r>
          </w:p>
        </w:tc>
        <w:tc>
          <w:tcPr>
            <w:tcW w:w="0" w:type="dxa"/>
            <w:vAlign w:val="bottom"/>
          </w:tcPr>
          <w:p>
            <w:pPr>
              <w:spacing w:after="0"/>
              <w:rPr>
                <w:sz w:val="1"/>
                <w:szCs w:val="1"/>
                <w:color w:val="auto"/>
              </w:rPr>
            </w:pPr>
          </w:p>
        </w:tc>
      </w:tr>
      <w:tr>
        <w:trPr>
          <w:trHeight w:val="331"/>
        </w:trPr>
        <w:tc>
          <w:tcPr>
            <w:tcW w:w="1440" w:type="dxa"/>
            <w:vAlign w:val="bottom"/>
            <w:shd w:val="clear" w:color="auto" w:fill="255993"/>
          </w:tcPr>
          <w:p>
            <w:pPr>
              <w:spacing w:after="0"/>
              <w:rPr>
                <w:sz w:val="24"/>
                <w:szCs w:val="24"/>
                <w:color w:val="auto"/>
              </w:rPr>
            </w:pPr>
          </w:p>
        </w:tc>
        <w:tc>
          <w:tcPr>
            <w:tcW w:w="1520" w:type="dxa"/>
            <w:vAlign w:val="bottom"/>
            <w:shd w:val="clear" w:color="auto" w:fill="255993"/>
          </w:tcPr>
          <w:p>
            <w:pPr>
              <w:spacing w:after="0"/>
              <w:rPr>
                <w:sz w:val="24"/>
                <w:szCs w:val="24"/>
                <w:color w:val="auto"/>
              </w:rPr>
            </w:pPr>
          </w:p>
        </w:tc>
        <w:tc>
          <w:tcPr>
            <w:tcW w:w="1160" w:type="dxa"/>
            <w:vAlign w:val="bottom"/>
            <w:shd w:val="clear" w:color="auto" w:fill="255993"/>
          </w:tcPr>
          <w:p>
            <w:pPr>
              <w:spacing w:after="0"/>
              <w:rPr>
                <w:sz w:val="24"/>
                <w:szCs w:val="24"/>
                <w:color w:val="auto"/>
              </w:rPr>
            </w:pPr>
          </w:p>
        </w:tc>
        <w:tc>
          <w:tcPr>
            <w:tcW w:w="1320" w:type="dxa"/>
            <w:vAlign w:val="bottom"/>
            <w:shd w:val="clear" w:color="auto" w:fill="255993"/>
          </w:tcPr>
          <w:p>
            <w:pPr>
              <w:spacing w:after="0"/>
              <w:rPr>
                <w:sz w:val="24"/>
                <w:szCs w:val="24"/>
                <w:color w:val="auto"/>
              </w:rPr>
            </w:pPr>
          </w:p>
        </w:tc>
        <w:tc>
          <w:tcPr>
            <w:tcW w:w="900" w:type="dxa"/>
            <w:vAlign w:val="bottom"/>
            <w:shd w:val="clear" w:color="auto" w:fill="255993"/>
          </w:tcPr>
          <w:p>
            <w:pPr>
              <w:spacing w:after="0"/>
              <w:rPr>
                <w:sz w:val="24"/>
                <w:szCs w:val="24"/>
                <w:color w:val="auto"/>
              </w:rPr>
            </w:pPr>
          </w:p>
        </w:tc>
        <w:tc>
          <w:tcPr>
            <w:tcW w:w="1160" w:type="dxa"/>
            <w:vAlign w:val="bottom"/>
            <w:shd w:val="clear" w:color="auto" w:fill="255993"/>
          </w:tcPr>
          <w:p>
            <w:pPr>
              <w:spacing w:after="0"/>
              <w:rPr>
                <w:sz w:val="24"/>
                <w:szCs w:val="24"/>
                <w:color w:val="auto"/>
              </w:rPr>
            </w:pPr>
          </w:p>
        </w:tc>
        <w:tc>
          <w:tcPr>
            <w:tcW w:w="1160" w:type="dxa"/>
            <w:vAlign w:val="bottom"/>
            <w:shd w:val="clear" w:color="auto" w:fill="255993"/>
          </w:tcPr>
          <w:p>
            <w:pPr>
              <w:spacing w:after="0"/>
              <w:rPr>
                <w:sz w:val="24"/>
                <w:szCs w:val="24"/>
                <w:color w:val="auto"/>
              </w:rPr>
            </w:pPr>
          </w:p>
        </w:tc>
        <w:tc>
          <w:tcPr>
            <w:tcW w:w="74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Market</w:t>
            </w:r>
          </w:p>
        </w:tc>
        <w:tc>
          <w:tcPr>
            <w:tcW w:w="0" w:type="dxa"/>
            <w:vAlign w:val="bottom"/>
          </w:tcPr>
          <w:p>
            <w:pPr>
              <w:spacing w:after="0"/>
              <w:rPr>
                <w:sz w:val="1"/>
                <w:szCs w:val="1"/>
                <w:color w:val="auto"/>
              </w:rPr>
            </w:pPr>
          </w:p>
        </w:tc>
      </w:tr>
      <w:tr>
        <w:trPr>
          <w:trHeight w:val="189"/>
        </w:trPr>
        <w:tc>
          <w:tcPr>
            <w:tcW w:w="1440" w:type="dxa"/>
            <w:vAlign w:val="bottom"/>
            <w:shd w:val="clear" w:color="auto" w:fill="255993"/>
          </w:tcPr>
          <w:p>
            <w:pPr>
              <w:spacing w:after="0"/>
              <w:rPr>
                <w:sz w:val="16"/>
                <w:szCs w:val="16"/>
                <w:color w:val="auto"/>
              </w:rPr>
            </w:pPr>
          </w:p>
        </w:tc>
        <w:tc>
          <w:tcPr>
            <w:tcW w:w="1520" w:type="dxa"/>
            <w:vAlign w:val="bottom"/>
            <w:shd w:val="clear" w:color="auto" w:fill="255993"/>
          </w:tcPr>
          <w:p>
            <w:pPr>
              <w:spacing w:after="0"/>
              <w:rPr>
                <w:sz w:val="16"/>
                <w:szCs w:val="16"/>
                <w:color w:val="auto"/>
              </w:rPr>
            </w:pPr>
          </w:p>
        </w:tc>
        <w:tc>
          <w:tcPr>
            <w:tcW w:w="1160" w:type="dxa"/>
            <w:vAlign w:val="bottom"/>
            <w:shd w:val="clear" w:color="auto" w:fill="255993"/>
          </w:tcPr>
          <w:p>
            <w:pPr>
              <w:spacing w:after="0"/>
              <w:rPr>
                <w:sz w:val="16"/>
                <w:szCs w:val="16"/>
                <w:color w:val="auto"/>
              </w:rPr>
            </w:pPr>
          </w:p>
        </w:tc>
        <w:tc>
          <w:tcPr>
            <w:tcW w:w="1320" w:type="dxa"/>
            <w:vAlign w:val="bottom"/>
            <w:shd w:val="clear" w:color="auto" w:fill="255993"/>
          </w:tcPr>
          <w:p>
            <w:pPr>
              <w:spacing w:after="0"/>
              <w:rPr>
                <w:sz w:val="16"/>
                <w:szCs w:val="16"/>
                <w:color w:val="auto"/>
              </w:rPr>
            </w:pPr>
          </w:p>
        </w:tc>
        <w:tc>
          <w:tcPr>
            <w:tcW w:w="900" w:type="dxa"/>
            <w:vAlign w:val="bottom"/>
            <w:shd w:val="clear" w:color="auto" w:fill="255993"/>
          </w:tcPr>
          <w:p>
            <w:pPr>
              <w:spacing w:after="0"/>
              <w:rPr>
                <w:sz w:val="16"/>
                <w:szCs w:val="16"/>
                <w:color w:val="auto"/>
              </w:rPr>
            </w:pPr>
          </w:p>
        </w:tc>
        <w:tc>
          <w:tcPr>
            <w:tcW w:w="1160" w:type="dxa"/>
            <w:vAlign w:val="bottom"/>
            <w:shd w:val="clear" w:color="auto" w:fill="255993"/>
          </w:tcPr>
          <w:p>
            <w:pPr>
              <w:spacing w:after="0"/>
              <w:rPr>
                <w:sz w:val="16"/>
                <w:szCs w:val="16"/>
                <w:color w:val="auto"/>
              </w:rPr>
            </w:pPr>
          </w:p>
        </w:tc>
        <w:tc>
          <w:tcPr>
            <w:tcW w:w="1160" w:type="dxa"/>
            <w:vAlign w:val="bottom"/>
            <w:shd w:val="clear" w:color="auto" w:fill="255993"/>
          </w:tcPr>
          <w:p>
            <w:pPr>
              <w:spacing w:after="0"/>
              <w:rPr>
                <w:sz w:val="16"/>
                <w:szCs w:val="16"/>
                <w:color w:val="auto"/>
              </w:rPr>
            </w:pPr>
          </w:p>
        </w:tc>
        <w:tc>
          <w:tcPr>
            <w:tcW w:w="74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value</w:t>
            </w:r>
          </w:p>
        </w:tc>
        <w:tc>
          <w:tcPr>
            <w:tcW w:w="0" w:type="dxa"/>
            <w:vAlign w:val="bottom"/>
          </w:tcPr>
          <w:p>
            <w:pPr>
              <w:spacing w:after="0"/>
              <w:rPr>
                <w:sz w:val="1"/>
                <w:szCs w:val="1"/>
                <w:color w:val="auto"/>
              </w:rPr>
            </w:pPr>
          </w:p>
        </w:tc>
      </w:tr>
      <w:tr>
        <w:trPr>
          <w:trHeight w:val="189"/>
        </w:trPr>
        <w:tc>
          <w:tcPr>
            <w:tcW w:w="1440" w:type="dxa"/>
            <w:vAlign w:val="bottom"/>
            <w:shd w:val="clear" w:color="auto" w:fill="255993"/>
          </w:tcPr>
          <w:p>
            <w:pPr>
              <w:spacing w:after="0"/>
              <w:rPr>
                <w:sz w:val="16"/>
                <w:szCs w:val="16"/>
                <w:color w:val="auto"/>
              </w:rPr>
            </w:pPr>
          </w:p>
        </w:tc>
        <w:tc>
          <w:tcPr>
            <w:tcW w:w="1520" w:type="dxa"/>
            <w:vAlign w:val="bottom"/>
            <w:vMerge w:val="restart"/>
            <w:shd w:val="clear" w:color="auto" w:fill="255993"/>
          </w:tcPr>
          <w:p>
            <w:pPr>
              <w:jc w:val="right"/>
              <w:ind w:right="26"/>
              <w:spacing w:after="0"/>
              <w:rPr>
                <w:sz w:val="20"/>
                <w:szCs w:val="20"/>
                <w:color w:val="auto"/>
              </w:rPr>
            </w:pPr>
            <w:r>
              <w:rPr>
                <w:rFonts w:ascii="Arial" w:cs="Arial" w:eastAsia="Arial" w:hAnsi="Arial"/>
                <w:sz w:val="16"/>
                <w:szCs w:val="16"/>
                <w:b w:val="1"/>
                <w:bCs w:val="1"/>
                <w:color w:val="FFFFFF"/>
              </w:rPr>
              <w:t>Vesting</w:t>
            </w:r>
          </w:p>
        </w:tc>
        <w:tc>
          <w:tcPr>
            <w:tcW w:w="1160" w:type="dxa"/>
            <w:vAlign w:val="bottom"/>
            <w:shd w:val="clear" w:color="auto" w:fill="255993"/>
          </w:tcPr>
          <w:p>
            <w:pPr>
              <w:spacing w:after="0"/>
              <w:rPr>
                <w:sz w:val="16"/>
                <w:szCs w:val="16"/>
                <w:color w:val="auto"/>
              </w:rPr>
            </w:pPr>
          </w:p>
        </w:tc>
        <w:tc>
          <w:tcPr>
            <w:tcW w:w="1320" w:type="dxa"/>
            <w:vAlign w:val="bottom"/>
            <w:shd w:val="clear" w:color="auto" w:fill="255993"/>
          </w:tcPr>
          <w:p>
            <w:pPr>
              <w:spacing w:after="0"/>
              <w:rPr>
                <w:sz w:val="16"/>
                <w:szCs w:val="16"/>
                <w:color w:val="auto"/>
              </w:rPr>
            </w:pPr>
          </w:p>
        </w:tc>
        <w:tc>
          <w:tcPr>
            <w:tcW w:w="900" w:type="dxa"/>
            <w:vAlign w:val="bottom"/>
            <w:shd w:val="clear" w:color="auto" w:fill="255993"/>
          </w:tcPr>
          <w:p>
            <w:pPr>
              <w:jc w:val="right"/>
              <w:ind w:right="66"/>
              <w:spacing w:after="0"/>
              <w:rPr>
                <w:sz w:val="20"/>
                <w:szCs w:val="20"/>
                <w:color w:val="auto"/>
              </w:rPr>
            </w:pPr>
            <w:r>
              <w:rPr>
                <w:rFonts w:ascii="Arial" w:cs="Arial" w:eastAsia="Arial" w:hAnsi="Arial"/>
                <w:sz w:val="16"/>
                <w:szCs w:val="16"/>
                <w:b w:val="1"/>
                <w:bCs w:val="1"/>
                <w:color w:val="FFFFFF"/>
              </w:rPr>
              <w:t>Option</w:t>
            </w:r>
          </w:p>
        </w:tc>
        <w:tc>
          <w:tcPr>
            <w:tcW w:w="1160" w:type="dxa"/>
            <w:vAlign w:val="bottom"/>
            <w:shd w:val="clear" w:color="auto" w:fill="255993"/>
          </w:tcPr>
          <w:p>
            <w:pPr>
              <w:spacing w:after="0"/>
              <w:rPr>
                <w:sz w:val="16"/>
                <w:szCs w:val="16"/>
                <w:color w:val="auto"/>
              </w:rPr>
            </w:pPr>
          </w:p>
        </w:tc>
        <w:tc>
          <w:tcPr>
            <w:tcW w:w="1160" w:type="dxa"/>
            <w:vAlign w:val="bottom"/>
            <w:shd w:val="clear" w:color="auto" w:fill="255993"/>
          </w:tcPr>
          <w:p>
            <w:pPr>
              <w:spacing w:after="0"/>
              <w:rPr>
                <w:sz w:val="16"/>
                <w:szCs w:val="16"/>
                <w:color w:val="auto"/>
              </w:rPr>
            </w:pPr>
          </w:p>
        </w:tc>
        <w:tc>
          <w:tcPr>
            <w:tcW w:w="74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of</w:t>
            </w:r>
          </w:p>
        </w:tc>
        <w:tc>
          <w:tcPr>
            <w:tcW w:w="0" w:type="dxa"/>
            <w:vAlign w:val="bottom"/>
          </w:tcPr>
          <w:p>
            <w:pPr>
              <w:spacing w:after="0"/>
              <w:rPr>
                <w:sz w:val="1"/>
                <w:szCs w:val="1"/>
                <w:color w:val="auto"/>
              </w:rPr>
            </w:pPr>
          </w:p>
        </w:tc>
      </w:tr>
      <w:tr>
        <w:trPr>
          <w:trHeight w:val="163"/>
        </w:trPr>
        <w:tc>
          <w:tcPr>
            <w:tcW w:w="1440" w:type="dxa"/>
            <w:vAlign w:val="bottom"/>
            <w:shd w:val="clear" w:color="auto" w:fill="255993"/>
          </w:tcPr>
          <w:p>
            <w:pPr>
              <w:spacing w:after="0"/>
              <w:rPr>
                <w:sz w:val="14"/>
                <w:szCs w:val="14"/>
                <w:color w:val="auto"/>
              </w:rPr>
            </w:pPr>
          </w:p>
        </w:tc>
        <w:tc>
          <w:tcPr>
            <w:tcW w:w="1520" w:type="dxa"/>
            <w:vAlign w:val="bottom"/>
            <w:vMerge w:val="continue"/>
            <w:shd w:val="clear" w:color="auto" w:fill="255993"/>
          </w:tcPr>
          <w:p>
            <w:pPr>
              <w:spacing w:after="0"/>
              <w:rPr>
                <w:sz w:val="14"/>
                <w:szCs w:val="14"/>
                <w:color w:val="auto"/>
              </w:rPr>
            </w:pPr>
          </w:p>
        </w:tc>
        <w:tc>
          <w:tcPr>
            <w:tcW w:w="1160" w:type="dxa"/>
            <w:vAlign w:val="bottom"/>
            <w:shd w:val="clear" w:color="auto" w:fill="255993"/>
          </w:tcPr>
          <w:p>
            <w:pPr>
              <w:spacing w:after="0"/>
              <w:rPr>
                <w:sz w:val="14"/>
                <w:szCs w:val="14"/>
                <w:color w:val="auto"/>
              </w:rPr>
            </w:pPr>
          </w:p>
        </w:tc>
        <w:tc>
          <w:tcPr>
            <w:tcW w:w="1320" w:type="dxa"/>
            <w:vAlign w:val="bottom"/>
            <w:shd w:val="clear" w:color="auto" w:fill="255993"/>
          </w:tcPr>
          <w:p>
            <w:pPr>
              <w:spacing w:after="0"/>
              <w:rPr>
                <w:sz w:val="14"/>
                <w:szCs w:val="14"/>
                <w:color w:val="auto"/>
              </w:rPr>
            </w:pPr>
          </w:p>
        </w:tc>
        <w:tc>
          <w:tcPr>
            <w:tcW w:w="900" w:type="dxa"/>
            <w:vAlign w:val="bottom"/>
            <w:shd w:val="clear" w:color="auto" w:fill="255993"/>
          </w:tcPr>
          <w:p>
            <w:pPr>
              <w:jc w:val="right"/>
              <w:ind w:right="66"/>
              <w:spacing w:after="0" w:line="163" w:lineRule="exact"/>
              <w:rPr>
                <w:sz w:val="20"/>
                <w:szCs w:val="20"/>
                <w:color w:val="auto"/>
              </w:rPr>
            </w:pPr>
            <w:r>
              <w:rPr>
                <w:rFonts w:ascii="Arial" w:cs="Arial" w:eastAsia="Arial" w:hAnsi="Arial"/>
                <w:sz w:val="16"/>
                <w:szCs w:val="16"/>
                <w:b w:val="1"/>
                <w:bCs w:val="1"/>
                <w:color w:val="FFFFFF"/>
              </w:rPr>
              <w:t>Exercise</w:t>
            </w:r>
          </w:p>
        </w:tc>
        <w:tc>
          <w:tcPr>
            <w:tcW w:w="1160" w:type="dxa"/>
            <w:vAlign w:val="bottom"/>
            <w:shd w:val="clear" w:color="auto" w:fill="255993"/>
          </w:tcPr>
          <w:p>
            <w:pPr>
              <w:spacing w:after="0"/>
              <w:rPr>
                <w:sz w:val="14"/>
                <w:szCs w:val="14"/>
                <w:color w:val="auto"/>
              </w:rPr>
            </w:pPr>
          </w:p>
        </w:tc>
        <w:tc>
          <w:tcPr>
            <w:tcW w:w="1160" w:type="dxa"/>
            <w:vAlign w:val="bottom"/>
            <w:shd w:val="clear" w:color="auto" w:fill="255993"/>
          </w:tcPr>
          <w:p>
            <w:pPr>
              <w:jc w:val="right"/>
              <w:ind w:right="26"/>
              <w:spacing w:after="0" w:line="163" w:lineRule="exact"/>
              <w:rPr>
                <w:sz w:val="20"/>
                <w:szCs w:val="20"/>
                <w:color w:val="auto"/>
              </w:rPr>
            </w:pPr>
            <w:r>
              <w:rPr>
                <w:rFonts w:ascii="Arial" w:cs="Arial" w:eastAsia="Arial" w:hAnsi="Arial"/>
                <w:sz w:val="16"/>
                <w:szCs w:val="16"/>
                <w:b w:val="1"/>
                <w:bCs w:val="1"/>
                <w:color w:val="FFFFFF"/>
              </w:rPr>
              <w:t>Number of</w:t>
            </w:r>
          </w:p>
        </w:tc>
        <w:tc>
          <w:tcPr>
            <w:tcW w:w="740" w:type="dxa"/>
            <w:vAlign w:val="bottom"/>
            <w:shd w:val="clear" w:color="auto" w:fill="255993"/>
          </w:tcPr>
          <w:p>
            <w:pPr>
              <w:jc w:val="right"/>
              <w:spacing w:after="0" w:line="163" w:lineRule="exact"/>
              <w:rPr>
                <w:sz w:val="20"/>
                <w:szCs w:val="20"/>
                <w:color w:val="auto"/>
              </w:rPr>
            </w:pPr>
            <w:r>
              <w:rPr>
                <w:rFonts w:ascii="Arial" w:cs="Arial" w:eastAsia="Arial" w:hAnsi="Arial"/>
                <w:sz w:val="16"/>
                <w:szCs w:val="16"/>
                <w:b w:val="1"/>
                <w:bCs w:val="1"/>
                <w:color w:val="FFFFFF"/>
              </w:rPr>
              <w:t>shares</w:t>
            </w:r>
          </w:p>
        </w:tc>
        <w:tc>
          <w:tcPr>
            <w:tcW w:w="0" w:type="dxa"/>
            <w:vAlign w:val="bottom"/>
          </w:tcPr>
          <w:p>
            <w:pPr>
              <w:spacing w:after="0"/>
              <w:rPr>
                <w:sz w:val="1"/>
                <w:szCs w:val="1"/>
                <w:color w:val="auto"/>
              </w:rPr>
            </w:pPr>
          </w:p>
        </w:tc>
      </w:tr>
      <w:tr>
        <w:trPr>
          <w:trHeight w:val="189"/>
        </w:trPr>
        <w:tc>
          <w:tcPr>
            <w:tcW w:w="1440" w:type="dxa"/>
            <w:vAlign w:val="bottom"/>
            <w:shd w:val="clear" w:color="auto" w:fill="255993"/>
          </w:tcPr>
          <w:p>
            <w:pPr>
              <w:spacing w:after="0"/>
              <w:rPr>
                <w:sz w:val="16"/>
                <w:szCs w:val="16"/>
                <w:color w:val="auto"/>
              </w:rPr>
            </w:pPr>
          </w:p>
        </w:tc>
        <w:tc>
          <w:tcPr>
            <w:tcW w:w="1520" w:type="dxa"/>
            <w:vAlign w:val="bottom"/>
            <w:shd w:val="clear" w:color="auto" w:fill="255993"/>
          </w:tcPr>
          <w:p>
            <w:pPr>
              <w:jc w:val="right"/>
              <w:ind w:right="26"/>
              <w:spacing w:after="0"/>
              <w:rPr>
                <w:sz w:val="20"/>
                <w:szCs w:val="20"/>
                <w:color w:val="auto"/>
              </w:rPr>
            </w:pPr>
            <w:r>
              <w:rPr>
                <w:rFonts w:ascii="Arial" w:cs="Arial" w:eastAsia="Arial" w:hAnsi="Arial"/>
                <w:sz w:val="16"/>
                <w:szCs w:val="16"/>
                <w:b w:val="1"/>
                <w:bCs w:val="1"/>
                <w:color w:val="FFFFFF"/>
              </w:rPr>
              <w:t>Commencement</w:t>
            </w:r>
          </w:p>
        </w:tc>
        <w:tc>
          <w:tcPr>
            <w:tcW w:w="1160" w:type="dxa"/>
            <w:vAlign w:val="bottom"/>
            <w:shd w:val="clear" w:color="auto" w:fill="255993"/>
          </w:tcPr>
          <w:p>
            <w:pPr>
              <w:jc w:val="right"/>
              <w:ind w:right="66"/>
              <w:spacing w:after="0"/>
              <w:rPr>
                <w:sz w:val="20"/>
                <w:szCs w:val="20"/>
                <w:color w:val="auto"/>
              </w:rPr>
            </w:pPr>
            <w:r>
              <w:rPr>
                <w:rFonts w:ascii="Arial" w:cs="Arial" w:eastAsia="Arial" w:hAnsi="Arial"/>
                <w:sz w:val="16"/>
                <w:szCs w:val="16"/>
                <w:b w:val="1"/>
                <w:bCs w:val="1"/>
                <w:color w:val="FFFFFF"/>
              </w:rPr>
              <w:t>Exercisable</w:t>
            </w:r>
          </w:p>
        </w:tc>
        <w:tc>
          <w:tcPr>
            <w:tcW w:w="1320" w:type="dxa"/>
            <w:vAlign w:val="bottom"/>
            <w:shd w:val="clear" w:color="auto" w:fill="255993"/>
          </w:tcPr>
          <w:p>
            <w:pPr>
              <w:jc w:val="right"/>
              <w:ind w:right="67"/>
              <w:spacing w:after="0"/>
              <w:rPr>
                <w:sz w:val="20"/>
                <w:szCs w:val="20"/>
                <w:color w:val="auto"/>
              </w:rPr>
            </w:pPr>
            <w:r>
              <w:rPr>
                <w:rFonts w:ascii="Arial" w:cs="Arial" w:eastAsia="Arial" w:hAnsi="Arial"/>
                <w:sz w:val="16"/>
                <w:szCs w:val="16"/>
                <w:b w:val="1"/>
                <w:bCs w:val="1"/>
                <w:color w:val="FFFFFF"/>
              </w:rPr>
              <w:t>Unexercisable</w:t>
            </w:r>
          </w:p>
        </w:tc>
        <w:tc>
          <w:tcPr>
            <w:tcW w:w="900" w:type="dxa"/>
            <w:vAlign w:val="bottom"/>
            <w:shd w:val="clear" w:color="auto" w:fill="255993"/>
          </w:tcPr>
          <w:p>
            <w:pPr>
              <w:jc w:val="right"/>
              <w:ind w:right="66"/>
              <w:spacing w:after="0"/>
              <w:rPr>
                <w:sz w:val="20"/>
                <w:szCs w:val="20"/>
                <w:color w:val="auto"/>
              </w:rPr>
            </w:pPr>
            <w:r>
              <w:rPr>
                <w:rFonts w:ascii="Arial" w:cs="Arial" w:eastAsia="Arial" w:hAnsi="Arial"/>
                <w:sz w:val="16"/>
                <w:szCs w:val="16"/>
                <w:b w:val="1"/>
                <w:bCs w:val="1"/>
                <w:color w:val="FFFFFF"/>
              </w:rPr>
              <w:t>Price</w:t>
            </w:r>
          </w:p>
        </w:tc>
        <w:tc>
          <w:tcPr>
            <w:tcW w:w="1160" w:type="dxa"/>
            <w:vAlign w:val="bottom"/>
            <w:shd w:val="clear" w:color="auto" w:fill="255993"/>
          </w:tcPr>
          <w:p>
            <w:pPr>
              <w:jc w:val="right"/>
              <w:ind w:right="207"/>
              <w:spacing w:after="0"/>
              <w:rPr>
                <w:sz w:val="20"/>
                <w:szCs w:val="20"/>
                <w:color w:val="auto"/>
              </w:rPr>
            </w:pPr>
            <w:r>
              <w:rPr>
                <w:rFonts w:ascii="Arial" w:cs="Arial" w:eastAsia="Arial" w:hAnsi="Arial"/>
                <w:sz w:val="16"/>
                <w:szCs w:val="16"/>
                <w:b w:val="1"/>
                <w:bCs w:val="1"/>
                <w:color w:val="FFFFFF"/>
              </w:rPr>
              <w:t>Expiration</w:t>
            </w:r>
          </w:p>
        </w:tc>
        <w:tc>
          <w:tcPr>
            <w:tcW w:w="1160" w:type="dxa"/>
            <w:vAlign w:val="bottom"/>
            <w:shd w:val="clear" w:color="auto" w:fill="255993"/>
          </w:tcPr>
          <w:p>
            <w:pPr>
              <w:jc w:val="right"/>
              <w:ind w:right="66"/>
              <w:spacing w:after="0"/>
              <w:rPr>
                <w:sz w:val="20"/>
                <w:szCs w:val="20"/>
                <w:color w:val="auto"/>
              </w:rPr>
            </w:pPr>
            <w:r>
              <w:rPr>
                <w:rFonts w:ascii="Arial" w:cs="Arial" w:eastAsia="Arial" w:hAnsi="Arial"/>
                <w:sz w:val="16"/>
                <w:szCs w:val="16"/>
                <w:b w:val="1"/>
                <w:bCs w:val="1"/>
                <w:color w:val="FFFFFF"/>
              </w:rPr>
              <w:t>shares or</w:t>
            </w:r>
          </w:p>
        </w:tc>
        <w:tc>
          <w:tcPr>
            <w:tcW w:w="74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or units</w:t>
            </w:r>
          </w:p>
        </w:tc>
        <w:tc>
          <w:tcPr>
            <w:tcW w:w="0" w:type="dxa"/>
            <w:vAlign w:val="bottom"/>
          </w:tcPr>
          <w:p>
            <w:pPr>
              <w:spacing w:after="0"/>
              <w:rPr>
                <w:sz w:val="1"/>
                <w:szCs w:val="1"/>
                <w:color w:val="auto"/>
              </w:rPr>
            </w:pPr>
          </w:p>
        </w:tc>
      </w:tr>
      <w:tr>
        <w:trPr>
          <w:trHeight w:val="263"/>
        </w:trPr>
        <w:tc>
          <w:tcPr>
            <w:tcW w:w="1440" w:type="dxa"/>
            <w:vAlign w:val="bottom"/>
            <w:tcBorders>
              <w:bottom w:val="single" w:sz="8" w:color="255993"/>
            </w:tcBorders>
            <w:shd w:val="clear" w:color="auto" w:fill="255993"/>
          </w:tcPr>
          <w:p>
            <w:pPr>
              <w:ind w:left="60"/>
              <w:spacing w:after="0"/>
              <w:rPr>
                <w:sz w:val="20"/>
                <w:szCs w:val="20"/>
                <w:color w:val="auto"/>
              </w:rPr>
            </w:pPr>
            <w:r>
              <w:rPr>
                <w:rFonts w:ascii="Arial" w:cs="Arial" w:eastAsia="Arial" w:hAnsi="Arial"/>
                <w:sz w:val="16"/>
                <w:szCs w:val="16"/>
                <w:b w:val="1"/>
                <w:bCs w:val="1"/>
                <w:color w:val="FFFFFF"/>
              </w:rPr>
              <w:t>Name</w:t>
            </w:r>
          </w:p>
        </w:tc>
        <w:tc>
          <w:tcPr>
            <w:tcW w:w="1520" w:type="dxa"/>
            <w:vAlign w:val="bottom"/>
            <w:tcBorders>
              <w:bottom w:val="single" w:sz="8" w:color="255993"/>
            </w:tcBorders>
            <w:shd w:val="clear" w:color="auto" w:fill="255993"/>
          </w:tcPr>
          <w:p>
            <w:pPr>
              <w:jc w:val="right"/>
              <w:spacing w:after="0"/>
              <w:rPr>
                <w:sz w:val="20"/>
                <w:szCs w:val="20"/>
                <w:color w:val="auto"/>
              </w:rPr>
            </w:pPr>
            <w:r>
              <w:rPr>
                <w:rFonts w:ascii="Arial" w:cs="Arial" w:eastAsia="Arial" w:hAnsi="Arial"/>
                <w:sz w:val="16"/>
                <w:szCs w:val="16"/>
                <w:b w:val="1"/>
                <w:bCs w:val="1"/>
                <w:color w:val="FFFFFF"/>
              </w:rPr>
              <w:t>Date</w:t>
            </w:r>
          </w:p>
        </w:tc>
        <w:tc>
          <w:tcPr>
            <w:tcW w:w="1160" w:type="dxa"/>
            <w:vAlign w:val="bottom"/>
            <w:tcBorders>
              <w:bottom w:val="single" w:sz="8" w:color="255993"/>
            </w:tcBorders>
            <w:shd w:val="clear" w:color="auto" w:fill="255993"/>
          </w:tcPr>
          <w:p>
            <w:pPr>
              <w:jc w:val="right"/>
              <w:ind w:right="26"/>
              <w:spacing w:after="0"/>
              <w:rPr>
                <w:sz w:val="20"/>
                <w:szCs w:val="20"/>
                <w:color w:val="auto"/>
              </w:rPr>
            </w:pPr>
            <w:r>
              <w:rPr>
                <w:rFonts w:ascii="Arial" w:cs="Arial" w:eastAsia="Arial" w:hAnsi="Arial"/>
                <w:sz w:val="16"/>
                <w:szCs w:val="16"/>
                <w:b w:val="1"/>
                <w:bCs w:val="1"/>
                <w:color w:val="FFFFFF"/>
              </w:rPr>
              <w:t>(#)</w:t>
            </w:r>
          </w:p>
        </w:tc>
        <w:tc>
          <w:tcPr>
            <w:tcW w:w="1320" w:type="dxa"/>
            <w:vAlign w:val="bottom"/>
            <w:tcBorders>
              <w:bottom w:val="single" w:sz="8" w:color="255993"/>
            </w:tcBorders>
            <w:shd w:val="clear" w:color="auto" w:fill="255993"/>
          </w:tcPr>
          <w:p>
            <w:pPr>
              <w:jc w:val="right"/>
              <w:ind w:right="7"/>
              <w:spacing w:after="0"/>
              <w:rPr>
                <w:sz w:val="20"/>
                <w:szCs w:val="20"/>
                <w:color w:val="auto"/>
              </w:rPr>
            </w:pPr>
            <w:r>
              <w:rPr>
                <w:rFonts w:ascii="Arial" w:cs="Arial" w:eastAsia="Arial" w:hAnsi="Arial"/>
                <w:sz w:val="16"/>
                <w:szCs w:val="16"/>
                <w:b w:val="1"/>
                <w:bCs w:val="1"/>
                <w:color w:val="FFFFFF"/>
              </w:rPr>
              <w:t>(#)</w:t>
            </w:r>
          </w:p>
        </w:tc>
        <w:tc>
          <w:tcPr>
            <w:tcW w:w="900" w:type="dxa"/>
            <w:vAlign w:val="bottom"/>
            <w:tcBorders>
              <w:bottom w:val="single" w:sz="8" w:color="255993"/>
            </w:tcBorders>
            <w:shd w:val="clear" w:color="auto" w:fill="255993"/>
          </w:tcPr>
          <w:p>
            <w:pPr>
              <w:jc w:val="right"/>
              <w:ind w:right="26"/>
              <w:spacing w:after="0"/>
              <w:rPr>
                <w:sz w:val="20"/>
                <w:szCs w:val="20"/>
                <w:color w:val="auto"/>
              </w:rPr>
            </w:pPr>
            <w:r>
              <w:rPr>
                <w:rFonts w:ascii="Arial" w:cs="Arial" w:eastAsia="Arial" w:hAnsi="Arial"/>
                <w:sz w:val="16"/>
                <w:szCs w:val="16"/>
                <w:b w:val="1"/>
                <w:bCs w:val="1"/>
                <w:color w:val="FFFFFF"/>
              </w:rPr>
              <w:t>($)</w:t>
            </w:r>
          </w:p>
        </w:tc>
        <w:tc>
          <w:tcPr>
            <w:tcW w:w="1160" w:type="dxa"/>
            <w:vAlign w:val="bottom"/>
            <w:tcBorders>
              <w:bottom w:val="single" w:sz="8" w:color="255993"/>
            </w:tcBorders>
            <w:shd w:val="clear" w:color="auto" w:fill="255993"/>
          </w:tcPr>
          <w:p>
            <w:pPr>
              <w:jc w:val="right"/>
              <w:ind w:right="167"/>
              <w:spacing w:after="0"/>
              <w:rPr>
                <w:sz w:val="20"/>
                <w:szCs w:val="20"/>
                <w:color w:val="auto"/>
              </w:rPr>
            </w:pPr>
            <w:r>
              <w:rPr>
                <w:rFonts w:ascii="Arial" w:cs="Arial" w:eastAsia="Arial" w:hAnsi="Arial"/>
                <w:sz w:val="16"/>
                <w:szCs w:val="16"/>
                <w:b w:val="1"/>
                <w:bCs w:val="1"/>
                <w:color w:val="FFFFFF"/>
              </w:rPr>
              <w:t>Date</w:t>
            </w:r>
          </w:p>
        </w:tc>
        <w:tc>
          <w:tcPr>
            <w:tcW w:w="1160" w:type="dxa"/>
            <w:vAlign w:val="bottom"/>
            <w:tcBorders>
              <w:bottom w:val="single" w:sz="8" w:color="255993"/>
            </w:tcBorders>
            <w:shd w:val="clear" w:color="auto" w:fill="255993"/>
          </w:tcPr>
          <w:p>
            <w:pPr>
              <w:jc w:val="right"/>
              <w:ind w:right="26"/>
              <w:spacing w:after="0"/>
              <w:rPr>
                <w:sz w:val="20"/>
                <w:szCs w:val="20"/>
                <w:color w:val="auto"/>
              </w:rPr>
            </w:pPr>
            <w:r>
              <w:rPr>
                <w:rFonts w:ascii="Arial" w:cs="Arial" w:eastAsia="Arial" w:hAnsi="Arial"/>
                <w:sz w:val="16"/>
                <w:szCs w:val="16"/>
                <w:b w:val="1"/>
                <w:bCs w:val="1"/>
                <w:color w:val="FFFFFF"/>
              </w:rPr>
              <w:t>units</w:t>
            </w:r>
          </w:p>
        </w:tc>
        <w:tc>
          <w:tcPr>
            <w:tcW w:w="740" w:type="dxa"/>
            <w:vAlign w:val="bottom"/>
            <w:tcBorders>
              <w:bottom w:val="single" w:sz="8" w:color="255993"/>
            </w:tcBorders>
            <w:shd w:val="clear" w:color="auto" w:fill="255993"/>
          </w:tcPr>
          <w:p>
            <w:pPr>
              <w:jc w:val="right"/>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63"/>
        </w:trPr>
        <w:tc>
          <w:tcPr>
            <w:tcW w:w="1440" w:type="dxa"/>
            <w:vAlign w:val="bottom"/>
            <w:tcBorders>
              <w:bottom w:val="single" w:sz="8" w:color="EBEBEB"/>
            </w:tcBorders>
            <w:shd w:val="clear" w:color="auto" w:fill="EBEBEB"/>
          </w:tcPr>
          <w:p>
            <w:pPr>
              <w:ind w:left="60"/>
              <w:spacing w:after="0"/>
              <w:rPr>
                <w:sz w:val="20"/>
                <w:szCs w:val="20"/>
                <w:color w:val="auto"/>
              </w:rPr>
            </w:pPr>
            <w:r>
              <w:rPr>
                <w:rFonts w:ascii="Arial" w:cs="Arial" w:eastAsia="Arial" w:hAnsi="Arial"/>
                <w:sz w:val="14"/>
                <w:szCs w:val="14"/>
                <w:b w:val="1"/>
                <w:bCs w:val="1"/>
                <w:color w:val="auto"/>
              </w:rPr>
              <w:t>Mark Litton, Ph.D.</w:t>
            </w:r>
          </w:p>
        </w:tc>
        <w:tc>
          <w:tcPr>
            <w:tcW w:w="1520" w:type="dxa"/>
            <w:vAlign w:val="bottom"/>
            <w:tcBorders>
              <w:bottom w:val="single" w:sz="8" w:color="EBEBEB"/>
            </w:tcBorders>
            <w:shd w:val="clear" w:color="auto" w:fill="EBEBEB"/>
          </w:tcPr>
          <w:p>
            <w:pPr>
              <w:jc w:val="right"/>
              <w:spacing w:after="0"/>
              <w:rPr>
                <w:sz w:val="20"/>
                <w:szCs w:val="20"/>
                <w:color w:val="auto"/>
              </w:rPr>
            </w:pPr>
            <w:r>
              <w:rPr>
                <w:rFonts w:ascii="Arial" w:cs="Arial" w:eastAsia="Arial" w:hAnsi="Arial"/>
                <w:sz w:val="14"/>
                <w:szCs w:val="14"/>
                <w:color w:val="auto"/>
              </w:rPr>
              <w:t>7/1/2019</w:t>
            </w:r>
          </w:p>
        </w:tc>
        <w:tc>
          <w:tcPr>
            <w:tcW w:w="1160" w:type="dxa"/>
            <w:vAlign w:val="bottom"/>
            <w:tcBorders>
              <w:bottom w:val="single" w:sz="8" w:color="EBEBEB"/>
            </w:tcBorders>
            <w:shd w:val="clear" w:color="auto" w:fill="EBEBEB"/>
          </w:tcPr>
          <w:p>
            <w:pPr>
              <w:jc w:val="right"/>
              <w:ind w:right="26"/>
              <w:spacing w:after="0"/>
              <w:rPr>
                <w:sz w:val="20"/>
                <w:szCs w:val="20"/>
                <w:color w:val="auto"/>
              </w:rPr>
            </w:pPr>
            <w:r>
              <w:rPr>
                <w:rFonts w:ascii="Arial" w:cs="Arial" w:eastAsia="Arial" w:hAnsi="Arial"/>
                <w:sz w:val="14"/>
                <w:szCs w:val="14"/>
                <w:color w:val="auto"/>
              </w:rPr>
              <w:t>100,880</w:t>
            </w:r>
          </w:p>
        </w:tc>
        <w:tc>
          <w:tcPr>
            <w:tcW w:w="1320" w:type="dxa"/>
            <w:vAlign w:val="bottom"/>
            <w:tcBorders>
              <w:bottom w:val="single" w:sz="8" w:color="EBEBEB"/>
            </w:tcBorders>
            <w:shd w:val="clear" w:color="auto" w:fill="EBEBEB"/>
          </w:tcPr>
          <w:p>
            <w:pPr>
              <w:jc w:val="right"/>
              <w:ind w:right="7"/>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EBEBEB"/>
            </w:tcBorders>
            <w:shd w:val="clear" w:color="auto" w:fill="EBEBEB"/>
          </w:tcPr>
          <w:p>
            <w:pPr>
              <w:jc w:val="right"/>
              <w:ind w:right="26"/>
              <w:spacing w:after="0"/>
              <w:rPr>
                <w:sz w:val="20"/>
                <w:szCs w:val="20"/>
                <w:color w:val="auto"/>
              </w:rPr>
            </w:pPr>
            <w:r>
              <w:rPr>
                <w:rFonts w:ascii="Arial" w:cs="Arial" w:eastAsia="Arial" w:hAnsi="Arial"/>
                <w:sz w:val="14"/>
                <w:szCs w:val="14"/>
                <w:color w:val="auto"/>
              </w:rPr>
              <w:t>1.35</w:t>
            </w:r>
          </w:p>
        </w:tc>
        <w:tc>
          <w:tcPr>
            <w:tcW w:w="1160" w:type="dxa"/>
            <w:vAlign w:val="bottom"/>
            <w:tcBorders>
              <w:bottom w:val="single" w:sz="8" w:color="EBEBEB"/>
            </w:tcBorders>
            <w:shd w:val="clear" w:color="auto" w:fill="EBEBEB"/>
          </w:tcPr>
          <w:p>
            <w:pPr>
              <w:jc w:val="right"/>
              <w:ind w:right="167"/>
              <w:spacing w:after="0"/>
              <w:rPr>
                <w:sz w:val="20"/>
                <w:szCs w:val="20"/>
                <w:color w:val="auto"/>
              </w:rPr>
            </w:pPr>
            <w:r>
              <w:rPr>
                <w:rFonts w:ascii="Arial" w:cs="Arial" w:eastAsia="Arial" w:hAnsi="Arial"/>
                <w:sz w:val="14"/>
                <w:szCs w:val="14"/>
                <w:color w:val="auto"/>
              </w:rPr>
              <w:t>8/14/2029</w:t>
            </w:r>
          </w:p>
        </w:tc>
        <w:tc>
          <w:tcPr>
            <w:tcW w:w="1160" w:type="dxa"/>
            <w:vAlign w:val="bottom"/>
            <w:tcBorders>
              <w:bottom w:val="single" w:sz="8" w:color="EBEBEB"/>
            </w:tcBorders>
            <w:shd w:val="clear" w:color="auto" w:fill="EBEBEB"/>
          </w:tcPr>
          <w:p>
            <w:pPr>
              <w:jc w:val="right"/>
              <w:ind w:right="26"/>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EBEBEB"/>
            </w:tcBorders>
            <w:shd w:val="clear" w:color="auto" w:fill="EBEBE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1"/>
        </w:trPr>
        <w:tc>
          <w:tcPr>
            <w:tcW w:w="1440" w:type="dxa"/>
            <w:vAlign w:val="bottom"/>
            <w:shd w:val="clear" w:color="auto" w:fill="FAFAFA"/>
          </w:tcPr>
          <w:p>
            <w:pPr>
              <w:spacing w:after="0"/>
              <w:rPr>
                <w:sz w:val="24"/>
                <w:szCs w:val="24"/>
                <w:color w:val="auto"/>
              </w:rPr>
            </w:pPr>
          </w:p>
        </w:tc>
        <w:tc>
          <w:tcPr>
            <w:tcW w:w="1520" w:type="dxa"/>
            <w:vAlign w:val="bottom"/>
            <w:shd w:val="clear" w:color="auto" w:fill="FAFAFA"/>
          </w:tcPr>
          <w:p>
            <w:pPr>
              <w:jc w:val="right"/>
              <w:spacing w:after="0"/>
              <w:rPr>
                <w:sz w:val="20"/>
                <w:szCs w:val="20"/>
                <w:color w:val="auto"/>
              </w:rPr>
            </w:pPr>
            <w:r>
              <w:rPr>
                <w:rFonts w:ascii="Arial" w:cs="Arial" w:eastAsia="Arial" w:hAnsi="Arial"/>
                <w:sz w:val="14"/>
                <w:szCs w:val="14"/>
                <w:color w:val="auto"/>
              </w:rPr>
              <w:t>8/26/2020</w:t>
            </w:r>
          </w:p>
        </w:tc>
        <w:tc>
          <w:tcPr>
            <w:tcW w:w="1160" w:type="dxa"/>
            <w:vAlign w:val="bottom"/>
            <w:shd w:val="clear" w:color="auto" w:fill="FAFAFA"/>
          </w:tcPr>
          <w:p>
            <w:pPr>
              <w:jc w:val="right"/>
              <w:ind w:right="26"/>
              <w:spacing w:after="0"/>
              <w:rPr>
                <w:sz w:val="20"/>
                <w:szCs w:val="20"/>
                <w:color w:val="auto"/>
              </w:rPr>
            </w:pPr>
            <w:r>
              <w:rPr>
                <w:rFonts w:ascii="Arial" w:cs="Arial" w:eastAsia="Arial" w:hAnsi="Arial"/>
                <w:sz w:val="14"/>
                <w:szCs w:val="14"/>
                <w:color w:val="auto"/>
              </w:rPr>
              <w:t>34,992</w:t>
            </w:r>
          </w:p>
        </w:tc>
        <w:tc>
          <w:tcPr>
            <w:tcW w:w="132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11,665</w:t>
            </w:r>
            <w:r>
              <w:rPr>
                <w:rFonts w:ascii="Arial" w:cs="Arial" w:eastAsia="Arial" w:hAnsi="Arial"/>
                <w:sz w:val="23"/>
                <w:szCs w:val="23"/>
                <w:color w:val="auto"/>
                <w:vertAlign w:val="superscript"/>
              </w:rPr>
              <w:t>(1)</w:t>
            </w:r>
          </w:p>
        </w:tc>
        <w:tc>
          <w:tcPr>
            <w:tcW w:w="900" w:type="dxa"/>
            <w:vAlign w:val="bottom"/>
            <w:shd w:val="clear" w:color="auto" w:fill="FAFAFA"/>
          </w:tcPr>
          <w:p>
            <w:pPr>
              <w:jc w:val="right"/>
              <w:ind w:right="26"/>
              <w:spacing w:after="0"/>
              <w:rPr>
                <w:sz w:val="20"/>
                <w:szCs w:val="20"/>
                <w:color w:val="auto"/>
              </w:rPr>
            </w:pPr>
            <w:r>
              <w:rPr>
                <w:rFonts w:ascii="Arial" w:cs="Arial" w:eastAsia="Arial" w:hAnsi="Arial"/>
                <w:sz w:val="14"/>
                <w:szCs w:val="14"/>
                <w:color w:val="auto"/>
              </w:rPr>
              <w:t>17.00</w:t>
            </w:r>
          </w:p>
        </w:tc>
        <w:tc>
          <w:tcPr>
            <w:tcW w:w="1160" w:type="dxa"/>
            <w:vAlign w:val="bottom"/>
            <w:shd w:val="clear" w:color="auto" w:fill="FAFAFA"/>
          </w:tcPr>
          <w:p>
            <w:pPr>
              <w:jc w:val="right"/>
              <w:ind w:right="167"/>
              <w:spacing w:after="0"/>
              <w:rPr>
                <w:sz w:val="20"/>
                <w:szCs w:val="20"/>
                <w:color w:val="auto"/>
              </w:rPr>
            </w:pPr>
            <w:r>
              <w:rPr>
                <w:rFonts w:ascii="Arial" w:cs="Arial" w:eastAsia="Arial" w:hAnsi="Arial"/>
                <w:sz w:val="14"/>
                <w:szCs w:val="14"/>
                <w:color w:val="auto"/>
              </w:rPr>
              <w:t>9/16/2030</w:t>
            </w:r>
          </w:p>
        </w:tc>
        <w:tc>
          <w:tcPr>
            <w:tcW w:w="1160" w:type="dxa"/>
            <w:vAlign w:val="bottom"/>
            <w:shd w:val="clear" w:color="auto" w:fill="FAFAFA"/>
          </w:tcPr>
          <w:p>
            <w:pPr>
              <w:jc w:val="right"/>
              <w:ind w:right="26"/>
              <w:spacing w:after="0"/>
              <w:rPr>
                <w:sz w:val="20"/>
                <w:szCs w:val="20"/>
                <w:color w:val="auto"/>
              </w:rPr>
            </w:pPr>
            <w:r>
              <w:rPr>
                <w:rFonts w:ascii="Arial" w:cs="Arial" w:eastAsia="Arial" w:hAnsi="Arial"/>
                <w:sz w:val="14"/>
                <w:szCs w:val="14"/>
                <w:color w:val="auto"/>
              </w:rPr>
              <w:t>—</w:t>
            </w:r>
          </w:p>
        </w:tc>
        <w:tc>
          <w:tcPr>
            <w:tcW w:w="740" w:type="dxa"/>
            <w:vAlign w:val="bottom"/>
            <w:shd w:val="clear" w:color="auto" w:fill="FAFAFA"/>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0"/>
        </w:trPr>
        <w:tc>
          <w:tcPr>
            <w:tcW w:w="1440" w:type="dxa"/>
            <w:vAlign w:val="bottom"/>
            <w:shd w:val="clear" w:color="auto" w:fill="EBEBEB"/>
          </w:tcPr>
          <w:p>
            <w:pPr>
              <w:spacing w:after="0"/>
              <w:rPr>
                <w:sz w:val="24"/>
                <w:szCs w:val="24"/>
                <w:color w:val="auto"/>
              </w:rPr>
            </w:pPr>
          </w:p>
        </w:tc>
        <w:tc>
          <w:tcPr>
            <w:tcW w:w="1520" w:type="dxa"/>
            <w:vAlign w:val="bottom"/>
            <w:shd w:val="clear" w:color="auto" w:fill="EBEBEB"/>
          </w:tcPr>
          <w:p>
            <w:pPr>
              <w:jc w:val="right"/>
              <w:spacing w:after="0"/>
              <w:rPr>
                <w:sz w:val="20"/>
                <w:szCs w:val="20"/>
                <w:color w:val="auto"/>
              </w:rPr>
            </w:pPr>
            <w:r>
              <w:rPr>
                <w:rFonts w:ascii="Arial" w:cs="Arial" w:eastAsia="Arial" w:hAnsi="Arial"/>
                <w:sz w:val="14"/>
                <w:szCs w:val="14"/>
                <w:color w:val="auto"/>
              </w:rPr>
              <w:t>1/8/2021</w:t>
            </w:r>
          </w:p>
        </w:tc>
        <w:tc>
          <w:tcPr>
            <w:tcW w:w="1160" w:type="dxa"/>
            <w:vAlign w:val="bottom"/>
            <w:shd w:val="clear" w:color="auto" w:fill="EBEBEB"/>
          </w:tcPr>
          <w:p>
            <w:pPr>
              <w:jc w:val="right"/>
              <w:ind w:right="26"/>
              <w:spacing w:after="0"/>
              <w:rPr>
                <w:sz w:val="20"/>
                <w:szCs w:val="20"/>
                <w:color w:val="auto"/>
              </w:rPr>
            </w:pPr>
            <w:r>
              <w:rPr>
                <w:rFonts w:ascii="Arial" w:cs="Arial" w:eastAsia="Arial" w:hAnsi="Arial"/>
                <w:sz w:val="14"/>
                <w:szCs w:val="14"/>
                <w:color w:val="auto"/>
              </w:rPr>
              <w:t>42,500</w:t>
            </w:r>
          </w:p>
        </w:tc>
        <w:tc>
          <w:tcPr>
            <w:tcW w:w="1320" w:type="dxa"/>
            <w:vAlign w:val="bottom"/>
            <w:shd w:val="clear" w:color="auto" w:fill="EBEBEB"/>
          </w:tcPr>
          <w:p>
            <w:pPr>
              <w:jc w:val="right"/>
              <w:ind w:right="7"/>
              <w:spacing w:after="0"/>
              <w:rPr>
                <w:sz w:val="20"/>
                <w:szCs w:val="20"/>
                <w:color w:val="auto"/>
              </w:rPr>
            </w:pPr>
            <w:r>
              <w:rPr>
                <w:rFonts w:ascii="Arial" w:cs="Arial" w:eastAsia="Arial" w:hAnsi="Arial"/>
                <w:sz w:val="14"/>
                <w:szCs w:val="14"/>
                <w:color w:val="auto"/>
              </w:rPr>
              <w:t>42,500</w:t>
            </w:r>
            <w:r>
              <w:rPr>
                <w:rFonts w:ascii="Arial" w:cs="Arial" w:eastAsia="Arial" w:hAnsi="Arial"/>
                <w:sz w:val="23"/>
                <w:szCs w:val="23"/>
                <w:color w:val="auto"/>
                <w:vertAlign w:val="superscript"/>
              </w:rPr>
              <w:t>(1)</w:t>
            </w:r>
          </w:p>
        </w:tc>
        <w:tc>
          <w:tcPr>
            <w:tcW w:w="900" w:type="dxa"/>
            <w:vAlign w:val="bottom"/>
            <w:shd w:val="clear" w:color="auto" w:fill="EBEBEB"/>
          </w:tcPr>
          <w:p>
            <w:pPr>
              <w:jc w:val="right"/>
              <w:ind w:right="26"/>
              <w:spacing w:after="0"/>
              <w:rPr>
                <w:sz w:val="20"/>
                <w:szCs w:val="20"/>
                <w:color w:val="auto"/>
              </w:rPr>
            </w:pPr>
            <w:r>
              <w:rPr>
                <w:rFonts w:ascii="Arial" w:cs="Arial" w:eastAsia="Arial" w:hAnsi="Arial"/>
                <w:sz w:val="14"/>
                <w:szCs w:val="14"/>
                <w:color w:val="auto"/>
              </w:rPr>
              <w:t>21.15</w:t>
            </w:r>
          </w:p>
        </w:tc>
        <w:tc>
          <w:tcPr>
            <w:tcW w:w="1160" w:type="dxa"/>
            <w:vAlign w:val="bottom"/>
            <w:shd w:val="clear" w:color="auto" w:fill="EBEBEB"/>
          </w:tcPr>
          <w:p>
            <w:pPr>
              <w:jc w:val="right"/>
              <w:ind w:right="167"/>
              <w:spacing w:after="0"/>
              <w:rPr>
                <w:sz w:val="20"/>
                <w:szCs w:val="20"/>
                <w:color w:val="auto"/>
              </w:rPr>
            </w:pPr>
            <w:r>
              <w:rPr>
                <w:rFonts w:ascii="Arial" w:cs="Arial" w:eastAsia="Arial" w:hAnsi="Arial"/>
                <w:sz w:val="14"/>
                <w:szCs w:val="14"/>
                <w:color w:val="auto"/>
              </w:rPr>
              <w:t>2/17/2031</w:t>
            </w:r>
          </w:p>
        </w:tc>
        <w:tc>
          <w:tcPr>
            <w:tcW w:w="1160" w:type="dxa"/>
            <w:vAlign w:val="bottom"/>
            <w:shd w:val="clear" w:color="auto" w:fill="EBEBEB"/>
          </w:tcPr>
          <w:p>
            <w:pPr>
              <w:jc w:val="right"/>
              <w:ind w:right="26"/>
              <w:spacing w:after="0"/>
              <w:rPr>
                <w:sz w:val="20"/>
                <w:szCs w:val="20"/>
                <w:color w:val="auto"/>
              </w:rPr>
            </w:pPr>
            <w:r>
              <w:rPr>
                <w:rFonts w:ascii="Arial" w:cs="Arial" w:eastAsia="Arial" w:hAnsi="Arial"/>
                <w:sz w:val="14"/>
                <w:szCs w:val="14"/>
                <w:color w:val="auto"/>
              </w:rPr>
              <w:t>—</w:t>
            </w:r>
          </w:p>
        </w:tc>
        <w:tc>
          <w:tcPr>
            <w:tcW w:w="740" w:type="dxa"/>
            <w:vAlign w:val="bottom"/>
            <w:shd w:val="clear" w:color="auto" w:fill="EBEBE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1"/>
        </w:trPr>
        <w:tc>
          <w:tcPr>
            <w:tcW w:w="1440" w:type="dxa"/>
            <w:vAlign w:val="bottom"/>
            <w:shd w:val="clear" w:color="auto" w:fill="FAFAFA"/>
          </w:tcPr>
          <w:p>
            <w:pPr>
              <w:spacing w:after="0"/>
              <w:rPr>
                <w:sz w:val="24"/>
                <w:szCs w:val="24"/>
                <w:color w:val="auto"/>
              </w:rPr>
            </w:pPr>
          </w:p>
        </w:tc>
        <w:tc>
          <w:tcPr>
            <w:tcW w:w="1520" w:type="dxa"/>
            <w:vAlign w:val="bottom"/>
            <w:shd w:val="clear" w:color="auto" w:fill="FAFAFA"/>
          </w:tcPr>
          <w:p>
            <w:pPr>
              <w:jc w:val="right"/>
              <w:spacing w:after="0"/>
              <w:rPr>
                <w:sz w:val="20"/>
                <w:szCs w:val="20"/>
                <w:color w:val="auto"/>
              </w:rPr>
            </w:pPr>
            <w:r>
              <w:rPr>
                <w:rFonts w:ascii="Arial" w:cs="Arial" w:eastAsia="Arial" w:hAnsi="Arial"/>
                <w:sz w:val="14"/>
                <w:szCs w:val="14"/>
                <w:color w:val="auto"/>
              </w:rPr>
              <w:t>11/3/2021</w:t>
            </w:r>
          </w:p>
        </w:tc>
        <w:tc>
          <w:tcPr>
            <w:tcW w:w="1160" w:type="dxa"/>
            <w:vAlign w:val="bottom"/>
            <w:shd w:val="clear" w:color="auto" w:fill="FAFAFA"/>
          </w:tcPr>
          <w:p>
            <w:pPr>
              <w:jc w:val="right"/>
              <w:ind w:right="26"/>
              <w:spacing w:after="0"/>
              <w:rPr>
                <w:sz w:val="20"/>
                <w:szCs w:val="20"/>
                <w:color w:val="auto"/>
              </w:rPr>
            </w:pPr>
            <w:r>
              <w:rPr>
                <w:rFonts w:ascii="Arial" w:cs="Arial" w:eastAsia="Arial" w:hAnsi="Arial"/>
                <w:sz w:val="14"/>
                <w:szCs w:val="14"/>
                <w:color w:val="auto"/>
              </w:rPr>
              <w:t>—</w:t>
            </w:r>
          </w:p>
        </w:tc>
        <w:tc>
          <w:tcPr>
            <w:tcW w:w="132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w:t>
            </w:r>
          </w:p>
        </w:tc>
        <w:tc>
          <w:tcPr>
            <w:tcW w:w="900" w:type="dxa"/>
            <w:vAlign w:val="bottom"/>
            <w:shd w:val="clear" w:color="auto" w:fill="FAFAFA"/>
          </w:tcPr>
          <w:p>
            <w:pPr>
              <w:jc w:val="right"/>
              <w:ind w:right="26"/>
              <w:spacing w:after="0"/>
              <w:rPr>
                <w:sz w:val="20"/>
                <w:szCs w:val="20"/>
                <w:color w:val="auto"/>
              </w:rPr>
            </w:pPr>
            <w:r>
              <w:rPr>
                <w:rFonts w:ascii="Arial" w:cs="Arial" w:eastAsia="Arial" w:hAnsi="Arial"/>
                <w:sz w:val="14"/>
                <w:szCs w:val="14"/>
                <w:color w:val="auto"/>
              </w:rPr>
              <w:t>—</w:t>
            </w:r>
          </w:p>
        </w:tc>
        <w:tc>
          <w:tcPr>
            <w:tcW w:w="1160" w:type="dxa"/>
            <w:vAlign w:val="bottom"/>
            <w:shd w:val="clear" w:color="auto" w:fill="FAFAFA"/>
          </w:tcPr>
          <w:p>
            <w:pPr>
              <w:jc w:val="right"/>
              <w:ind w:right="167"/>
              <w:spacing w:after="0"/>
              <w:rPr>
                <w:sz w:val="20"/>
                <w:szCs w:val="20"/>
                <w:color w:val="auto"/>
              </w:rPr>
            </w:pPr>
            <w:r>
              <w:rPr>
                <w:rFonts w:ascii="Arial" w:cs="Arial" w:eastAsia="Arial" w:hAnsi="Arial"/>
                <w:sz w:val="14"/>
                <w:szCs w:val="14"/>
                <w:color w:val="auto"/>
              </w:rPr>
              <w:t>11/2/2031</w:t>
            </w:r>
          </w:p>
        </w:tc>
        <w:tc>
          <w:tcPr>
            <w:tcW w:w="1160" w:type="dxa"/>
            <w:vAlign w:val="bottom"/>
            <w:shd w:val="clear" w:color="auto" w:fill="FAFAFA"/>
          </w:tcPr>
          <w:p>
            <w:pPr>
              <w:jc w:val="right"/>
              <w:ind w:right="26"/>
              <w:spacing w:after="0"/>
              <w:rPr>
                <w:sz w:val="20"/>
                <w:szCs w:val="20"/>
                <w:color w:val="auto"/>
              </w:rPr>
            </w:pPr>
            <w:r>
              <w:rPr>
                <w:rFonts w:ascii="Arial" w:cs="Arial" w:eastAsia="Arial" w:hAnsi="Arial"/>
                <w:sz w:val="14"/>
                <w:szCs w:val="14"/>
                <w:color w:val="auto"/>
              </w:rPr>
              <w:t>40,000</w:t>
            </w:r>
            <w:r>
              <w:rPr>
                <w:rFonts w:ascii="Arial" w:cs="Arial" w:eastAsia="Arial" w:hAnsi="Arial"/>
                <w:sz w:val="23"/>
                <w:szCs w:val="23"/>
                <w:color w:val="auto"/>
                <w:vertAlign w:val="superscript"/>
              </w:rPr>
              <w:t>(5)</w:t>
            </w:r>
          </w:p>
        </w:tc>
        <w:tc>
          <w:tcPr>
            <w:tcW w:w="740" w:type="dxa"/>
            <w:vAlign w:val="bottom"/>
            <w:shd w:val="clear" w:color="auto" w:fill="FAFAFA"/>
          </w:tcPr>
          <w:p>
            <w:pPr>
              <w:jc w:val="right"/>
              <w:spacing w:after="0"/>
              <w:rPr>
                <w:sz w:val="20"/>
                <w:szCs w:val="20"/>
                <w:color w:val="auto"/>
              </w:rPr>
            </w:pPr>
            <w:r>
              <w:rPr>
                <w:rFonts w:ascii="Arial" w:cs="Arial" w:eastAsia="Arial" w:hAnsi="Arial"/>
                <w:sz w:val="14"/>
                <w:szCs w:val="14"/>
                <w:color w:val="auto"/>
              </w:rPr>
              <w:t>97,200</w:t>
            </w:r>
          </w:p>
        </w:tc>
        <w:tc>
          <w:tcPr>
            <w:tcW w:w="0" w:type="dxa"/>
            <w:vAlign w:val="bottom"/>
          </w:tcPr>
          <w:p>
            <w:pPr>
              <w:spacing w:after="0"/>
              <w:rPr>
                <w:sz w:val="1"/>
                <w:szCs w:val="1"/>
                <w:color w:val="auto"/>
              </w:rPr>
            </w:pPr>
          </w:p>
        </w:tc>
      </w:tr>
      <w:tr>
        <w:trPr>
          <w:trHeight w:val="310"/>
        </w:trPr>
        <w:tc>
          <w:tcPr>
            <w:tcW w:w="1440" w:type="dxa"/>
            <w:vAlign w:val="bottom"/>
            <w:shd w:val="clear" w:color="auto" w:fill="EBEBEB"/>
          </w:tcPr>
          <w:p>
            <w:pPr>
              <w:spacing w:after="0"/>
              <w:rPr>
                <w:sz w:val="24"/>
                <w:szCs w:val="24"/>
                <w:color w:val="auto"/>
              </w:rPr>
            </w:pPr>
          </w:p>
        </w:tc>
        <w:tc>
          <w:tcPr>
            <w:tcW w:w="1520" w:type="dxa"/>
            <w:vAlign w:val="bottom"/>
            <w:shd w:val="clear" w:color="auto" w:fill="EBEBEB"/>
          </w:tcPr>
          <w:p>
            <w:pPr>
              <w:jc w:val="right"/>
              <w:spacing w:after="0"/>
              <w:rPr>
                <w:sz w:val="20"/>
                <w:szCs w:val="20"/>
                <w:color w:val="auto"/>
              </w:rPr>
            </w:pPr>
            <w:r>
              <w:rPr>
                <w:rFonts w:ascii="Arial" w:cs="Arial" w:eastAsia="Arial" w:hAnsi="Arial"/>
                <w:sz w:val="14"/>
                <w:szCs w:val="14"/>
                <w:color w:val="auto"/>
              </w:rPr>
              <w:t>1/27/2022</w:t>
            </w:r>
          </w:p>
        </w:tc>
        <w:tc>
          <w:tcPr>
            <w:tcW w:w="1160" w:type="dxa"/>
            <w:vAlign w:val="bottom"/>
            <w:shd w:val="clear" w:color="auto" w:fill="EBEBEB"/>
          </w:tcPr>
          <w:p>
            <w:pPr>
              <w:jc w:val="right"/>
              <w:ind w:right="26"/>
              <w:spacing w:after="0"/>
              <w:rPr>
                <w:sz w:val="20"/>
                <w:szCs w:val="20"/>
                <w:color w:val="auto"/>
              </w:rPr>
            </w:pPr>
            <w:r>
              <w:rPr>
                <w:rFonts w:ascii="Arial" w:cs="Arial" w:eastAsia="Arial" w:hAnsi="Arial"/>
                <w:sz w:val="14"/>
                <w:szCs w:val="14"/>
                <w:color w:val="auto"/>
              </w:rPr>
              <w:t>191,667</w:t>
            </w:r>
          </w:p>
        </w:tc>
        <w:tc>
          <w:tcPr>
            <w:tcW w:w="1320" w:type="dxa"/>
            <w:vAlign w:val="bottom"/>
            <w:shd w:val="clear" w:color="auto" w:fill="EBEBEB"/>
          </w:tcPr>
          <w:p>
            <w:pPr>
              <w:jc w:val="right"/>
              <w:ind w:right="7"/>
              <w:spacing w:after="0"/>
              <w:rPr>
                <w:sz w:val="20"/>
                <w:szCs w:val="20"/>
                <w:color w:val="auto"/>
              </w:rPr>
            </w:pPr>
            <w:r>
              <w:rPr>
                <w:rFonts w:ascii="Arial" w:cs="Arial" w:eastAsia="Arial" w:hAnsi="Arial"/>
                <w:sz w:val="14"/>
                <w:szCs w:val="14"/>
                <w:color w:val="auto"/>
              </w:rPr>
              <w:t>208,333</w:t>
            </w:r>
            <w:r>
              <w:rPr>
                <w:rFonts w:ascii="Arial" w:cs="Arial" w:eastAsia="Arial" w:hAnsi="Arial"/>
                <w:sz w:val="23"/>
                <w:szCs w:val="23"/>
                <w:color w:val="auto"/>
                <w:vertAlign w:val="superscript"/>
              </w:rPr>
              <w:t>(2)</w:t>
            </w:r>
          </w:p>
        </w:tc>
        <w:tc>
          <w:tcPr>
            <w:tcW w:w="900" w:type="dxa"/>
            <w:vAlign w:val="bottom"/>
            <w:shd w:val="clear" w:color="auto" w:fill="EBEBEB"/>
          </w:tcPr>
          <w:p>
            <w:pPr>
              <w:jc w:val="right"/>
              <w:ind w:right="26"/>
              <w:spacing w:after="0"/>
              <w:rPr>
                <w:sz w:val="20"/>
                <w:szCs w:val="20"/>
                <w:color w:val="auto"/>
              </w:rPr>
            </w:pPr>
            <w:r>
              <w:rPr>
                <w:rFonts w:ascii="Arial" w:cs="Arial" w:eastAsia="Arial" w:hAnsi="Arial"/>
                <w:sz w:val="14"/>
                <w:szCs w:val="14"/>
                <w:color w:val="auto"/>
              </w:rPr>
              <w:t>9.91</w:t>
            </w:r>
          </w:p>
        </w:tc>
        <w:tc>
          <w:tcPr>
            <w:tcW w:w="1160" w:type="dxa"/>
            <w:vAlign w:val="bottom"/>
            <w:shd w:val="clear" w:color="auto" w:fill="EBEBEB"/>
          </w:tcPr>
          <w:p>
            <w:pPr>
              <w:jc w:val="right"/>
              <w:ind w:right="167"/>
              <w:spacing w:after="0"/>
              <w:rPr>
                <w:sz w:val="20"/>
                <w:szCs w:val="20"/>
                <w:color w:val="auto"/>
              </w:rPr>
            </w:pPr>
            <w:r>
              <w:rPr>
                <w:rFonts w:ascii="Arial" w:cs="Arial" w:eastAsia="Arial" w:hAnsi="Arial"/>
                <w:sz w:val="14"/>
                <w:szCs w:val="14"/>
                <w:color w:val="auto"/>
              </w:rPr>
              <w:t>1/26/2032</w:t>
            </w:r>
          </w:p>
        </w:tc>
        <w:tc>
          <w:tcPr>
            <w:tcW w:w="1160" w:type="dxa"/>
            <w:vAlign w:val="bottom"/>
            <w:shd w:val="clear" w:color="auto" w:fill="EBEBEB"/>
          </w:tcPr>
          <w:p>
            <w:pPr>
              <w:jc w:val="right"/>
              <w:ind w:right="26"/>
              <w:spacing w:after="0"/>
              <w:rPr>
                <w:sz w:val="20"/>
                <w:szCs w:val="20"/>
                <w:color w:val="auto"/>
              </w:rPr>
            </w:pPr>
            <w:r>
              <w:rPr>
                <w:rFonts w:ascii="Arial" w:cs="Arial" w:eastAsia="Arial" w:hAnsi="Arial"/>
                <w:sz w:val="14"/>
                <w:szCs w:val="14"/>
                <w:color w:val="auto"/>
              </w:rPr>
              <w:t>—</w:t>
            </w:r>
          </w:p>
        </w:tc>
        <w:tc>
          <w:tcPr>
            <w:tcW w:w="740" w:type="dxa"/>
            <w:vAlign w:val="bottom"/>
            <w:shd w:val="clear" w:color="auto" w:fill="EBEBE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1"/>
        </w:trPr>
        <w:tc>
          <w:tcPr>
            <w:tcW w:w="1440" w:type="dxa"/>
            <w:vAlign w:val="bottom"/>
            <w:shd w:val="clear" w:color="auto" w:fill="FAFAFA"/>
          </w:tcPr>
          <w:p>
            <w:pPr>
              <w:spacing w:after="0"/>
              <w:rPr>
                <w:sz w:val="24"/>
                <w:szCs w:val="24"/>
                <w:color w:val="auto"/>
              </w:rPr>
            </w:pPr>
          </w:p>
        </w:tc>
        <w:tc>
          <w:tcPr>
            <w:tcW w:w="1520" w:type="dxa"/>
            <w:vAlign w:val="bottom"/>
            <w:shd w:val="clear" w:color="auto" w:fill="FAFAFA"/>
          </w:tcPr>
          <w:p>
            <w:pPr>
              <w:jc w:val="right"/>
              <w:spacing w:after="0"/>
              <w:rPr>
                <w:sz w:val="20"/>
                <w:szCs w:val="20"/>
                <w:color w:val="auto"/>
              </w:rPr>
            </w:pPr>
            <w:r>
              <w:rPr>
                <w:rFonts w:ascii="Arial" w:cs="Arial" w:eastAsia="Arial" w:hAnsi="Arial"/>
                <w:sz w:val="14"/>
                <w:szCs w:val="14"/>
                <w:color w:val="auto"/>
              </w:rPr>
              <w:t>1/27/2023</w:t>
            </w:r>
          </w:p>
        </w:tc>
        <w:tc>
          <w:tcPr>
            <w:tcW w:w="1160" w:type="dxa"/>
            <w:vAlign w:val="bottom"/>
            <w:shd w:val="clear" w:color="auto" w:fill="FAFAFA"/>
          </w:tcPr>
          <w:p>
            <w:pPr>
              <w:jc w:val="right"/>
              <w:ind w:right="26"/>
              <w:spacing w:after="0"/>
              <w:rPr>
                <w:sz w:val="20"/>
                <w:szCs w:val="20"/>
                <w:color w:val="auto"/>
              </w:rPr>
            </w:pPr>
            <w:r>
              <w:rPr>
                <w:rFonts w:ascii="Arial" w:cs="Arial" w:eastAsia="Arial" w:hAnsi="Arial"/>
                <w:sz w:val="14"/>
                <w:szCs w:val="14"/>
                <w:color w:val="auto"/>
              </w:rPr>
              <w:t>129,861</w:t>
            </w:r>
          </w:p>
        </w:tc>
        <w:tc>
          <w:tcPr>
            <w:tcW w:w="132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295,139</w:t>
            </w:r>
            <w:r>
              <w:rPr>
                <w:rFonts w:ascii="Arial" w:cs="Arial" w:eastAsia="Arial" w:hAnsi="Arial"/>
                <w:sz w:val="23"/>
                <w:szCs w:val="23"/>
                <w:color w:val="auto"/>
                <w:vertAlign w:val="superscript"/>
              </w:rPr>
              <w:t>(3)</w:t>
            </w:r>
          </w:p>
        </w:tc>
        <w:tc>
          <w:tcPr>
            <w:tcW w:w="900" w:type="dxa"/>
            <w:vAlign w:val="bottom"/>
            <w:shd w:val="clear" w:color="auto" w:fill="FAFAFA"/>
          </w:tcPr>
          <w:p>
            <w:pPr>
              <w:jc w:val="right"/>
              <w:ind w:right="26"/>
              <w:spacing w:after="0"/>
              <w:rPr>
                <w:sz w:val="20"/>
                <w:szCs w:val="20"/>
                <w:color w:val="auto"/>
              </w:rPr>
            </w:pPr>
            <w:r>
              <w:rPr>
                <w:rFonts w:ascii="Arial" w:cs="Arial" w:eastAsia="Arial" w:hAnsi="Arial"/>
                <w:sz w:val="14"/>
                <w:szCs w:val="14"/>
                <w:color w:val="auto"/>
              </w:rPr>
              <w:t>4.11</w:t>
            </w:r>
          </w:p>
        </w:tc>
        <w:tc>
          <w:tcPr>
            <w:tcW w:w="1160" w:type="dxa"/>
            <w:vAlign w:val="bottom"/>
            <w:shd w:val="clear" w:color="auto" w:fill="FAFAFA"/>
          </w:tcPr>
          <w:p>
            <w:pPr>
              <w:jc w:val="right"/>
              <w:ind w:right="167"/>
              <w:spacing w:after="0"/>
              <w:rPr>
                <w:sz w:val="20"/>
                <w:szCs w:val="20"/>
                <w:color w:val="auto"/>
              </w:rPr>
            </w:pPr>
            <w:r>
              <w:rPr>
                <w:rFonts w:ascii="Arial" w:cs="Arial" w:eastAsia="Arial" w:hAnsi="Arial"/>
                <w:sz w:val="14"/>
                <w:szCs w:val="14"/>
                <w:color w:val="auto"/>
              </w:rPr>
              <w:t>1/26/2033</w:t>
            </w:r>
          </w:p>
        </w:tc>
        <w:tc>
          <w:tcPr>
            <w:tcW w:w="1160" w:type="dxa"/>
            <w:vAlign w:val="bottom"/>
            <w:shd w:val="clear" w:color="auto" w:fill="FAFAFA"/>
          </w:tcPr>
          <w:p>
            <w:pPr>
              <w:jc w:val="right"/>
              <w:ind w:right="26"/>
              <w:spacing w:after="0"/>
              <w:rPr>
                <w:sz w:val="20"/>
                <w:szCs w:val="20"/>
                <w:color w:val="auto"/>
              </w:rPr>
            </w:pPr>
            <w:r>
              <w:rPr>
                <w:rFonts w:ascii="Arial" w:cs="Arial" w:eastAsia="Arial" w:hAnsi="Arial"/>
                <w:sz w:val="14"/>
                <w:szCs w:val="14"/>
                <w:color w:val="auto"/>
              </w:rPr>
              <w:t>—</w:t>
            </w:r>
          </w:p>
        </w:tc>
        <w:tc>
          <w:tcPr>
            <w:tcW w:w="740" w:type="dxa"/>
            <w:vAlign w:val="bottom"/>
            <w:shd w:val="clear" w:color="auto" w:fill="FAFAFA"/>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1"/>
        </w:trPr>
        <w:tc>
          <w:tcPr>
            <w:tcW w:w="1440" w:type="dxa"/>
            <w:vAlign w:val="bottom"/>
            <w:shd w:val="clear" w:color="auto" w:fill="EBEBEB"/>
          </w:tcPr>
          <w:p>
            <w:pPr>
              <w:ind w:left="60"/>
              <w:spacing w:after="0"/>
              <w:rPr>
                <w:sz w:val="20"/>
                <w:szCs w:val="20"/>
                <w:color w:val="auto"/>
              </w:rPr>
            </w:pPr>
            <w:r>
              <w:rPr>
                <w:rFonts w:ascii="Arial" w:cs="Arial" w:eastAsia="Arial" w:hAnsi="Arial"/>
                <w:sz w:val="14"/>
                <w:szCs w:val="14"/>
                <w:b w:val="1"/>
                <w:bCs w:val="1"/>
                <w:color w:val="auto"/>
              </w:rPr>
              <w:t>Andrew Gengos</w:t>
            </w:r>
          </w:p>
        </w:tc>
        <w:tc>
          <w:tcPr>
            <w:tcW w:w="1520" w:type="dxa"/>
            <w:vAlign w:val="bottom"/>
            <w:shd w:val="clear" w:color="auto" w:fill="EBEBEB"/>
          </w:tcPr>
          <w:p>
            <w:pPr>
              <w:jc w:val="right"/>
              <w:spacing w:after="0"/>
              <w:rPr>
                <w:sz w:val="20"/>
                <w:szCs w:val="20"/>
                <w:color w:val="auto"/>
              </w:rPr>
            </w:pPr>
            <w:r>
              <w:rPr>
                <w:rFonts w:ascii="Arial" w:cs="Arial" w:eastAsia="Arial" w:hAnsi="Arial"/>
                <w:sz w:val="14"/>
                <w:szCs w:val="14"/>
                <w:color w:val="auto"/>
              </w:rPr>
              <w:t>5/18/2023</w:t>
            </w:r>
          </w:p>
        </w:tc>
        <w:tc>
          <w:tcPr>
            <w:tcW w:w="1160" w:type="dxa"/>
            <w:vAlign w:val="bottom"/>
            <w:shd w:val="clear" w:color="auto" w:fill="EBEBEB"/>
          </w:tcPr>
          <w:p>
            <w:pPr>
              <w:jc w:val="right"/>
              <w:ind w:right="26"/>
              <w:spacing w:after="0"/>
              <w:rPr>
                <w:sz w:val="20"/>
                <w:szCs w:val="20"/>
                <w:color w:val="auto"/>
              </w:rPr>
            </w:pPr>
            <w:r>
              <w:rPr>
                <w:rFonts w:ascii="Arial" w:cs="Arial" w:eastAsia="Arial" w:hAnsi="Arial"/>
                <w:sz w:val="14"/>
                <w:szCs w:val="14"/>
                <w:color w:val="auto"/>
              </w:rPr>
              <w:t>—</w:t>
            </w:r>
          </w:p>
        </w:tc>
        <w:tc>
          <w:tcPr>
            <w:tcW w:w="1320" w:type="dxa"/>
            <w:vAlign w:val="bottom"/>
            <w:shd w:val="clear" w:color="auto" w:fill="EBEBEB"/>
          </w:tcPr>
          <w:p>
            <w:pPr>
              <w:jc w:val="right"/>
              <w:ind w:right="7"/>
              <w:spacing w:after="0"/>
              <w:rPr>
                <w:sz w:val="20"/>
                <w:szCs w:val="20"/>
                <w:color w:val="auto"/>
              </w:rPr>
            </w:pPr>
            <w:r>
              <w:rPr>
                <w:rFonts w:ascii="Arial" w:cs="Arial" w:eastAsia="Arial" w:hAnsi="Arial"/>
                <w:sz w:val="14"/>
                <w:szCs w:val="14"/>
                <w:color w:val="auto"/>
              </w:rPr>
              <w:t>400,000</w:t>
            </w:r>
            <w:r>
              <w:rPr>
                <w:rFonts w:ascii="Arial" w:cs="Arial" w:eastAsia="Arial" w:hAnsi="Arial"/>
                <w:sz w:val="23"/>
                <w:szCs w:val="23"/>
                <w:color w:val="auto"/>
                <w:vertAlign w:val="superscript"/>
              </w:rPr>
              <w:t>(4)</w:t>
            </w:r>
          </w:p>
        </w:tc>
        <w:tc>
          <w:tcPr>
            <w:tcW w:w="900" w:type="dxa"/>
            <w:vAlign w:val="bottom"/>
            <w:shd w:val="clear" w:color="auto" w:fill="EBEBEB"/>
          </w:tcPr>
          <w:p>
            <w:pPr>
              <w:jc w:val="right"/>
              <w:ind w:right="26"/>
              <w:spacing w:after="0"/>
              <w:rPr>
                <w:sz w:val="20"/>
                <w:szCs w:val="20"/>
                <w:color w:val="auto"/>
              </w:rPr>
            </w:pPr>
            <w:r>
              <w:rPr>
                <w:rFonts w:ascii="Arial" w:cs="Arial" w:eastAsia="Arial" w:hAnsi="Arial"/>
                <w:sz w:val="14"/>
                <w:szCs w:val="14"/>
                <w:color w:val="auto"/>
              </w:rPr>
              <w:t>2.84</w:t>
            </w:r>
          </w:p>
        </w:tc>
        <w:tc>
          <w:tcPr>
            <w:tcW w:w="1160" w:type="dxa"/>
            <w:vAlign w:val="bottom"/>
            <w:shd w:val="clear" w:color="auto" w:fill="EBEBEB"/>
          </w:tcPr>
          <w:p>
            <w:pPr>
              <w:jc w:val="right"/>
              <w:ind w:right="167"/>
              <w:spacing w:after="0"/>
              <w:rPr>
                <w:sz w:val="20"/>
                <w:szCs w:val="20"/>
                <w:color w:val="auto"/>
              </w:rPr>
            </w:pPr>
            <w:r>
              <w:rPr>
                <w:rFonts w:ascii="Arial" w:cs="Arial" w:eastAsia="Arial" w:hAnsi="Arial"/>
                <w:sz w:val="14"/>
                <w:szCs w:val="14"/>
                <w:color w:val="auto"/>
              </w:rPr>
              <w:t>5/17/2033</w:t>
            </w:r>
          </w:p>
        </w:tc>
        <w:tc>
          <w:tcPr>
            <w:tcW w:w="1160" w:type="dxa"/>
            <w:vAlign w:val="bottom"/>
            <w:shd w:val="clear" w:color="auto" w:fill="EBEBEB"/>
          </w:tcPr>
          <w:p>
            <w:pPr>
              <w:jc w:val="right"/>
              <w:ind w:right="26"/>
              <w:spacing w:after="0"/>
              <w:rPr>
                <w:sz w:val="20"/>
                <w:szCs w:val="20"/>
                <w:color w:val="auto"/>
              </w:rPr>
            </w:pPr>
            <w:r>
              <w:rPr>
                <w:rFonts w:ascii="Arial" w:cs="Arial" w:eastAsia="Arial" w:hAnsi="Arial"/>
                <w:sz w:val="14"/>
                <w:szCs w:val="14"/>
                <w:color w:val="auto"/>
              </w:rPr>
              <w:t>—</w:t>
            </w:r>
          </w:p>
        </w:tc>
        <w:tc>
          <w:tcPr>
            <w:tcW w:w="740" w:type="dxa"/>
            <w:vAlign w:val="bottom"/>
            <w:shd w:val="clear" w:color="auto" w:fill="EBEBE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0"/>
        </w:trPr>
        <w:tc>
          <w:tcPr>
            <w:tcW w:w="1440" w:type="dxa"/>
            <w:vAlign w:val="bottom"/>
            <w:shd w:val="clear" w:color="auto" w:fill="FAFAFA"/>
          </w:tcPr>
          <w:p>
            <w:pPr>
              <w:spacing w:after="0"/>
              <w:rPr>
                <w:sz w:val="24"/>
                <w:szCs w:val="24"/>
                <w:color w:val="auto"/>
              </w:rPr>
            </w:pPr>
          </w:p>
        </w:tc>
        <w:tc>
          <w:tcPr>
            <w:tcW w:w="1520" w:type="dxa"/>
            <w:vAlign w:val="bottom"/>
            <w:shd w:val="clear" w:color="auto" w:fill="FAFAFA"/>
          </w:tcPr>
          <w:p>
            <w:pPr>
              <w:jc w:val="right"/>
              <w:spacing w:after="0"/>
              <w:rPr>
                <w:sz w:val="20"/>
                <w:szCs w:val="20"/>
                <w:color w:val="auto"/>
              </w:rPr>
            </w:pPr>
            <w:r>
              <w:rPr>
                <w:rFonts w:ascii="Arial" w:cs="Arial" w:eastAsia="Arial" w:hAnsi="Arial"/>
                <w:sz w:val="14"/>
                <w:szCs w:val="14"/>
                <w:color w:val="auto"/>
              </w:rPr>
              <w:t>5/18/2023</w:t>
            </w:r>
          </w:p>
        </w:tc>
        <w:tc>
          <w:tcPr>
            <w:tcW w:w="1160" w:type="dxa"/>
            <w:vAlign w:val="bottom"/>
            <w:shd w:val="clear" w:color="auto" w:fill="FAFAFA"/>
          </w:tcPr>
          <w:p>
            <w:pPr>
              <w:jc w:val="right"/>
              <w:ind w:right="26"/>
              <w:spacing w:after="0"/>
              <w:rPr>
                <w:sz w:val="20"/>
                <w:szCs w:val="20"/>
                <w:color w:val="auto"/>
              </w:rPr>
            </w:pPr>
            <w:r>
              <w:rPr>
                <w:rFonts w:ascii="Arial" w:cs="Arial" w:eastAsia="Arial" w:hAnsi="Arial"/>
                <w:sz w:val="14"/>
                <w:szCs w:val="14"/>
                <w:color w:val="auto"/>
              </w:rPr>
              <w:t>—</w:t>
            </w:r>
          </w:p>
        </w:tc>
        <w:tc>
          <w:tcPr>
            <w:tcW w:w="132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w:t>
            </w:r>
          </w:p>
        </w:tc>
        <w:tc>
          <w:tcPr>
            <w:tcW w:w="900" w:type="dxa"/>
            <w:vAlign w:val="bottom"/>
            <w:shd w:val="clear" w:color="auto" w:fill="FAFAFA"/>
          </w:tcPr>
          <w:p>
            <w:pPr>
              <w:jc w:val="right"/>
              <w:ind w:right="26"/>
              <w:spacing w:after="0"/>
              <w:rPr>
                <w:sz w:val="20"/>
                <w:szCs w:val="20"/>
                <w:color w:val="auto"/>
              </w:rPr>
            </w:pPr>
            <w:r>
              <w:rPr>
                <w:rFonts w:ascii="Arial" w:cs="Arial" w:eastAsia="Arial" w:hAnsi="Arial"/>
                <w:sz w:val="14"/>
                <w:szCs w:val="14"/>
                <w:color w:val="auto"/>
              </w:rPr>
              <w:t>—</w:t>
            </w:r>
          </w:p>
        </w:tc>
        <w:tc>
          <w:tcPr>
            <w:tcW w:w="1160" w:type="dxa"/>
            <w:vAlign w:val="bottom"/>
            <w:shd w:val="clear" w:color="auto" w:fill="FAFAFA"/>
          </w:tcPr>
          <w:p>
            <w:pPr>
              <w:jc w:val="right"/>
              <w:ind w:right="167"/>
              <w:spacing w:after="0"/>
              <w:rPr>
                <w:sz w:val="20"/>
                <w:szCs w:val="20"/>
                <w:color w:val="auto"/>
              </w:rPr>
            </w:pPr>
            <w:r>
              <w:rPr>
                <w:rFonts w:ascii="Arial" w:cs="Arial" w:eastAsia="Arial" w:hAnsi="Arial"/>
                <w:sz w:val="14"/>
                <w:szCs w:val="14"/>
                <w:color w:val="auto"/>
              </w:rPr>
              <w:t>5/17/2033</w:t>
            </w:r>
          </w:p>
        </w:tc>
        <w:tc>
          <w:tcPr>
            <w:tcW w:w="1160" w:type="dxa"/>
            <w:vAlign w:val="bottom"/>
            <w:shd w:val="clear" w:color="auto" w:fill="FAFAFA"/>
          </w:tcPr>
          <w:p>
            <w:pPr>
              <w:jc w:val="right"/>
              <w:ind w:right="26"/>
              <w:spacing w:after="0"/>
              <w:rPr>
                <w:sz w:val="20"/>
                <w:szCs w:val="20"/>
                <w:color w:val="auto"/>
              </w:rPr>
            </w:pPr>
            <w:r>
              <w:rPr>
                <w:rFonts w:ascii="Arial" w:cs="Arial" w:eastAsia="Arial" w:hAnsi="Arial"/>
                <w:sz w:val="14"/>
                <w:szCs w:val="14"/>
                <w:color w:val="auto"/>
              </w:rPr>
              <w:t>10,000</w:t>
            </w:r>
            <w:r>
              <w:rPr>
                <w:rFonts w:ascii="Arial" w:cs="Arial" w:eastAsia="Arial" w:hAnsi="Arial"/>
                <w:sz w:val="23"/>
                <w:szCs w:val="23"/>
                <w:color w:val="auto"/>
                <w:vertAlign w:val="superscript"/>
              </w:rPr>
              <w:t>(6)</w:t>
            </w:r>
          </w:p>
        </w:tc>
        <w:tc>
          <w:tcPr>
            <w:tcW w:w="740" w:type="dxa"/>
            <w:vAlign w:val="bottom"/>
            <w:shd w:val="clear" w:color="auto" w:fill="FAFAFA"/>
          </w:tcPr>
          <w:p>
            <w:pPr>
              <w:jc w:val="right"/>
              <w:spacing w:after="0"/>
              <w:rPr>
                <w:sz w:val="20"/>
                <w:szCs w:val="20"/>
                <w:color w:val="auto"/>
              </w:rPr>
            </w:pPr>
            <w:r>
              <w:rPr>
                <w:rFonts w:ascii="Arial" w:cs="Arial" w:eastAsia="Arial" w:hAnsi="Arial"/>
                <w:sz w:val="14"/>
                <w:szCs w:val="14"/>
                <w:color w:val="auto"/>
              </w:rPr>
              <w:t>24,300</w:t>
            </w:r>
          </w:p>
        </w:tc>
        <w:tc>
          <w:tcPr>
            <w:tcW w:w="0" w:type="dxa"/>
            <w:vAlign w:val="bottom"/>
          </w:tcPr>
          <w:p>
            <w:pPr>
              <w:spacing w:after="0"/>
              <w:rPr>
                <w:sz w:val="1"/>
                <w:szCs w:val="1"/>
                <w:color w:val="auto"/>
              </w:rPr>
            </w:pPr>
          </w:p>
        </w:tc>
      </w:tr>
      <w:tr>
        <w:trPr>
          <w:trHeight w:val="217"/>
        </w:trPr>
        <w:tc>
          <w:tcPr>
            <w:tcW w:w="1440" w:type="dxa"/>
            <w:vAlign w:val="bottom"/>
            <w:shd w:val="clear" w:color="auto" w:fill="EBEBEB"/>
          </w:tcPr>
          <w:p>
            <w:pPr>
              <w:ind w:left="60"/>
              <w:spacing w:after="0"/>
              <w:rPr>
                <w:sz w:val="20"/>
                <w:szCs w:val="20"/>
                <w:color w:val="auto"/>
              </w:rPr>
            </w:pPr>
            <w:r>
              <w:rPr>
                <w:rFonts w:ascii="Arial" w:cs="Arial" w:eastAsia="Arial" w:hAnsi="Arial"/>
                <w:sz w:val="14"/>
                <w:szCs w:val="14"/>
                <w:b w:val="1"/>
                <w:bCs w:val="1"/>
                <w:color w:val="auto"/>
              </w:rPr>
              <w:t>Hans Moebius,</w:t>
            </w:r>
          </w:p>
        </w:tc>
        <w:tc>
          <w:tcPr>
            <w:tcW w:w="1520" w:type="dxa"/>
            <w:vAlign w:val="bottom"/>
            <w:vMerge w:val="restart"/>
            <w:shd w:val="clear" w:color="auto" w:fill="EBEBEB"/>
          </w:tcPr>
          <w:p>
            <w:pPr>
              <w:jc w:val="right"/>
              <w:spacing w:after="0"/>
              <w:rPr>
                <w:sz w:val="20"/>
                <w:szCs w:val="20"/>
                <w:color w:val="auto"/>
              </w:rPr>
            </w:pPr>
            <w:r>
              <w:rPr>
                <w:rFonts w:ascii="Arial" w:cs="Arial" w:eastAsia="Arial" w:hAnsi="Arial"/>
                <w:sz w:val="14"/>
                <w:szCs w:val="14"/>
                <w:color w:val="auto"/>
              </w:rPr>
              <w:t>8/26/2020</w:t>
            </w:r>
          </w:p>
        </w:tc>
        <w:tc>
          <w:tcPr>
            <w:tcW w:w="1160" w:type="dxa"/>
            <w:vAlign w:val="bottom"/>
            <w:vMerge w:val="restart"/>
            <w:shd w:val="clear" w:color="auto" w:fill="EBEBEB"/>
          </w:tcPr>
          <w:p>
            <w:pPr>
              <w:jc w:val="right"/>
              <w:ind w:right="26"/>
              <w:spacing w:after="0"/>
              <w:rPr>
                <w:sz w:val="20"/>
                <w:szCs w:val="20"/>
                <w:color w:val="auto"/>
              </w:rPr>
            </w:pPr>
            <w:r>
              <w:rPr>
                <w:rFonts w:ascii="Arial" w:cs="Arial" w:eastAsia="Arial" w:hAnsi="Arial"/>
                <w:sz w:val="14"/>
                <w:szCs w:val="14"/>
                <w:color w:val="auto"/>
              </w:rPr>
              <w:t>108,761</w:t>
            </w:r>
          </w:p>
        </w:tc>
        <w:tc>
          <w:tcPr>
            <w:tcW w:w="1320" w:type="dxa"/>
            <w:vAlign w:val="bottom"/>
            <w:vMerge w:val="restart"/>
            <w:shd w:val="clear" w:color="auto" w:fill="EBEBEB"/>
          </w:tcPr>
          <w:p>
            <w:pPr>
              <w:jc w:val="right"/>
              <w:ind w:right="7"/>
              <w:spacing w:after="0"/>
              <w:rPr>
                <w:sz w:val="20"/>
                <w:szCs w:val="20"/>
                <w:color w:val="auto"/>
              </w:rPr>
            </w:pPr>
            <w:r>
              <w:rPr>
                <w:rFonts w:ascii="Arial" w:cs="Arial" w:eastAsia="Arial" w:hAnsi="Arial"/>
                <w:sz w:val="14"/>
                <w:szCs w:val="14"/>
                <w:color w:val="auto"/>
              </w:rPr>
              <w:t>36,254</w:t>
            </w:r>
            <w:r>
              <w:rPr>
                <w:rFonts w:ascii="Arial" w:cs="Arial" w:eastAsia="Arial" w:hAnsi="Arial"/>
                <w:sz w:val="23"/>
                <w:szCs w:val="23"/>
                <w:color w:val="auto"/>
                <w:vertAlign w:val="superscript"/>
              </w:rPr>
              <w:t>(1)</w:t>
            </w:r>
          </w:p>
        </w:tc>
        <w:tc>
          <w:tcPr>
            <w:tcW w:w="900" w:type="dxa"/>
            <w:vAlign w:val="bottom"/>
            <w:vMerge w:val="restart"/>
            <w:shd w:val="clear" w:color="auto" w:fill="EBEBEB"/>
          </w:tcPr>
          <w:p>
            <w:pPr>
              <w:jc w:val="right"/>
              <w:ind w:right="26"/>
              <w:spacing w:after="0"/>
              <w:rPr>
                <w:sz w:val="20"/>
                <w:szCs w:val="20"/>
                <w:color w:val="auto"/>
              </w:rPr>
            </w:pPr>
            <w:r>
              <w:rPr>
                <w:rFonts w:ascii="Arial" w:cs="Arial" w:eastAsia="Arial" w:hAnsi="Arial"/>
                <w:sz w:val="14"/>
                <w:szCs w:val="14"/>
                <w:color w:val="auto"/>
              </w:rPr>
              <w:t>17.00</w:t>
            </w:r>
          </w:p>
        </w:tc>
        <w:tc>
          <w:tcPr>
            <w:tcW w:w="1160" w:type="dxa"/>
            <w:vAlign w:val="bottom"/>
            <w:vMerge w:val="restart"/>
            <w:shd w:val="clear" w:color="auto" w:fill="EBEBEB"/>
          </w:tcPr>
          <w:p>
            <w:pPr>
              <w:jc w:val="right"/>
              <w:ind w:right="167"/>
              <w:spacing w:after="0"/>
              <w:rPr>
                <w:sz w:val="20"/>
                <w:szCs w:val="20"/>
                <w:color w:val="auto"/>
              </w:rPr>
            </w:pPr>
            <w:r>
              <w:rPr>
                <w:rFonts w:ascii="Arial" w:cs="Arial" w:eastAsia="Arial" w:hAnsi="Arial"/>
                <w:sz w:val="14"/>
                <w:szCs w:val="14"/>
                <w:color w:val="auto"/>
              </w:rPr>
              <w:t>9/16/2030</w:t>
            </w:r>
          </w:p>
        </w:tc>
        <w:tc>
          <w:tcPr>
            <w:tcW w:w="1160" w:type="dxa"/>
            <w:vAlign w:val="bottom"/>
            <w:vMerge w:val="restart"/>
            <w:shd w:val="clear" w:color="auto" w:fill="EBEBEB"/>
          </w:tcPr>
          <w:p>
            <w:pPr>
              <w:jc w:val="right"/>
              <w:ind w:right="26"/>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EBEBE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1440" w:type="dxa"/>
            <w:vAlign w:val="bottom"/>
            <w:vMerge w:val="restart"/>
            <w:shd w:val="clear" w:color="auto" w:fill="EBEBEB"/>
          </w:tcPr>
          <w:p>
            <w:pPr>
              <w:ind w:left="60"/>
              <w:spacing w:after="0" w:line="255" w:lineRule="exact"/>
              <w:rPr>
                <w:sz w:val="20"/>
                <w:szCs w:val="20"/>
                <w:color w:val="auto"/>
              </w:rPr>
            </w:pPr>
            <w:r>
              <w:rPr>
                <w:rFonts w:ascii="Arial" w:cs="Arial" w:eastAsia="Arial" w:hAnsi="Arial"/>
                <w:sz w:val="14"/>
                <w:szCs w:val="14"/>
                <w:b w:val="1"/>
                <w:bCs w:val="1"/>
                <w:color w:val="auto"/>
              </w:rPr>
              <w:t>M.D., Ph.D.</w:t>
            </w:r>
            <w:r>
              <w:rPr>
                <w:rFonts w:ascii="Arial" w:cs="Arial" w:eastAsia="Arial" w:hAnsi="Arial"/>
                <w:sz w:val="23"/>
                <w:szCs w:val="23"/>
                <w:b w:val="1"/>
                <w:bCs w:val="1"/>
                <w:color w:val="auto"/>
                <w:vertAlign w:val="superscript"/>
              </w:rPr>
              <w:t>(7)</w:t>
            </w:r>
          </w:p>
        </w:tc>
        <w:tc>
          <w:tcPr>
            <w:tcW w:w="1520" w:type="dxa"/>
            <w:vAlign w:val="bottom"/>
            <w:vMerge w:val="continue"/>
            <w:shd w:val="clear" w:color="auto" w:fill="EBEBEB"/>
          </w:tcPr>
          <w:p>
            <w:pPr>
              <w:spacing w:after="0"/>
              <w:rPr>
                <w:sz w:val="15"/>
                <w:szCs w:val="15"/>
                <w:color w:val="auto"/>
              </w:rPr>
            </w:pPr>
          </w:p>
        </w:tc>
        <w:tc>
          <w:tcPr>
            <w:tcW w:w="1160" w:type="dxa"/>
            <w:vAlign w:val="bottom"/>
            <w:vMerge w:val="continue"/>
            <w:shd w:val="clear" w:color="auto" w:fill="EBEBEB"/>
          </w:tcPr>
          <w:p>
            <w:pPr>
              <w:spacing w:after="0"/>
              <w:rPr>
                <w:sz w:val="15"/>
                <w:szCs w:val="15"/>
                <w:color w:val="auto"/>
              </w:rPr>
            </w:pPr>
          </w:p>
        </w:tc>
        <w:tc>
          <w:tcPr>
            <w:tcW w:w="1320" w:type="dxa"/>
            <w:vAlign w:val="bottom"/>
            <w:vMerge w:val="continue"/>
            <w:shd w:val="clear" w:color="auto" w:fill="EBEBEB"/>
          </w:tcPr>
          <w:p>
            <w:pPr>
              <w:spacing w:after="0"/>
              <w:rPr>
                <w:sz w:val="15"/>
                <w:szCs w:val="15"/>
                <w:color w:val="auto"/>
              </w:rPr>
            </w:pPr>
          </w:p>
        </w:tc>
        <w:tc>
          <w:tcPr>
            <w:tcW w:w="900" w:type="dxa"/>
            <w:vAlign w:val="bottom"/>
            <w:vMerge w:val="continue"/>
            <w:shd w:val="clear" w:color="auto" w:fill="EBEBEB"/>
          </w:tcPr>
          <w:p>
            <w:pPr>
              <w:spacing w:after="0"/>
              <w:rPr>
                <w:sz w:val="15"/>
                <w:szCs w:val="15"/>
                <w:color w:val="auto"/>
              </w:rPr>
            </w:pPr>
          </w:p>
        </w:tc>
        <w:tc>
          <w:tcPr>
            <w:tcW w:w="1160" w:type="dxa"/>
            <w:vAlign w:val="bottom"/>
            <w:vMerge w:val="continue"/>
            <w:shd w:val="clear" w:color="auto" w:fill="EBEBEB"/>
          </w:tcPr>
          <w:p>
            <w:pPr>
              <w:spacing w:after="0"/>
              <w:rPr>
                <w:sz w:val="15"/>
                <w:szCs w:val="15"/>
                <w:color w:val="auto"/>
              </w:rPr>
            </w:pPr>
          </w:p>
        </w:tc>
        <w:tc>
          <w:tcPr>
            <w:tcW w:w="1160" w:type="dxa"/>
            <w:vAlign w:val="bottom"/>
            <w:vMerge w:val="continue"/>
            <w:shd w:val="clear" w:color="auto" w:fill="EBEBEB"/>
          </w:tcPr>
          <w:p>
            <w:pPr>
              <w:spacing w:after="0"/>
              <w:rPr>
                <w:sz w:val="15"/>
                <w:szCs w:val="15"/>
                <w:color w:val="auto"/>
              </w:rPr>
            </w:pPr>
          </w:p>
        </w:tc>
        <w:tc>
          <w:tcPr>
            <w:tcW w:w="740" w:type="dxa"/>
            <w:vAlign w:val="bottom"/>
            <w:vMerge w:val="continue"/>
            <w:shd w:val="clear" w:color="auto" w:fill="EBEBEB"/>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440" w:type="dxa"/>
            <w:vAlign w:val="bottom"/>
            <w:vMerge w:val="continue"/>
            <w:shd w:val="clear" w:color="auto" w:fill="EBEBEB"/>
          </w:tcPr>
          <w:p>
            <w:pPr>
              <w:spacing w:after="0"/>
              <w:rPr>
                <w:sz w:val="7"/>
                <w:szCs w:val="7"/>
                <w:color w:val="auto"/>
              </w:rPr>
            </w:pPr>
          </w:p>
        </w:tc>
        <w:tc>
          <w:tcPr>
            <w:tcW w:w="1520" w:type="dxa"/>
            <w:vAlign w:val="bottom"/>
            <w:shd w:val="clear" w:color="auto" w:fill="EBEBEB"/>
          </w:tcPr>
          <w:p>
            <w:pPr>
              <w:spacing w:after="0"/>
              <w:rPr>
                <w:sz w:val="7"/>
                <w:szCs w:val="7"/>
                <w:color w:val="auto"/>
              </w:rPr>
            </w:pPr>
          </w:p>
        </w:tc>
        <w:tc>
          <w:tcPr>
            <w:tcW w:w="1160" w:type="dxa"/>
            <w:vAlign w:val="bottom"/>
            <w:shd w:val="clear" w:color="auto" w:fill="EBEBEB"/>
          </w:tcPr>
          <w:p>
            <w:pPr>
              <w:spacing w:after="0"/>
              <w:rPr>
                <w:sz w:val="7"/>
                <w:szCs w:val="7"/>
                <w:color w:val="auto"/>
              </w:rPr>
            </w:pPr>
          </w:p>
        </w:tc>
        <w:tc>
          <w:tcPr>
            <w:tcW w:w="1320" w:type="dxa"/>
            <w:vAlign w:val="bottom"/>
            <w:shd w:val="clear" w:color="auto" w:fill="EBEBEB"/>
          </w:tcPr>
          <w:p>
            <w:pPr>
              <w:spacing w:after="0"/>
              <w:rPr>
                <w:sz w:val="7"/>
                <w:szCs w:val="7"/>
                <w:color w:val="auto"/>
              </w:rPr>
            </w:pPr>
          </w:p>
        </w:tc>
        <w:tc>
          <w:tcPr>
            <w:tcW w:w="900" w:type="dxa"/>
            <w:vAlign w:val="bottom"/>
            <w:shd w:val="clear" w:color="auto" w:fill="EBEBEB"/>
          </w:tcPr>
          <w:p>
            <w:pPr>
              <w:spacing w:after="0"/>
              <w:rPr>
                <w:sz w:val="7"/>
                <w:szCs w:val="7"/>
                <w:color w:val="auto"/>
              </w:rPr>
            </w:pPr>
          </w:p>
        </w:tc>
        <w:tc>
          <w:tcPr>
            <w:tcW w:w="1160" w:type="dxa"/>
            <w:vAlign w:val="bottom"/>
            <w:shd w:val="clear" w:color="auto" w:fill="EBEBEB"/>
          </w:tcPr>
          <w:p>
            <w:pPr>
              <w:spacing w:after="0"/>
              <w:rPr>
                <w:sz w:val="7"/>
                <w:szCs w:val="7"/>
                <w:color w:val="auto"/>
              </w:rPr>
            </w:pPr>
          </w:p>
        </w:tc>
        <w:tc>
          <w:tcPr>
            <w:tcW w:w="1160" w:type="dxa"/>
            <w:vAlign w:val="bottom"/>
            <w:shd w:val="clear" w:color="auto" w:fill="EBEBEB"/>
          </w:tcPr>
          <w:p>
            <w:pPr>
              <w:spacing w:after="0"/>
              <w:rPr>
                <w:sz w:val="7"/>
                <w:szCs w:val="7"/>
                <w:color w:val="auto"/>
              </w:rPr>
            </w:pPr>
          </w:p>
        </w:tc>
        <w:tc>
          <w:tcPr>
            <w:tcW w:w="740" w:type="dxa"/>
            <w:vAlign w:val="bottom"/>
            <w:shd w:val="clear" w:color="auto" w:fill="EBEBEB"/>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1440" w:type="dxa"/>
            <w:vAlign w:val="bottom"/>
            <w:shd w:val="clear" w:color="auto" w:fill="FAFAFA"/>
          </w:tcPr>
          <w:p>
            <w:pPr>
              <w:spacing w:after="0"/>
              <w:rPr>
                <w:sz w:val="24"/>
                <w:szCs w:val="24"/>
                <w:color w:val="auto"/>
              </w:rPr>
            </w:pPr>
          </w:p>
        </w:tc>
        <w:tc>
          <w:tcPr>
            <w:tcW w:w="1520" w:type="dxa"/>
            <w:vAlign w:val="bottom"/>
            <w:shd w:val="clear" w:color="auto" w:fill="FAFAFA"/>
          </w:tcPr>
          <w:p>
            <w:pPr>
              <w:jc w:val="right"/>
              <w:spacing w:after="0"/>
              <w:rPr>
                <w:sz w:val="20"/>
                <w:szCs w:val="20"/>
                <w:color w:val="auto"/>
              </w:rPr>
            </w:pPr>
            <w:r>
              <w:rPr>
                <w:rFonts w:ascii="Arial" w:cs="Arial" w:eastAsia="Arial" w:hAnsi="Arial"/>
                <w:sz w:val="14"/>
                <w:szCs w:val="14"/>
                <w:color w:val="auto"/>
              </w:rPr>
              <w:t>1/8/2021</w:t>
            </w:r>
          </w:p>
        </w:tc>
        <w:tc>
          <w:tcPr>
            <w:tcW w:w="1160" w:type="dxa"/>
            <w:vAlign w:val="bottom"/>
            <w:shd w:val="clear" w:color="auto" w:fill="FAFAFA"/>
          </w:tcPr>
          <w:p>
            <w:pPr>
              <w:jc w:val="right"/>
              <w:ind w:right="26"/>
              <w:spacing w:after="0"/>
              <w:rPr>
                <w:sz w:val="20"/>
                <w:szCs w:val="20"/>
                <w:color w:val="auto"/>
              </w:rPr>
            </w:pPr>
            <w:r>
              <w:rPr>
                <w:rFonts w:ascii="Arial" w:cs="Arial" w:eastAsia="Arial" w:hAnsi="Arial"/>
                <w:sz w:val="14"/>
                <w:szCs w:val="14"/>
                <w:color w:val="auto"/>
              </w:rPr>
              <w:t>36,000</w:t>
            </w:r>
          </w:p>
        </w:tc>
        <w:tc>
          <w:tcPr>
            <w:tcW w:w="132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36,000</w:t>
            </w:r>
            <w:r>
              <w:rPr>
                <w:rFonts w:ascii="Arial" w:cs="Arial" w:eastAsia="Arial" w:hAnsi="Arial"/>
                <w:sz w:val="23"/>
                <w:szCs w:val="23"/>
                <w:color w:val="auto"/>
                <w:vertAlign w:val="superscript"/>
              </w:rPr>
              <w:t>(1)</w:t>
            </w:r>
          </w:p>
        </w:tc>
        <w:tc>
          <w:tcPr>
            <w:tcW w:w="900" w:type="dxa"/>
            <w:vAlign w:val="bottom"/>
            <w:shd w:val="clear" w:color="auto" w:fill="FAFAFA"/>
          </w:tcPr>
          <w:p>
            <w:pPr>
              <w:jc w:val="right"/>
              <w:ind w:right="26"/>
              <w:spacing w:after="0"/>
              <w:rPr>
                <w:sz w:val="20"/>
                <w:szCs w:val="20"/>
                <w:color w:val="auto"/>
              </w:rPr>
            </w:pPr>
            <w:r>
              <w:rPr>
                <w:rFonts w:ascii="Arial" w:cs="Arial" w:eastAsia="Arial" w:hAnsi="Arial"/>
                <w:sz w:val="14"/>
                <w:szCs w:val="14"/>
                <w:color w:val="auto"/>
              </w:rPr>
              <w:t>21.15</w:t>
            </w:r>
          </w:p>
        </w:tc>
        <w:tc>
          <w:tcPr>
            <w:tcW w:w="1160" w:type="dxa"/>
            <w:vAlign w:val="bottom"/>
            <w:shd w:val="clear" w:color="auto" w:fill="FAFAFA"/>
          </w:tcPr>
          <w:p>
            <w:pPr>
              <w:jc w:val="right"/>
              <w:ind w:right="167"/>
              <w:spacing w:after="0"/>
              <w:rPr>
                <w:sz w:val="20"/>
                <w:szCs w:val="20"/>
                <w:color w:val="auto"/>
              </w:rPr>
            </w:pPr>
            <w:r>
              <w:rPr>
                <w:rFonts w:ascii="Arial" w:cs="Arial" w:eastAsia="Arial" w:hAnsi="Arial"/>
                <w:sz w:val="14"/>
                <w:szCs w:val="14"/>
                <w:color w:val="auto"/>
              </w:rPr>
              <w:t>2/17/2031</w:t>
            </w:r>
          </w:p>
        </w:tc>
        <w:tc>
          <w:tcPr>
            <w:tcW w:w="1160" w:type="dxa"/>
            <w:vAlign w:val="bottom"/>
            <w:shd w:val="clear" w:color="auto" w:fill="FAFAFA"/>
          </w:tcPr>
          <w:p>
            <w:pPr>
              <w:jc w:val="right"/>
              <w:ind w:right="26"/>
              <w:spacing w:after="0"/>
              <w:rPr>
                <w:sz w:val="20"/>
                <w:szCs w:val="20"/>
                <w:color w:val="auto"/>
              </w:rPr>
            </w:pPr>
            <w:r>
              <w:rPr>
                <w:rFonts w:ascii="Arial" w:cs="Arial" w:eastAsia="Arial" w:hAnsi="Arial"/>
                <w:sz w:val="14"/>
                <w:szCs w:val="14"/>
                <w:color w:val="auto"/>
              </w:rPr>
              <w:t>—</w:t>
            </w:r>
          </w:p>
        </w:tc>
        <w:tc>
          <w:tcPr>
            <w:tcW w:w="740" w:type="dxa"/>
            <w:vAlign w:val="bottom"/>
            <w:shd w:val="clear" w:color="auto" w:fill="FAFAFA"/>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1"/>
        </w:trPr>
        <w:tc>
          <w:tcPr>
            <w:tcW w:w="1440" w:type="dxa"/>
            <w:vAlign w:val="bottom"/>
            <w:shd w:val="clear" w:color="auto" w:fill="EBEBEB"/>
          </w:tcPr>
          <w:p>
            <w:pPr>
              <w:spacing w:after="0"/>
              <w:rPr>
                <w:sz w:val="24"/>
                <w:szCs w:val="24"/>
                <w:color w:val="auto"/>
              </w:rPr>
            </w:pPr>
          </w:p>
        </w:tc>
        <w:tc>
          <w:tcPr>
            <w:tcW w:w="1520" w:type="dxa"/>
            <w:vAlign w:val="bottom"/>
            <w:shd w:val="clear" w:color="auto" w:fill="EBEBEB"/>
          </w:tcPr>
          <w:p>
            <w:pPr>
              <w:jc w:val="right"/>
              <w:spacing w:after="0"/>
              <w:rPr>
                <w:sz w:val="20"/>
                <w:szCs w:val="20"/>
                <w:color w:val="auto"/>
              </w:rPr>
            </w:pPr>
            <w:r>
              <w:rPr>
                <w:rFonts w:ascii="Arial" w:cs="Arial" w:eastAsia="Arial" w:hAnsi="Arial"/>
                <w:sz w:val="14"/>
                <w:szCs w:val="14"/>
                <w:color w:val="auto"/>
              </w:rPr>
              <w:t>11/3/2021</w:t>
            </w:r>
          </w:p>
        </w:tc>
        <w:tc>
          <w:tcPr>
            <w:tcW w:w="1160" w:type="dxa"/>
            <w:vAlign w:val="bottom"/>
            <w:shd w:val="clear" w:color="auto" w:fill="EBEBEB"/>
          </w:tcPr>
          <w:p>
            <w:pPr>
              <w:jc w:val="right"/>
              <w:ind w:right="26"/>
              <w:spacing w:after="0"/>
              <w:rPr>
                <w:sz w:val="20"/>
                <w:szCs w:val="20"/>
                <w:color w:val="auto"/>
              </w:rPr>
            </w:pPr>
            <w:r>
              <w:rPr>
                <w:rFonts w:ascii="Arial" w:cs="Arial" w:eastAsia="Arial" w:hAnsi="Arial"/>
                <w:sz w:val="14"/>
                <w:szCs w:val="14"/>
                <w:color w:val="auto"/>
              </w:rPr>
              <w:t>—</w:t>
            </w:r>
          </w:p>
        </w:tc>
        <w:tc>
          <w:tcPr>
            <w:tcW w:w="1320" w:type="dxa"/>
            <w:vAlign w:val="bottom"/>
            <w:shd w:val="clear" w:color="auto" w:fill="EBEBEB"/>
          </w:tcPr>
          <w:p>
            <w:pPr>
              <w:jc w:val="right"/>
              <w:ind w:right="7"/>
              <w:spacing w:after="0"/>
              <w:rPr>
                <w:sz w:val="20"/>
                <w:szCs w:val="20"/>
                <w:color w:val="auto"/>
              </w:rPr>
            </w:pPr>
            <w:r>
              <w:rPr>
                <w:rFonts w:ascii="Arial" w:cs="Arial" w:eastAsia="Arial" w:hAnsi="Arial"/>
                <w:sz w:val="14"/>
                <w:szCs w:val="14"/>
                <w:color w:val="auto"/>
              </w:rPr>
              <w:t>—</w:t>
            </w:r>
          </w:p>
        </w:tc>
        <w:tc>
          <w:tcPr>
            <w:tcW w:w="900" w:type="dxa"/>
            <w:vAlign w:val="bottom"/>
            <w:shd w:val="clear" w:color="auto" w:fill="EBEBEB"/>
          </w:tcPr>
          <w:p>
            <w:pPr>
              <w:jc w:val="right"/>
              <w:ind w:right="26"/>
              <w:spacing w:after="0"/>
              <w:rPr>
                <w:sz w:val="20"/>
                <w:szCs w:val="20"/>
                <w:color w:val="auto"/>
              </w:rPr>
            </w:pPr>
            <w:r>
              <w:rPr>
                <w:rFonts w:ascii="Arial" w:cs="Arial" w:eastAsia="Arial" w:hAnsi="Arial"/>
                <w:sz w:val="14"/>
                <w:szCs w:val="14"/>
                <w:color w:val="auto"/>
              </w:rPr>
              <w:t>—</w:t>
            </w:r>
          </w:p>
        </w:tc>
        <w:tc>
          <w:tcPr>
            <w:tcW w:w="1160" w:type="dxa"/>
            <w:vAlign w:val="bottom"/>
            <w:shd w:val="clear" w:color="auto" w:fill="EBEBEB"/>
          </w:tcPr>
          <w:p>
            <w:pPr>
              <w:jc w:val="right"/>
              <w:ind w:right="167"/>
              <w:spacing w:after="0"/>
              <w:rPr>
                <w:sz w:val="20"/>
                <w:szCs w:val="20"/>
                <w:color w:val="auto"/>
              </w:rPr>
            </w:pPr>
            <w:r>
              <w:rPr>
                <w:rFonts w:ascii="Arial" w:cs="Arial" w:eastAsia="Arial" w:hAnsi="Arial"/>
                <w:sz w:val="14"/>
                <w:szCs w:val="14"/>
                <w:color w:val="auto"/>
              </w:rPr>
              <w:t>11/2/2031</w:t>
            </w:r>
          </w:p>
        </w:tc>
        <w:tc>
          <w:tcPr>
            <w:tcW w:w="1160" w:type="dxa"/>
            <w:vAlign w:val="bottom"/>
            <w:shd w:val="clear" w:color="auto" w:fill="EBEBEB"/>
          </w:tcPr>
          <w:p>
            <w:pPr>
              <w:jc w:val="right"/>
              <w:ind w:right="26"/>
              <w:spacing w:after="0"/>
              <w:rPr>
                <w:sz w:val="20"/>
                <w:szCs w:val="20"/>
                <w:color w:val="auto"/>
              </w:rPr>
            </w:pPr>
            <w:r>
              <w:rPr>
                <w:rFonts w:ascii="Arial" w:cs="Arial" w:eastAsia="Arial" w:hAnsi="Arial"/>
                <w:sz w:val="14"/>
                <w:szCs w:val="14"/>
                <w:color w:val="auto"/>
              </w:rPr>
              <w:t>20,000</w:t>
            </w:r>
            <w:r>
              <w:rPr>
                <w:rFonts w:ascii="Arial" w:cs="Arial" w:eastAsia="Arial" w:hAnsi="Arial"/>
                <w:sz w:val="23"/>
                <w:szCs w:val="23"/>
                <w:color w:val="auto"/>
                <w:vertAlign w:val="superscript"/>
              </w:rPr>
              <w:t>(5)</w:t>
            </w:r>
          </w:p>
        </w:tc>
        <w:tc>
          <w:tcPr>
            <w:tcW w:w="740" w:type="dxa"/>
            <w:vAlign w:val="bottom"/>
            <w:shd w:val="clear" w:color="auto" w:fill="EBEBEB"/>
          </w:tcPr>
          <w:p>
            <w:pPr>
              <w:jc w:val="right"/>
              <w:spacing w:after="0"/>
              <w:rPr>
                <w:sz w:val="20"/>
                <w:szCs w:val="20"/>
                <w:color w:val="auto"/>
              </w:rPr>
            </w:pPr>
            <w:r>
              <w:rPr>
                <w:rFonts w:ascii="Arial" w:cs="Arial" w:eastAsia="Arial" w:hAnsi="Arial"/>
                <w:sz w:val="14"/>
                <w:szCs w:val="14"/>
                <w:color w:val="auto"/>
              </w:rPr>
              <w:t>48,600</w:t>
            </w:r>
          </w:p>
        </w:tc>
        <w:tc>
          <w:tcPr>
            <w:tcW w:w="0" w:type="dxa"/>
            <w:vAlign w:val="bottom"/>
          </w:tcPr>
          <w:p>
            <w:pPr>
              <w:spacing w:after="0"/>
              <w:rPr>
                <w:sz w:val="1"/>
                <w:szCs w:val="1"/>
                <w:color w:val="auto"/>
              </w:rPr>
            </w:pPr>
          </w:p>
        </w:tc>
      </w:tr>
      <w:tr>
        <w:trPr>
          <w:trHeight w:val="310"/>
        </w:trPr>
        <w:tc>
          <w:tcPr>
            <w:tcW w:w="1440" w:type="dxa"/>
            <w:vAlign w:val="bottom"/>
            <w:shd w:val="clear" w:color="auto" w:fill="FAFAFA"/>
          </w:tcPr>
          <w:p>
            <w:pPr>
              <w:spacing w:after="0"/>
              <w:rPr>
                <w:sz w:val="24"/>
                <w:szCs w:val="24"/>
                <w:color w:val="auto"/>
              </w:rPr>
            </w:pPr>
          </w:p>
        </w:tc>
        <w:tc>
          <w:tcPr>
            <w:tcW w:w="1520" w:type="dxa"/>
            <w:vAlign w:val="bottom"/>
            <w:shd w:val="clear" w:color="auto" w:fill="FAFAFA"/>
          </w:tcPr>
          <w:p>
            <w:pPr>
              <w:jc w:val="right"/>
              <w:spacing w:after="0"/>
              <w:rPr>
                <w:sz w:val="20"/>
                <w:szCs w:val="20"/>
                <w:color w:val="auto"/>
              </w:rPr>
            </w:pPr>
            <w:r>
              <w:rPr>
                <w:rFonts w:ascii="Arial" w:cs="Arial" w:eastAsia="Arial" w:hAnsi="Arial"/>
                <w:sz w:val="14"/>
                <w:szCs w:val="14"/>
                <w:color w:val="auto"/>
              </w:rPr>
              <w:t>1/18/2022</w:t>
            </w:r>
          </w:p>
        </w:tc>
        <w:tc>
          <w:tcPr>
            <w:tcW w:w="1160" w:type="dxa"/>
            <w:vAlign w:val="bottom"/>
            <w:shd w:val="clear" w:color="auto" w:fill="FAFAFA"/>
          </w:tcPr>
          <w:p>
            <w:pPr>
              <w:jc w:val="right"/>
              <w:ind w:right="26"/>
              <w:spacing w:after="0"/>
              <w:rPr>
                <w:sz w:val="20"/>
                <w:szCs w:val="20"/>
                <w:color w:val="auto"/>
              </w:rPr>
            </w:pPr>
            <w:r>
              <w:rPr>
                <w:rFonts w:ascii="Arial" w:cs="Arial" w:eastAsia="Arial" w:hAnsi="Arial"/>
                <w:sz w:val="14"/>
                <w:szCs w:val="14"/>
                <w:color w:val="auto"/>
              </w:rPr>
              <w:t>86,250</w:t>
            </w:r>
          </w:p>
        </w:tc>
        <w:tc>
          <w:tcPr>
            <w:tcW w:w="1320" w:type="dxa"/>
            <w:vAlign w:val="bottom"/>
            <w:shd w:val="clear" w:color="auto" w:fill="FAFAFA"/>
          </w:tcPr>
          <w:p>
            <w:pPr>
              <w:jc w:val="right"/>
              <w:ind w:right="7"/>
              <w:spacing w:after="0"/>
              <w:rPr>
                <w:sz w:val="20"/>
                <w:szCs w:val="20"/>
                <w:color w:val="auto"/>
              </w:rPr>
            </w:pPr>
            <w:r>
              <w:rPr>
                <w:rFonts w:ascii="Arial" w:cs="Arial" w:eastAsia="Arial" w:hAnsi="Arial"/>
                <w:sz w:val="14"/>
                <w:szCs w:val="14"/>
                <w:color w:val="auto"/>
              </w:rPr>
              <w:t>93,750</w:t>
            </w:r>
            <w:r>
              <w:rPr>
                <w:rFonts w:ascii="Arial" w:cs="Arial" w:eastAsia="Arial" w:hAnsi="Arial"/>
                <w:sz w:val="23"/>
                <w:szCs w:val="23"/>
                <w:color w:val="auto"/>
                <w:vertAlign w:val="superscript"/>
              </w:rPr>
              <w:t>(2)</w:t>
            </w:r>
          </w:p>
        </w:tc>
        <w:tc>
          <w:tcPr>
            <w:tcW w:w="900" w:type="dxa"/>
            <w:vAlign w:val="bottom"/>
            <w:shd w:val="clear" w:color="auto" w:fill="FAFAFA"/>
          </w:tcPr>
          <w:p>
            <w:pPr>
              <w:jc w:val="right"/>
              <w:ind w:right="26"/>
              <w:spacing w:after="0"/>
              <w:rPr>
                <w:sz w:val="20"/>
                <w:szCs w:val="20"/>
                <w:color w:val="auto"/>
              </w:rPr>
            </w:pPr>
            <w:r>
              <w:rPr>
                <w:rFonts w:ascii="Arial" w:cs="Arial" w:eastAsia="Arial" w:hAnsi="Arial"/>
                <w:sz w:val="14"/>
                <w:szCs w:val="14"/>
                <w:color w:val="auto"/>
              </w:rPr>
              <w:t>10.64</w:t>
            </w:r>
          </w:p>
        </w:tc>
        <w:tc>
          <w:tcPr>
            <w:tcW w:w="1160" w:type="dxa"/>
            <w:vAlign w:val="bottom"/>
            <w:shd w:val="clear" w:color="auto" w:fill="FAFAFA"/>
          </w:tcPr>
          <w:p>
            <w:pPr>
              <w:jc w:val="right"/>
              <w:ind w:right="167"/>
              <w:spacing w:after="0"/>
              <w:rPr>
                <w:sz w:val="20"/>
                <w:szCs w:val="20"/>
                <w:color w:val="auto"/>
              </w:rPr>
            </w:pPr>
            <w:r>
              <w:rPr>
                <w:rFonts w:ascii="Arial" w:cs="Arial" w:eastAsia="Arial" w:hAnsi="Arial"/>
                <w:sz w:val="14"/>
                <w:szCs w:val="14"/>
                <w:color w:val="auto"/>
              </w:rPr>
              <w:t>1/17/2032</w:t>
            </w:r>
          </w:p>
        </w:tc>
        <w:tc>
          <w:tcPr>
            <w:tcW w:w="1160" w:type="dxa"/>
            <w:vAlign w:val="bottom"/>
            <w:shd w:val="clear" w:color="auto" w:fill="FAFAFA"/>
          </w:tcPr>
          <w:p>
            <w:pPr>
              <w:jc w:val="right"/>
              <w:ind w:right="26"/>
              <w:spacing w:after="0"/>
              <w:rPr>
                <w:sz w:val="20"/>
                <w:szCs w:val="20"/>
                <w:color w:val="auto"/>
              </w:rPr>
            </w:pPr>
            <w:r>
              <w:rPr>
                <w:rFonts w:ascii="Arial" w:cs="Arial" w:eastAsia="Arial" w:hAnsi="Arial"/>
                <w:sz w:val="14"/>
                <w:szCs w:val="14"/>
                <w:color w:val="auto"/>
              </w:rPr>
              <w:t>—</w:t>
            </w:r>
          </w:p>
        </w:tc>
        <w:tc>
          <w:tcPr>
            <w:tcW w:w="740" w:type="dxa"/>
            <w:vAlign w:val="bottom"/>
            <w:shd w:val="clear" w:color="auto" w:fill="FAFAFA"/>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1"/>
        </w:trPr>
        <w:tc>
          <w:tcPr>
            <w:tcW w:w="1440" w:type="dxa"/>
            <w:vAlign w:val="bottom"/>
            <w:shd w:val="clear" w:color="auto" w:fill="EBEBEB"/>
          </w:tcPr>
          <w:p>
            <w:pPr>
              <w:spacing w:after="0"/>
              <w:rPr>
                <w:sz w:val="24"/>
                <w:szCs w:val="24"/>
                <w:color w:val="auto"/>
              </w:rPr>
            </w:pPr>
          </w:p>
        </w:tc>
        <w:tc>
          <w:tcPr>
            <w:tcW w:w="1520" w:type="dxa"/>
            <w:vAlign w:val="bottom"/>
            <w:shd w:val="clear" w:color="auto" w:fill="EBEBEB"/>
          </w:tcPr>
          <w:p>
            <w:pPr>
              <w:jc w:val="right"/>
              <w:spacing w:after="0"/>
              <w:rPr>
                <w:sz w:val="20"/>
                <w:szCs w:val="20"/>
                <w:color w:val="auto"/>
              </w:rPr>
            </w:pPr>
            <w:r>
              <w:rPr>
                <w:rFonts w:ascii="Arial" w:cs="Arial" w:eastAsia="Arial" w:hAnsi="Arial"/>
                <w:sz w:val="14"/>
                <w:szCs w:val="14"/>
                <w:color w:val="auto"/>
              </w:rPr>
              <w:t>1/19/2023</w:t>
            </w:r>
          </w:p>
        </w:tc>
        <w:tc>
          <w:tcPr>
            <w:tcW w:w="1160" w:type="dxa"/>
            <w:vAlign w:val="bottom"/>
            <w:shd w:val="clear" w:color="auto" w:fill="EBEBEB"/>
          </w:tcPr>
          <w:p>
            <w:pPr>
              <w:jc w:val="right"/>
              <w:ind w:right="26"/>
              <w:spacing w:after="0"/>
              <w:rPr>
                <w:sz w:val="20"/>
                <w:szCs w:val="20"/>
                <w:color w:val="auto"/>
              </w:rPr>
            </w:pPr>
            <w:r>
              <w:rPr>
                <w:rFonts w:ascii="Arial" w:cs="Arial" w:eastAsia="Arial" w:hAnsi="Arial"/>
                <w:sz w:val="14"/>
                <w:szCs w:val="14"/>
                <w:color w:val="auto"/>
              </w:rPr>
              <w:t>61,111</w:t>
            </w:r>
          </w:p>
        </w:tc>
        <w:tc>
          <w:tcPr>
            <w:tcW w:w="1320" w:type="dxa"/>
            <w:vAlign w:val="bottom"/>
            <w:shd w:val="clear" w:color="auto" w:fill="EBEBEB"/>
          </w:tcPr>
          <w:p>
            <w:pPr>
              <w:jc w:val="right"/>
              <w:ind w:right="7"/>
              <w:spacing w:after="0"/>
              <w:rPr>
                <w:sz w:val="20"/>
                <w:szCs w:val="20"/>
                <w:color w:val="auto"/>
              </w:rPr>
            </w:pPr>
            <w:r>
              <w:rPr>
                <w:rFonts w:ascii="Arial" w:cs="Arial" w:eastAsia="Arial" w:hAnsi="Arial"/>
                <w:sz w:val="14"/>
                <w:szCs w:val="14"/>
                <w:color w:val="auto"/>
              </w:rPr>
              <w:t>138,889</w:t>
            </w:r>
            <w:r>
              <w:rPr>
                <w:rFonts w:ascii="Arial" w:cs="Arial" w:eastAsia="Arial" w:hAnsi="Arial"/>
                <w:sz w:val="23"/>
                <w:szCs w:val="23"/>
                <w:color w:val="auto"/>
                <w:vertAlign w:val="superscript"/>
              </w:rPr>
              <w:t>(3)</w:t>
            </w:r>
          </w:p>
        </w:tc>
        <w:tc>
          <w:tcPr>
            <w:tcW w:w="900" w:type="dxa"/>
            <w:vAlign w:val="bottom"/>
            <w:shd w:val="clear" w:color="auto" w:fill="EBEBEB"/>
          </w:tcPr>
          <w:p>
            <w:pPr>
              <w:jc w:val="right"/>
              <w:ind w:right="26"/>
              <w:spacing w:after="0"/>
              <w:rPr>
                <w:sz w:val="20"/>
                <w:szCs w:val="20"/>
                <w:color w:val="auto"/>
              </w:rPr>
            </w:pPr>
            <w:r>
              <w:rPr>
                <w:rFonts w:ascii="Arial" w:cs="Arial" w:eastAsia="Arial" w:hAnsi="Arial"/>
                <w:sz w:val="14"/>
                <w:szCs w:val="14"/>
                <w:color w:val="auto"/>
              </w:rPr>
              <w:t>3.37</w:t>
            </w:r>
          </w:p>
        </w:tc>
        <w:tc>
          <w:tcPr>
            <w:tcW w:w="1160" w:type="dxa"/>
            <w:vAlign w:val="bottom"/>
            <w:shd w:val="clear" w:color="auto" w:fill="EBEBEB"/>
          </w:tcPr>
          <w:p>
            <w:pPr>
              <w:jc w:val="right"/>
              <w:ind w:right="167"/>
              <w:spacing w:after="0"/>
              <w:rPr>
                <w:sz w:val="20"/>
                <w:szCs w:val="20"/>
                <w:color w:val="auto"/>
              </w:rPr>
            </w:pPr>
            <w:r>
              <w:rPr>
                <w:rFonts w:ascii="Arial" w:cs="Arial" w:eastAsia="Arial" w:hAnsi="Arial"/>
                <w:sz w:val="14"/>
                <w:szCs w:val="14"/>
                <w:color w:val="auto"/>
              </w:rPr>
              <w:t>1/18/2033</w:t>
            </w:r>
          </w:p>
        </w:tc>
        <w:tc>
          <w:tcPr>
            <w:tcW w:w="1160" w:type="dxa"/>
            <w:vAlign w:val="bottom"/>
            <w:shd w:val="clear" w:color="auto" w:fill="EBEBEB"/>
          </w:tcPr>
          <w:p>
            <w:pPr>
              <w:jc w:val="right"/>
              <w:ind w:right="26"/>
              <w:spacing w:after="0"/>
              <w:rPr>
                <w:sz w:val="20"/>
                <w:szCs w:val="20"/>
                <w:color w:val="auto"/>
              </w:rPr>
            </w:pPr>
            <w:r>
              <w:rPr>
                <w:rFonts w:ascii="Arial" w:cs="Arial" w:eastAsia="Arial" w:hAnsi="Arial"/>
                <w:sz w:val="14"/>
                <w:szCs w:val="14"/>
                <w:color w:val="auto"/>
              </w:rPr>
              <w:t>—</w:t>
            </w:r>
          </w:p>
        </w:tc>
        <w:tc>
          <w:tcPr>
            <w:tcW w:w="740" w:type="dxa"/>
            <w:vAlign w:val="bottom"/>
            <w:shd w:val="clear" w:color="auto" w:fill="EBEBE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-247650</wp:posOffset>
            </wp:positionV>
            <wp:extent cx="59664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-445135</wp:posOffset>
            </wp:positionV>
            <wp:extent cx="59664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-642620</wp:posOffset>
            </wp:positionV>
            <wp:extent cx="596646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-839470</wp:posOffset>
            </wp:positionV>
            <wp:extent cx="59664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-1139190</wp:posOffset>
            </wp:positionV>
            <wp:extent cx="59664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-1336675</wp:posOffset>
            </wp:positionV>
            <wp:extent cx="59664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-1533525</wp:posOffset>
            </wp:positionV>
            <wp:extent cx="59664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-1731010</wp:posOffset>
            </wp:positionV>
            <wp:extent cx="596646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-1927860</wp:posOffset>
            </wp:positionV>
            <wp:extent cx="59664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-2125345</wp:posOffset>
            </wp:positionV>
            <wp:extent cx="59664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-2322195</wp:posOffset>
            </wp:positionV>
            <wp:extent cx="59664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-2519680</wp:posOffset>
            </wp:positionV>
            <wp:extent cx="59664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-3514090</wp:posOffset>
            </wp:positionV>
            <wp:extent cx="40462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04622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-2699385</wp:posOffset>
            </wp:positionV>
            <wp:extent cx="59664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33" w:lineRule="exact"/>
        <w:rPr>
          <w:sz w:val="20"/>
          <w:szCs w:val="20"/>
          <w:color w:val="auto"/>
        </w:rPr>
      </w:pPr>
    </w:p>
    <w:p>
      <w:pPr>
        <w:ind w:left="320" w:right="80" w:hanging="224"/>
        <w:spacing w:after="0" w:line="285" w:lineRule="auto"/>
        <w:tabs>
          <w:tab w:leader="none" w:pos="320" w:val="left"/>
        </w:tabs>
        <w:numPr>
          <w:ilvl w:val="0"/>
          <w:numId w:val="28"/>
        </w:numPr>
        <w:rPr>
          <w:rFonts w:ascii="Arial" w:cs="Arial" w:eastAsia="Arial" w:hAnsi="Arial"/>
          <w:sz w:val="14"/>
          <w:szCs w:val="14"/>
          <w:color w:val="255993"/>
        </w:rPr>
      </w:pPr>
      <w:r>
        <w:rPr>
          <w:rFonts w:ascii="Arial" w:cs="Arial" w:eastAsia="Arial" w:hAnsi="Arial"/>
          <w:sz w:val="14"/>
          <w:szCs w:val="14"/>
          <w:color w:val="255993"/>
        </w:rPr>
        <w:t>Stock option vests over four years, with 1/4 vesting on each anniversary of the vesting commencement date, subject to continued service with us through the applicable vesting date.</w:t>
      </w:r>
    </w:p>
    <w:p>
      <w:pPr>
        <w:spacing w:after="0" w:line="22" w:lineRule="exact"/>
        <w:rPr>
          <w:rFonts w:ascii="Arial" w:cs="Arial" w:eastAsia="Arial" w:hAnsi="Arial"/>
          <w:sz w:val="14"/>
          <w:szCs w:val="14"/>
          <w:color w:val="255993"/>
        </w:rPr>
      </w:pPr>
    </w:p>
    <w:p>
      <w:pPr>
        <w:ind w:left="320" w:right="360" w:hanging="224"/>
        <w:spacing w:after="0" w:line="285" w:lineRule="auto"/>
        <w:tabs>
          <w:tab w:leader="none" w:pos="320" w:val="left"/>
        </w:tabs>
        <w:numPr>
          <w:ilvl w:val="0"/>
          <w:numId w:val="28"/>
        </w:numPr>
        <w:rPr>
          <w:rFonts w:ascii="Arial" w:cs="Arial" w:eastAsia="Arial" w:hAnsi="Arial"/>
          <w:sz w:val="14"/>
          <w:szCs w:val="14"/>
          <w:color w:val="255993"/>
        </w:rPr>
      </w:pPr>
      <w:r>
        <w:rPr>
          <w:rFonts w:ascii="Arial" w:cs="Arial" w:eastAsia="Arial" w:hAnsi="Arial"/>
          <w:sz w:val="14"/>
          <w:szCs w:val="14"/>
          <w:color w:val="255993"/>
        </w:rPr>
        <w:t>Stock option vests over four years, with 1/48 vesting on the monthly anniversary of the vesting commencement date, subject to continued service with us through the applicable vesting date.</w:t>
      </w:r>
    </w:p>
    <w:p>
      <w:pPr>
        <w:spacing w:after="0" w:line="36" w:lineRule="exact"/>
        <w:rPr>
          <w:rFonts w:ascii="Arial" w:cs="Arial" w:eastAsia="Arial" w:hAnsi="Arial"/>
          <w:sz w:val="14"/>
          <w:szCs w:val="14"/>
          <w:color w:val="255993"/>
        </w:rPr>
      </w:pPr>
    </w:p>
    <w:p>
      <w:pPr>
        <w:ind w:left="320" w:right="280" w:hanging="224"/>
        <w:spacing w:after="0" w:line="285" w:lineRule="auto"/>
        <w:tabs>
          <w:tab w:leader="none" w:pos="320" w:val="left"/>
        </w:tabs>
        <w:numPr>
          <w:ilvl w:val="0"/>
          <w:numId w:val="28"/>
        </w:numPr>
        <w:rPr>
          <w:rFonts w:ascii="Arial" w:cs="Arial" w:eastAsia="Arial" w:hAnsi="Arial"/>
          <w:sz w:val="14"/>
          <w:szCs w:val="14"/>
          <w:color w:val="255993"/>
        </w:rPr>
      </w:pPr>
      <w:r>
        <w:rPr>
          <w:rFonts w:ascii="Arial" w:cs="Arial" w:eastAsia="Arial" w:hAnsi="Arial"/>
          <w:sz w:val="14"/>
          <w:szCs w:val="14"/>
          <w:color w:val="255993"/>
        </w:rPr>
        <w:t>Stock option vests over three years, with 1/36 vesting on the monthly anniversary of the vesting commencement date, subject to continued service with us through the applicable vesting date.</w:t>
      </w:r>
    </w:p>
    <w:p>
      <w:pPr>
        <w:spacing w:after="0" w:line="36" w:lineRule="exact"/>
        <w:rPr>
          <w:rFonts w:ascii="Arial" w:cs="Arial" w:eastAsia="Arial" w:hAnsi="Arial"/>
          <w:sz w:val="14"/>
          <w:szCs w:val="14"/>
          <w:color w:val="255993"/>
        </w:rPr>
      </w:pPr>
    </w:p>
    <w:p>
      <w:pPr>
        <w:ind w:left="320" w:right="20" w:hanging="224"/>
        <w:spacing w:after="0" w:line="256" w:lineRule="auto"/>
        <w:tabs>
          <w:tab w:leader="none" w:pos="320" w:val="left"/>
        </w:tabs>
        <w:numPr>
          <w:ilvl w:val="0"/>
          <w:numId w:val="28"/>
        </w:numPr>
        <w:rPr>
          <w:rFonts w:ascii="Arial" w:cs="Arial" w:eastAsia="Arial" w:hAnsi="Arial"/>
          <w:sz w:val="14"/>
          <w:szCs w:val="14"/>
          <w:color w:val="255993"/>
        </w:rPr>
      </w:pPr>
      <w:r>
        <w:rPr>
          <w:rFonts w:ascii="Arial" w:cs="Arial" w:eastAsia="Arial" w:hAnsi="Arial"/>
          <w:sz w:val="14"/>
          <w:szCs w:val="14"/>
          <w:color w:val="255993"/>
        </w:rPr>
        <w:t>Stock option vests over four years, with 1/3 vesting on the first anniversary of the vesting commencement date, and the remaining shares shall vest monthly over the next 36 months as follows: 1/3 of the shares shall vest in equal monthly amounts over the next 12 months, 1/6 of the shares shall vest in equal monthly amounts over the subsequent 12 months, and the remaining 1/6 of the shares shall vest in equal monthly amounts over the final 12 months, in each case subject to continued service with us through the applicable vesting date.</w:t>
      </w:r>
    </w:p>
    <w:p>
      <w:pPr>
        <w:spacing w:after="0" w:line="42" w:lineRule="exact"/>
        <w:rPr>
          <w:rFonts w:ascii="Arial" w:cs="Arial" w:eastAsia="Arial" w:hAnsi="Arial"/>
          <w:sz w:val="14"/>
          <w:szCs w:val="14"/>
          <w:color w:val="255993"/>
        </w:rPr>
      </w:pPr>
    </w:p>
    <w:p>
      <w:pPr>
        <w:ind w:left="320" w:right="20" w:hanging="224"/>
        <w:spacing w:after="0" w:line="219" w:lineRule="auto"/>
        <w:tabs>
          <w:tab w:leader="none" w:pos="320" w:val="left"/>
        </w:tabs>
        <w:numPr>
          <w:ilvl w:val="0"/>
          <w:numId w:val="28"/>
        </w:numPr>
        <w:rPr>
          <w:rFonts w:ascii="Arial" w:cs="Arial" w:eastAsia="Arial" w:hAnsi="Arial"/>
          <w:sz w:val="14"/>
          <w:szCs w:val="14"/>
          <w:color w:val="255993"/>
        </w:rPr>
      </w:pPr>
      <w:r>
        <w:rPr>
          <w:rFonts w:ascii="Arial" w:cs="Arial" w:eastAsia="Arial" w:hAnsi="Arial"/>
          <w:sz w:val="14"/>
          <w:szCs w:val="14"/>
          <w:color w:val="255993"/>
        </w:rPr>
        <w:t>The performance RSU awards are earned and become eligible to vest in three equal tranches in accordance with the following schedule: One third (1/3</w:t>
      </w:r>
      <w:r>
        <w:rPr>
          <w:rFonts w:ascii="Arial" w:cs="Arial" w:eastAsia="Arial" w:hAnsi="Arial"/>
          <w:sz w:val="23"/>
          <w:szCs w:val="23"/>
          <w:color w:val="255993"/>
          <w:vertAlign w:val="superscript"/>
        </w:rPr>
        <w:t>rd</w:t>
      </w:r>
      <w:r>
        <w:rPr>
          <w:rFonts w:ascii="Arial" w:cs="Arial" w:eastAsia="Arial" w:hAnsi="Arial"/>
          <w:sz w:val="14"/>
          <w:szCs w:val="14"/>
          <w:color w:val="255993"/>
        </w:rPr>
        <w:t>) of the number of shares subject to the RSU award vested at the completion of the public readout of topline results of the Company’s ACT-AD Phase 2 clinical trial in June 2022, one third (1/3</w:t>
      </w:r>
      <w:r>
        <w:rPr>
          <w:rFonts w:ascii="Arial" w:cs="Arial" w:eastAsia="Arial" w:hAnsi="Arial"/>
          <w:sz w:val="23"/>
          <w:szCs w:val="23"/>
          <w:color w:val="255993"/>
          <w:vertAlign w:val="superscript"/>
        </w:rPr>
        <w:t>rd</w:t>
      </w:r>
      <w:r>
        <w:rPr>
          <w:rFonts w:ascii="Arial" w:cs="Arial" w:eastAsia="Arial" w:hAnsi="Arial"/>
          <w:sz w:val="14"/>
          <w:szCs w:val="14"/>
          <w:color w:val="255993"/>
        </w:rPr>
        <w:t>) of the number of shares subject to the RSU award vested in January 2024 when the Compensation Committee determined that enrollment of the Company’s LIFT-AD Phase 2/3 clinical trial had been completed, and the remaining one third (1/3</w:t>
      </w:r>
      <w:r>
        <w:rPr>
          <w:rFonts w:ascii="Arial" w:cs="Arial" w:eastAsia="Arial" w:hAnsi="Arial"/>
          <w:sz w:val="23"/>
          <w:szCs w:val="23"/>
          <w:color w:val="255993"/>
          <w:vertAlign w:val="superscript"/>
        </w:rPr>
        <w:t>rd</w:t>
      </w:r>
      <w:r>
        <w:rPr>
          <w:rFonts w:ascii="Arial" w:cs="Arial" w:eastAsia="Arial" w:hAnsi="Arial"/>
          <w:sz w:val="14"/>
          <w:szCs w:val="14"/>
          <w:color w:val="255993"/>
        </w:rPr>
        <w:t>) of the number of shares subject to the RSU award shall vest at the completion of the public readout of topline results of the Company’s LIFT-AD Phase 2/3 clinical trial, in each case subject to continued service with us through the applicable vesting date. In addition, the vesting of the performance RSUs may be accelerated in the event that, on or within 12 months following a Change in Control (within the meaning of the 2020 Equity Incentive Plan), the award recipient is terminated by the Company without “cause” (as defined in the recipient’s award agreement). The preceding vesting schedule was adopted by the compensation committee of the board of directors in December 2022 due to changed circumstances relating to the performance goals under the original vesting schedule. Prior to its amendment, the original vesting schedule of the RSU awards was as follows: One third (1/3</w:t>
      </w:r>
      <w:r>
        <w:rPr>
          <w:rFonts w:ascii="Arial" w:cs="Arial" w:eastAsia="Arial" w:hAnsi="Arial"/>
          <w:sz w:val="23"/>
          <w:szCs w:val="23"/>
          <w:color w:val="255993"/>
          <w:vertAlign w:val="superscript"/>
        </w:rPr>
        <w:t>rd</w:t>
      </w:r>
      <w:r>
        <w:rPr>
          <w:rFonts w:ascii="Arial" w:cs="Arial" w:eastAsia="Arial" w:hAnsi="Arial"/>
          <w:sz w:val="14"/>
          <w:szCs w:val="14"/>
          <w:color w:val="255993"/>
        </w:rPr>
        <w:t>) of the number of shares subject to the RSU award shall vest at the completion of the public readout of topline results of the Company’s ACT-AD Phase 2 clinical trial, one third (1/3</w:t>
      </w:r>
      <w:r>
        <w:rPr>
          <w:rFonts w:ascii="Arial" w:cs="Arial" w:eastAsia="Arial" w:hAnsi="Arial"/>
          <w:sz w:val="23"/>
          <w:szCs w:val="23"/>
          <w:color w:val="255993"/>
          <w:vertAlign w:val="superscript"/>
        </w:rPr>
        <w:t>rd</w:t>
      </w:r>
      <w:r>
        <w:rPr>
          <w:rFonts w:ascii="Arial" w:cs="Arial" w:eastAsia="Arial" w:hAnsi="Arial"/>
          <w:sz w:val="14"/>
          <w:szCs w:val="14"/>
          <w:color w:val="255993"/>
        </w:rPr>
        <w:t>) of the number of shares subject to the RSU award shall vest at the completion of the public readout of topline results of the Company’s LIFT-AD Phase 2/3 clinical trial (the “LIFT-AD Readout”), and the remaining one third (1/3</w:t>
      </w:r>
      <w:r>
        <w:rPr>
          <w:rFonts w:ascii="Arial" w:cs="Arial" w:eastAsia="Arial" w:hAnsi="Arial"/>
          <w:sz w:val="23"/>
          <w:szCs w:val="23"/>
          <w:color w:val="255993"/>
          <w:vertAlign w:val="superscript"/>
        </w:rPr>
        <w:t>rd</w:t>
      </w:r>
      <w:r>
        <w:rPr>
          <w:rFonts w:ascii="Arial" w:cs="Arial" w:eastAsia="Arial" w:hAnsi="Arial"/>
          <w:sz w:val="14"/>
          <w:szCs w:val="14"/>
          <w:color w:val="255993"/>
        </w:rPr>
        <w:t>) of the number of shares subject to the RSU award shall be scheduled to vest six (6) months after the LIFT-AD Readout in each case, subject to continued service with us through the applicable vesting date.</w:t>
      </w:r>
    </w:p>
    <w:p>
      <w:pPr>
        <w:spacing w:after="0" w:line="78" w:lineRule="exact"/>
        <w:rPr>
          <w:rFonts w:ascii="Arial" w:cs="Arial" w:eastAsia="Arial" w:hAnsi="Arial"/>
          <w:sz w:val="14"/>
          <w:szCs w:val="14"/>
          <w:color w:val="255993"/>
        </w:rPr>
      </w:pPr>
    </w:p>
    <w:p>
      <w:pPr>
        <w:ind w:left="320" w:right="40" w:hanging="224"/>
        <w:spacing w:after="0" w:line="248" w:lineRule="auto"/>
        <w:tabs>
          <w:tab w:leader="none" w:pos="320" w:val="left"/>
        </w:tabs>
        <w:numPr>
          <w:ilvl w:val="0"/>
          <w:numId w:val="28"/>
        </w:numPr>
        <w:rPr>
          <w:rFonts w:ascii="Arial" w:cs="Arial" w:eastAsia="Arial" w:hAnsi="Arial"/>
          <w:sz w:val="14"/>
          <w:szCs w:val="14"/>
          <w:color w:val="255993"/>
        </w:rPr>
      </w:pPr>
      <w:r>
        <w:rPr>
          <w:rFonts w:ascii="Arial" w:cs="Arial" w:eastAsia="Arial" w:hAnsi="Arial"/>
          <w:sz w:val="14"/>
          <w:szCs w:val="14"/>
          <w:color w:val="255993"/>
        </w:rPr>
        <w:t>The performance RSU award is earned and becomes eligible to vest in two equal tranches in accordance with the following schedule: Fifty percent (50%) of the number of shares subject to the RSU award vested in January 2024 when the Compensation Committee determined that enrollment of the Company’s LIFT-AD Phase 2/3 clinical trial had been completed, and the remaining fifty percent (50%) of the shares subject to the RSUs shall vest at the completion of the public readout of topline results of the Company's LIFT-AD Phase 2/3 clinical trial, subject to continued service with us through the applicable vesting date. In addition, the vesting of the performance RSUs may be accelerated in the event that, on or within 12 months following a Change in Control (within the meaning of the 2020 Equity Incentive Plan), the award recipient is terminated by the Company without “cause” (as defined in the recipient’s award agreement).</w:t>
      </w:r>
    </w:p>
    <w:p>
      <w:pPr>
        <w:spacing w:after="0" w:line="63" w:lineRule="exact"/>
        <w:rPr>
          <w:rFonts w:ascii="Arial" w:cs="Arial" w:eastAsia="Arial" w:hAnsi="Arial"/>
          <w:sz w:val="14"/>
          <w:szCs w:val="14"/>
          <w:color w:val="255993"/>
        </w:rPr>
      </w:pPr>
    </w:p>
    <w:p>
      <w:pPr>
        <w:ind w:left="320" w:hanging="224"/>
        <w:spacing w:after="0"/>
        <w:tabs>
          <w:tab w:leader="none" w:pos="320" w:val="left"/>
        </w:tabs>
        <w:numPr>
          <w:ilvl w:val="0"/>
          <w:numId w:val="28"/>
        </w:numPr>
        <w:rPr>
          <w:rFonts w:ascii="Arial" w:cs="Arial" w:eastAsia="Arial" w:hAnsi="Arial"/>
          <w:sz w:val="14"/>
          <w:szCs w:val="14"/>
          <w:color w:val="255993"/>
        </w:rPr>
      </w:pPr>
      <w:r>
        <w:rPr>
          <w:rFonts w:ascii="Arial" w:cs="Arial" w:eastAsia="Arial" w:hAnsi="Arial"/>
          <w:sz w:val="14"/>
          <w:szCs w:val="14"/>
          <w:color w:val="255993"/>
        </w:rPr>
        <w:t>Dr. Moebius resigned as our chief medical officer in January 2024 but continues to provide advisory services to the Company.</w:t>
      </w:r>
    </w:p>
    <w:p>
      <w:pPr>
        <w:spacing w:after="0" w:line="217"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36</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4"/>
          <w:szCs w:val="14"/>
          <w:color w:val="255993"/>
        </w:rPr>
        <w:t>Executive Compensation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EXECUTIVE EMPLOYMENT ARRANGEMENTS</w:t>
      </w:r>
    </w:p>
    <w:p>
      <w:pPr>
        <w:spacing w:after="0" w:line="108"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Each of our named executive officers has executed our standard form of confidential information, invention assignment and arbitration agreement.</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DR. MARK LITTON</w:t>
      </w:r>
    </w:p>
    <w:p>
      <w:pPr>
        <w:spacing w:after="0" w:line="113"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In September 2020, we entered into a confirmatory employment letter with Dr. Litton, our then chief operating officer and current president and chief executive officer. The confirmatory employment letter has no specific term and provides that Dr. Litton is an at-will employee and superseded all prior employment agreements between Dr. Litton and us.</w:t>
      </w:r>
    </w:p>
    <w:p>
      <w:pPr>
        <w:spacing w:after="0" w:line="10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In January 2023, the board of directors, upon recommendation of the compensation committee of the board of directors, approved an increase to Dr. Litton’s annual base salary from $543,400 to $585,000, effective as of January 1, 2023, as well as an increase to Dr. Litton’s target annual bonus amount under the Company’s bonus plan from 50% to 55% of Dr. Litton’s annual base salary.</w:t>
      </w:r>
    </w:p>
    <w:p>
      <w:pPr>
        <w:spacing w:after="0" w:line="10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In February 2024, the board of directors, upon recommendation of the compensation committee of the board of directors, approved an increase to Dr. Litton’s annual base salary from $585,000 to $625,000, effective as of January 1, 2024.</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ANDREW GENGOS</w:t>
      </w:r>
    </w:p>
    <w:p>
      <w:pPr>
        <w:spacing w:after="0" w:line="113"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In May 2023, we entered into an offer letter with Mr. Gengos, our chief financial officer and chief business officer. The offer letter has no specific term and provides that Mr. Gengos is an at-will employee. The offer letter provides for an annual base salary of $465,000 and annual target cash incentive payment up to 40% of his annual base salary.</w:t>
      </w:r>
    </w:p>
    <w:p>
      <w:pPr>
        <w:spacing w:after="0" w:line="9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February 2024, the board of directors, upon recommendation of the compensation committee of the board of directors, approved an increase to Mr. Gengos’s annual base salary from $465,000 to $485,000, effective as of January 1, 2024.</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DR. HANS MOEBIUS</w:t>
      </w:r>
    </w:p>
    <w:p>
      <w:pPr>
        <w:spacing w:after="0" w:line="113"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Dr. Moebius, our former chief medical officer, resigned as our chief medical officer in January 2024 but continues to provide advisory services to the company. Prior to his resignation, he was subject to an employment letter agreement with us, which had been entered into in September 2020. The employment agreement had no specific term and provided that Dr. Moebius was an at-will employee, as defined under applicable law, and superseded any prior employment or other service agreements between Dr. Moebius and us.</w:t>
      </w:r>
    </w:p>
    <w:p>
      <w:pPr>
        <w:spacing w:after="0" w:line="112"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In January 2023, the compensation committee of the board of directors approved an increase to Dr. Moebius’s annual base salary from $430,000 to $465,000 effective as of January 1, 2023. In April 2023, in order to defray the costs associated with Dr. Moebius’s mandatory and elective benefits contributions, the compensation committee of the board of directors approved an increase to</w:t>
      </w:r>
    </w:p>
    <w:p>
      <w:pPr>
        <w:spacing w:after="0" w:line="1"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Dr. Moebius’s annual bonus stipend to 9.061% from 8.465% of his annual cash bonus and an increase to Dr. Moebius’s monthly mandatory and elective benefit-related stipend to $8,986, or $5,475 plus 9.061% of his annual base salary, from $5,200. For 2022 and 2023, Dr. Moebius was eligible for an annual target cash incentive payment equal to 40% of his base salary.</w:t>
      </w:r>
    </w:p>
    <w:p>
      <w:pPr>
        <w:spacing w:after="0" w:line="111" w:lineRule="exact"/>
        <w:rPr>
          <w:sz w:val="20"/>
          <w:szCs w:val="20"/>
          <w:color w:val="auto"/>
        </w:rPr>
      </w:pPr>
    </w:p>
    <w:p>
      <w:pPr>
        <w:ind w:right="520"/>
        <w:spacing w:after="0" w:line="259" w:lineRule="auto"/>
        <w:rPr>
          <w:sz w:val="20"/>
          <w:szCs w:val="20"/>
          <w:color w:val="auto"/>
        </w:rPr>
      </w:pPr>
      <w:r>
        <w:rPr>
          <w:rFonts w:ascii="Arial" w:cs="Arial" w:eastAsia="Arial" w:hAnsi="Arial"/>
          <w:sz w:val="16"/>
          <w:szCs w:val="16"/>
          <w:color w:val="auto"/>
        </w:rPr>
        <w:t>In connection with Dr. Moebius’s resignation as chief medical officer in January 2024, he entered into an executive transition agreement pursuant to which he agreed to provide advisory services through December 31, 2024. For a description of this agreement see the section of this proxy statement titled “Executive Compensation – Change in Control and Severance Agreements and Arrangements.”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Dr. Moebius resigned as our chief medical officer in January 2024 but continues to provide advisory services to the company.</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PERFORMANCE RSU AWARDS</w:t>
      </w:r>
    </w:p>
    <w:p>
      <w:pPr>
        <w:spacing w:after="0" w:line="113"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The compensation committee of the board of directors approved grants of performance-based RSU awards under the Company’s 2020 Equity Incentive Plan to Dr. Litton and Dr. Moebius in November 2021 and to Mr. Gengos in May 2023 to provide additional performance incentives aligned with key strategic goals. The number of the performance-based RSU awards are set forth in the table entitled “</w:t>
      </w:r>
      <w:r>
        <w:rPr>
          <w:rFonts w:ascii="Arial" w:cs="Arial" w:eastAsia="Arial" w:hAnsi="Arial"/>
          <w:sz w:val="16"/>
          <w:szCs w:val="16"/>
          <w:i w:val="1"/>
          <w:iCs w:val="1"/>
          <w:color w:val="auto"/>
        </w:rPr>
        <w:t>Outstanding Equity Awards at December 31, 2023</w:t>
      </w:r>
      <w:r>
        <w:rPr>
          <w:rFonts w:ascii="Arial" w:cs="Arial" w:eastAsia="Arial" w:hAnsi="Arial"/>
          <w:sz w:val="16"/>
          <w:szCs w:val="16"/>
          <w:color w:val="auto"/>
        </w:rPr>
        <w:t>.”</w:t>
      </w:r>
    </w:p>
    <w:p>
      <w:pPr>
        <w:spacing w:after="0" w:line="183"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37</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126365</wp:posOffset>
            </wp:positionV>
            <wp:extent cx="6995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255993"/>
        </w:rPr>
        <w:t>Executive Compensation</w:t>
      </w:r>
    </w:p>
    <w:p>
      <w:pPr>
        <w:spacing w:after="0" w:line="104"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In December 2022, the compensation committee of the board of directors revised the vesting schedule of the performance RSUs held by Dr. Litton and Dr. Moebius due to changed circumstances relating to the performance goals under the original vesting schedule. At the time of such amendment, one third (1/3rd) of the number of shares subject to the RSU award had vested upon the completion of the public readout of topline results of the Company’s ACT-AD Phase 2 clinical trial in June 2022. The original vesting schedule provided that an additional one third (1/3rd) of the number of shares subject to the RSU award would vest at the completion of the public readout of topline results of the Company’s LIFT-AD Phase 2/3 clinical trial (the “LIFT-AD Readout”), and the remaining one third (1/3rd) of the number of shares subject to the RSU award would be scheduled to vest six (6) months after the LIFT-AD Readout, in each case subject to the recipient’s continued service with us through the vesting date. The vesting schedule was amended with respect to the remaining two-thirds (2/3rds) of the shares subject to the RSU award that remained unvested at the time of the amendment, to provide that one third (1/3rd) of the shares subject to the RSU award would vest at the date the compensation committee of the board of directors determined that enrollment of the Company’s LIFT-AD Phase 2/3 clinical trial had been completed (which occurred in January 2024), and the remaining one third (1/3rd) of the number of shares subject to the RSU award will vest at the completion of the public readout of topline results of the Company’s LIFT-AD Phase 2/3 clinical trial, in each case subject to the recipient’s continued service with us through the vesting date.</w:t>
      </w:r>
    </w:p>
    <w:p>
      <w:pPr>
        <w:spacing w:after="0" w:line="122"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The performance RSUs granted to Mr. Gengos in May 2023 are earned and become eligible to vest in two equal tranches in accordance with the following schedule: Fifty percent (50%) of the number of shares subject to the RSU award vested in January 2024 when the compensation committee determined that enrollment of the Company’s LIFT-AD Phase 2/3 clinical trial had been completed, and the remaining fifty percent (50%) of the shares subject to the RSUs shall vest at the completion of the public readout of topline results of the Company's LIFT-AD Phase 2/3 clinical trial, subject to continued service with us through the applicable vesting date.</w:t>
      </w:r>
    </w:p>
    <w:p>
      <w:pPr>
        <w:spacing w:after="0" w:line="114" w:lineRule="exact"/>
        <w:rPr>
          <w:sz w:val="20"/>
          <w:szCs w:val="20"/>
          <w:color w:val="auto"/>
        </w:rPr>
      </w:pPr>
    </w:p>
    <w:p>
      <w:pPr>
        <w:ind w:right="400"/>
        <w:spacing w:after="0" w:line="266" w:lineRule="auto"/>
        <w:rPr>
          <w:sz w:val="20"/>
          <w:szCs w:val="20"/>
          <w:color w:val="auto"/>
        </w:rPr>
      </w:pPr>
      <w:r>
        <w:rPr>
          <w:rFonts w:ascii="Arial" w:cs="Arial" w:eastAsia="Arial" w:hAnsi="Arial"/>
          <w:sz w:val="16"/>
          <w:szCs w:val="16"/>
          <w:color w:val="auto"/>
        </w:rPr>
        <w:t>The performance RSU agreements provide for 100% vesting acceleration in the event that, on or within 12 months following a Change in Control (within the meaning of the 2020 Equity Incentive Plan), the award recipient is terminated by the Company without “cause” (as defined in the recipient’s award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CHANGE IN CONTROL AND SEVERANCE AGREEMENTS AND ARRANGEMENTS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Agreements</w:t>
      </w:r>
    </w:p>
    <w:p>
      <w:pPr>
        <w:spacing w:after="0" w:line="113"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In September 2020 we entered into a change in control and severance agreement with Dr. Moebius, in January 2022 we entered into an amended change in control and severance agreement with Dr. Litton, and in May 2023 we entered into a change in control and severance agreement with Mr. Gengos, which agreements provide for certain severance and change in control benefits as described below.</w:t>
      </w:r>
    </w:p>
    <w:p>
      <w:pPr>
        <w:spacing w:after="0" w:line="110"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If the employment of a named executive officer with whom we have entered into a change in control and severance agreement is terminated outside the period beginning one month prior to the date of a change in control and ending 12 months following that change in control (the Change in Control Period) either (1) by the Company without “cause” (excluding by reason of death or disability) or (2) by the named executive officer for “good reason” (as such terms are defined in the named executive officer’s change in control and severance agreement), the named executive officer will receive the following benefits if such named executive officer timely signs and does not revoke a release of claims in our favor:</w:t>
      </w:r>
    </w:p>
    <w:p>
      <w:pPr>
        <w:spacing w:after="0" w:line="128" w:lineRule="exact"/>
        <w:rPr>
          <w:sz w:val="20"/>
          <w:szCs w:val="20"/>
          <w:color w:val="auto"/>
        </w:rPr>
      </w:pPr>
    </w:p>
    <w:p>
      <w:pPr>
        <w:ind w:left="140" w:right="40" w:hanging="134"/>
        <w:spacing w:after="0" w:line="259" w:lineRule="auto"/>
        <w:tabs>
          <w:tab w:leader="none" w:pos="140" w:val="left"/>
        </w:tabs>
        <w:numPr>
          <w:ilvl w:val="0"/>
          <w:numId w:val="29"/>
        </w:numPr>
        <w:rPr>
          <w:rFonts w:ascii="Arial" w:cs="Arial" w:eastAsia="Arial" w:hAnsi="Arial"/>
          <w:sz w:val="16"/>
          <w:szCs w:val="16"/>
          <w:color w:val="255993"/>
        </w:rPr>
      </w:pPr>
      <w:r>
        <w:rPr>
          <w:rFonts w:ascii="Arial" w:cs="Arial" w:eastAsia="Arial" w:hAnsi="Arial"/>
          <w:sz w:val="16"/>
          <w:szCs w:val="16"/>
          <w:color w:val="auto"/>
        </w:rPr>
        <w:t>a lump-sum payment equal to 9 months (or 12 months in the case of Dr. Litton or in the case of Mr. Gengos, in the event such termination occurs on or before the first anniversary of the commencement of Mr. Gengos’s employment) of the named executive officer’s annual base salary as in effect immediately prior to such termination (or if such termination is due to a resignation for good reason based on a material reduction in base salary, then as in effect immediately prior to the reduction);</w:t>
      </w:r>
    </w:p>
    <w:p>
      <w:pPr>
        <w:spacing w:after="0" w:line="15" w:lineRule="exact"/>
        <w:rPr>
          <w:rFonts w:ascii="Arial" w:cs="Arial" w:eastAsia="Arial" w:hAnsi="Arial"/>
          <w:sz w:val="16"/>
          <w:szCs w:val="16"/>
          <w:color w:val="255993"/>
        </w:rPr>
      </w:pPr>
    </w:p>
    <w:p>
      <w:pPr>
        <w:ind w:left="140" w:right="160" w:hanging="134"/>
        <w:spacing w:after="0" w:line="266" w:lineRule="auto"/>
        <w:tabs>
          <w:tab w:leader="none" w:pos="140" w:val="left"/>
        </w:tabs>
        <w:numPr>
          <w:ilvl w:val="0"/>
          <w:numId w:val="29"/>
        </w:numPr>
        <w:rPr>
          <w:rFonts w:ascii="Arial" w:cs="Arial" w:eastAsia="Arial" w:hAnsi="Arial"/>
          <w:sz w:val="16"/>
          <w:szCs w:val="16"/>
          <w:color w:val="255993"/>
        </w:rPr>
      </w:pPr>
      <w:r>
        <w:rPr>
          <w:rFonts w:ascii="Arial" w:cs="Arial" w:eastAsia="Arial" w:hAnsi="Arial"/>
          <w:sz w:val="16"/>
          <w:szCs w:val="16"/>
          <w:color w:val="auto"/>
        </w:rPr>
        <w:t>for named executive officers other than Dr. Moebius, payment of premiums for coverage under the Consolidated Omnibus Budget Reconciliation Act of 1985, as amended (COBRA), for the named executive officer and his or her eligible dependents, if any, for up to 9 months (or up to 12 months for Dr. Litton); and</w:t>
      </w:r>
    </w:p>
    <w:p>
      <w:pPr>
        <w:spacing w:after="0" w:line="9" w:lineRule="exact"/>
        <w:rPr>
          <w:rFonts w:ascii="Arial" w:cs="Arial" w:eastAsia="Arial" w:hAnsi="Arial"/>
          <w:sz w:val="16"/>
          <w:szCs w:val="16"/>
          <w:color w:val="255993"/>
        </w:rPr>
      </w:pPr>
    </w:p>
    <w:p>
      <w:pPr>
        <w:ind w:left="140" w:right="300" w:hanging="134"/>
        <w:spacing w:after="0" w:line="286" w:lineRule="auto"/>
        <w:tabs>
          <w:tab w:leader="none" w:pos="140" w:val="left"/>
        </w:tabs>
        <w:numPr>
          <w:ilvl w:val="0"/>
          <w:numId w:val="29"/>
        </w:numPr>
        <w:rPr>
          <w:rFonts w:ascii="Arial" w:cs="Arial" w:eastAsia="Arial" w:hAnsi="Arial"/>
          <w:sz w:val="16"/>
          <w:szCs w:val="16"/>
          <w:color w:val="255993"/>
        </w:rPr>
      </w:pPr>
      <w:r>
        <w:rPr>
          <w:rFonts w:ascii="Arial" w:cs="Arial" w:eastAsia="Arial" w:hAnsi="Arial"/>
          <w:sz w:val="16"/>
          <w:szCs w:val="16"/>
          <w:color w:val="auto"/>
        </w:rPr>
        <w:t>in the case of Dr. Litton, 25% accelerated vesting and exercisability of the shares subject to the stock option award granted to Dr. Litton on August 15, 2019, that are outstanding and unvested as of the date of such termination.</w:t>
      </w:r>
    </w:p>
    <w:p>
      <w:pPr>
        <w:spacing w:after="0" w:line="160"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38</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7820"/>
        <w:spacing w:after="0"/>
        <w:rPr>
          <w:sz w:val="20"/>
          <w:szCs w:val="20"/>
          <w:color w:val="auto"/>
        </w:rPr>
      </w:pPr>
      <w:r>
        <w:rPr>
          <w:rFonts w:ascii="Arial" w:cs="Arial" w:eastAsia="Arial" w:hAnsi="Arial"/>
          <w:sz w:val="14"/>
          <w:szCs w:val="14"/>
          <w:color w:val="255993"/>
        </w:rPr>
        <w:t>Executive Compensation</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If, during the Change in Control Period, the employment of a named executive officer with whom we have entered into a change in control and severance agreement is terminated either (1) by the Company without cause (excluding by reason of death or disability) or (2) by the named executive officer for good reason, the named executive officer will receive the following benefits if the named executive officer timely signs and does not revoke a separation agreement and release of claims in our favor:</w:t>
      </w:r>
    </w:p>
    <w:p>
      <w:pPr>
        <w:spacing w:after="0" w:line="124" w:lineRule="exact"/>
        <w:rPr>
          <w:sz w:val="20"/>
          <w:szCs w:val="20"/>
          <w:color w:val="auto"/>
        </w:rPr>
      </w:pPr>
    </w:p>
    <w:p>
      <w:pPr>
        <w:ind w:left="140" w:right="60" w:hanging="134"/>
        <w:spacing w:after="0" w:line="259" w:lineRule="auto"/>
        <w:tabs>
          <w:tab w:leader="none" w:pos="140" w:val="left"/>
        </w:tabs>
        <w:numPr>
          <w:ilvl w:val="0"/>
          <w:numId w:val="30"/>
        </w:numPr>
        <w:rPr>
          <w:rFonts w:ascii="Arial" w:cs="Arial" w:eastAsia="Arial" w:hAnsi="Arial"/>
          <w:sz w:val="16"/>
          <w:szCs w:val="16"/>
          <w:color w:val="255993"/>
        </w:rPr>
      </w:pPr>
      <w:r>
        <w:rPr>
          <w:rFonts w:ascii="Arial" w:cs="Arial" w:eastAsia="Arial" w:hAnsi="Arial"/>
          <w:sz w:val="16"/>
          <w:szCs w:val="16"/>
          <w:color w:val="auto"/>
        </w:rPr>
        <w:t>a lump-sum payment equal to 12 months (or 18 months in the case of Dr. Litton) of the named executive officer’s annual base salary as in effect immediately prior to such termination (or if such termination is due to a resignation for good reason based on a material reduction in base salary, then as in effect immediately prior to the reduction) or if greater, at the level in effect immediately prior to the change in control;</w:t>
      </w:r>
    </w:p>
    <w:p>
      <w:pPr>
        <w:spacing w:after="0" w:line="15" w:lineRule="exact"/>
        <w:rPr>
          <w:rFonts w:ascii="Arial" w:cs="Arial" w:eastAsia="Arial" w:hAnsi="Arial"/>
          <w:sz w:val="16"/>
          <w:szCs w:val="16"/>
          <w:color w:val="255993"/>
        </w:rPr>
      </w:pPr>
    </w:p>
    <w:p>
      <w:pPr>
        <w:ind w:left="140" w:right="20" w:hanging="134"/>
        <w:spacing w:after="0" w:line="266" w:lineRule="auto"/>
        <w:tabs>
          <w:tab w:leader="none" w:pos="140" w:val="left"/>
        </w:tabs>
        <w:numPr>
          <w:ilvl w:val="0"/>
          <w:numId w:val="30"/>
        </w:numPr>
        <w:rPr>
          <w:rFonts w:ascii="Arial" w:cs="Arial" w:eastAsia="Arial" w:hAnsi="Arial"/>
          <w:sz w:val="16"/>
          <w:szCs w:val="16"/>
          <w:color w:val="255993"/>
        </w:rPr>
      </w:pPr>
      <w:r>
        <w:rPr>
          <w:rFonts w:ascii="Arial" w:cs="Arial" w:eastAsia="Arial" w:hAnsi="Arial"/>
          <w:sz w:val="16"/>
          <w:szCs w:val="16"/>
          <w:color w:val="auto"/>
        </w:rPr>
        <w:t>a lump-sum payment equal to 100% (or 150% in the case of Dr. Litton) of the named executive officer’s target annual bonus as in effect for the fiscal year in which such termination occurs or if greater, at the level in effect, immediately prior to the change in control;</w:t>
      </w:r>
    </w:p>
    <w:p>
      <w:pPr>
        <w:spacing w:after="0" w:line="9" w:lineRule="exact"/>
        <w:rPr>
          <w:rFonts w:ascii="Arial" w:cs="Arial" w:eastAsia="Arial" w:hAnsi="Arial"/>
          <w:sz w:val="16"/>
          <w:szCs w:val="16"/>
          <w:color w:val="255993"/>
        </w:rPr>
      </w:pPr>
    </w:p>
    <w:p>
      <w:pPr>
        <w:ind w:left="140" w:right="100" w:hanging="134"/>
        <w:spacing w:after="0" w:line="281" w:lineRule="auto"/>
        <w:tabs>
          <w:tab w:leader="none" w:pos="140" w:val="left"/>
        </w:tabs>
        <w:numPr>
          <w:ilvl w:val="0"/>
          <w:numId w:val="30"/>
        </w:numPr>
        <w:rPr>
          <w:rFonts w:ascii="Arial" w:cs="Arial" w:eastAsia="Arial" w:hAnsi="Arial"/>
          <w:sz w:val="16"/>
          <w:szCs w:val="16"/>
          <w:color w:val="255993"/>
        </w:rPr>
      </w:pPr>
      <w:r>
        <w:rPr>
          <w:rFonts w:ascii="Arial" w:cs="Arial" w:eastAsia="Arial" w:hAnsi="Arial"/>
          <w:sz w:val="16"/>
          <w:szCs w:val="16"/>
          <w:color w:val="auto"/>
        </w:rPr>
        <w:t>for named executive officers other than Dr. Moebius, payment of premiums for coverage under COBRA for the named executive officer and the named executive officer’s eligible dependents, if any, for up to 12 months (or up to 18 months for Dr. Litton); and</w:t>
      </w:r>
    </w:p>
    <w:p>
      <w:pPr>
        <w:spacing w:after="0" w:line="1" w:lineRule="exact"/>
        <w:rPr>
          <w:rFonts w:ascii="Arial" w:cs="Arial" w:eastAsia="Arial" w:hAnsi="Arial"/>
          <w:sz w:val="16"/>
          <w:szCs w:val="16"/>
          <w:color w:val="255993"/>
        </w:rPr>
      </w:pPr>
    </w:p>
    <w:p>
      <w:pPr>
        <w:ind w:left="140" w:right="80" w:hanging="134"/>
        <w:spacing w:after="0" w:line="286" w:lineRule="auto"/>
        <w:tabs>
          <w:tab w:leader="none" w:pos="140" w:val="left"/>
        </w:tabs>
        <w:numPr>
          <w:ilvl w:val="0"/>
          <w:numId w:val="30"/>
        </w:numPr>
        <w:rPr>
          <w:rFonts w:ascii="Arial" w:cs="Arial" w:eastAsia="Arial" w:hAnsi="Arial"/>
          <w:sz w:val="16"/>
          <w:szCs w:val="16"/>
          <w:color w:val="255993"/>
        </w:rPr>
      </w:pPr>
      <w:r>
        <w:rPr>
          <w:rFonts w:ascii="Arial" w:cs="Arial" w:eastAsia="Arial" w:hAnsi="Arial"/>
          <w:sz w:val="16"/>
          <w:szCs w:val="16"/>
          <w:color w:val="auto"/>
        </w:rPr>
        <w:t>100% accelerated vesting and exercisability of all Company equity awards with service-based vesting (but that are not subject to performance-based vesting) that are outstanding and unvested as of the date of the qualifying termination.</w:t>
      </w:r>
    </w:p>
    <w:p>
      <w:pPr>
        <w:spacing w:after="0" w:line="88"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In addition, the change in control and severance agreements with Dr. Litton and Dr. Moebius provide for 100% accelerated vesting and exercisability of Company equity awards granted under our 2014 Equity Incentive Plan and held by Dr. Litton or Dr. Moebius, as applicable, to the extent such awards are not assumed or substituted for by the successor corporation in a change in control.</w:t>
      </w:r>
    </w:p>
    <w:p>
      <w:pPr>
        <w:spacing w:after="0" w:line="104"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If any of the amounts provided for under these change in control and severance agreements or otherwise payable to Dr. Litton, Dr. Moebius, or Mr. Gengos would constitute “parachute payments” within the meaning of Section 280G of the Internal Revenue Code and could be subject to the related excise tax, the named executive officer would be entitled to receive either full payment of benefits or such lesser amount which would result in no portion of the benefits being subject to the excise tax, whichever results in the greater amount of after-tax benefits to the named executive officer. The change in control and severance agreements do not require us to provide any tax gross-up payments.</w:t>
      </w:r>
    </w:p>
    <w:p>
      <w:pPr>
        <w:spacing w:after="0" w:line="101" w:lineRule="exact"/>
        <w:rPr>
          <w:sz w:val="20"/>
          <w:szCs w:val="20"/>
          <w:color w:val="auto"/>
        </w:rPr>
      </w:pPr>
    </w:p>
    <w:p>
      <w:pPr>
        <w:ind w:right="280"/>
        <w:spacing w:after="0" w:line="252" w:lineRule="auto"/>
        <w:rPr>
          <w:sz w:val="20"/>
          <w:szCs w:val="20"/>
          <w:color w:val="auto"/>
        </w:rPr>
      </w:pPr>
      <w:r>
        <w:rPr>
          <w:rFonts w:ascii="Arial" w:cs="Arial" w:eastAsia="Arial" w:hAnsi="Arial"/>
          <w:sz w:val="16"/>
          <w:szCs w:val="16"/>
          <w:color w:val="auto"/>
        </w:rPr>
        <w:t>Under the change in control and severance agreement, “cause” generally means the named executive officer’s: indictment or conviction of any felony or any crime involving dishonesty or moral turpitude; participation in any fraud against us or other dishonesty which is not the result of an innocent or inadvertent mistake by the named executive officer with respect to us; willful violation of his obligations to us after there has been delivered to the named executive officer a written demand for performance from the board of directors; continued violation or breach of any material written Company policy, agreement with us, or any statutory or fiduciary duty to us after we have delivered to the named executive officer a written notification of such violation or breach; or damaging or misappropriating or attempting to damage or misappropriate any of our property, including intellectual property.</w:t>
      </w:r>
    </w:p>
    <w:p>
      <w:pPr>
        <w:spacing w:after="0" w:line="11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Under the change in control and severance agreement, “good reason” generally means that the named executive officer resigns from the Company within 30 days following the end of our cure period (discussed below) as a result of any of the following that occurs without his consent: a material reduction in the named executive officer’s duties or responsibilities that is inconsistent with his position, provided that a mere change of title alone will not constitute such a material reduction; the requirement that the named executive officer change his principal office to a facility that increases his commute by more than 40 miles from his commute to the location at which the named executive officer was employed prior to such change; or a material reduction in base salary or a material reduction in his employee benefits (other than (1) in connection with a general decrease in salary (or employee benefits, as applicable) of all similarly situated employees, and (2) following our change in control, to the extent necessary to make his salary (or employee benefits, as applicable) commensurate with those of our other employees or our successor entity or parent entity who are similarly situated with him). For a resignation to qualify as “good reason,” the named executive officer also must provide written notice within 90 days following the initial existence of the good reason condition, and we must have failed to materially remedy such event within 30 days after receipt of such notice.</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In January 2024 we entered into an executive transition agreement with Dr. Moebius. Under the terms of this agreement, Dr. Moebius voluntarily resigned as chief medical officer and agreed to continue employment on a full-time basis as a senior scientific advisor for a transition period ending March 31, 2024. During the transition period Dr. Moebius continued to receive his base salary of $465,000 per year,</w:t>
      </w:r>
    </w:p>
    <w:p>
      <w:pPr>
        <w:spacing w:after="0" w:line="183"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39</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255993"/>
        </w:rPr>
        <w:t>Executive Compensation</w:t>
      </w:r>
    </w:p>
    <w:p>
      <w:pPr>
        <w:spacing w:after="0" w:line="104"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a monthly stipend of $5,200 to defray the cost associated with his mandatory and elective benefit contributions, vesting of Company equity awards and continued effectiveness of his change in control and severance agreement, although neither his transition to an advisory role nor resignation at the end of the transition period triggered severance benefits under the change in control and severance agreement. During his transition period, he also remained eligible to participate in the Company’s fiscal year 2023 bonus program with a target bonus amount equal to 40% of his annual base salary and to receive his annual bonus-related stipend equal to 9.06% of his fiscal 2023 bonus, if any. Following the transition period, Dr. Moebius agreed to continue to provide services to the Company under the terms of a consulting agreement with a scheduled termination date of December 31, 2024, unless terminated earlier by either party pursuant to its terms. The executive transition agreement also provided for Dr. Moebius’s eligibility to receive an option to purchase 67,000 shares of Company common stock under our 2020 Equity Incentive Plan in the first quarter of 2024, subject to his continued service through the grant date and to approval by the board of directors or the compensation committee. The executive transition agreement also amended Dr. Moebius’s outstanding Company stock options to provide for an extended eighteen (18) month post-termination exercise period in the event of termination of his employment without “cause” (as defined in the agreement) or due to his death, or if the consulting agreement is terminated without “cause” or upon its expiration in December 2024.</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EQUITY INCENTIVE PLANS</w:t>
      </w:r>
    </w:p>
    <w:p>
      <w:pPr>
        <w:spacing w:after="0" w:line="135"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Under our 2020 Equity Incentive Plan and our 2024 Inducement Equity Incentive Plan (which was adopted in February 2024), unless otherwise specified in an award agreement for a particular award, all unvested options, restricted stock units and other equity awards vest in full and, if applicable, become exercisable, and performance-based awards would be deemed achieved at 100% of target, upon a “change in control” (as defined in the applicable plan) of the Company or a merger of the Company with or into another corporation or entity, unless the option or award is assumed or substituted for by the acquiring entity, and to the extent exercisable, would terminate if not exercised within the applicable period.</w:t>
      </w:r>
    </w:p>
    <w:p>
      <w:pPr>
        <w:spacing w:after="0" w:line="114"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All awards granted under our 2014 Equity Incentive Plan to our named executive officers are fully vested. Under our 2014 Equity Incentive Plan, in the event of a “corporate transaction” as defined thereunder, these outstanding awards may be assumed, continued or substituted for by the surviving or acquiring corporation, or the awards may be cancelled for no consideration or in exchange for such cash consideration as our board of directors deems appropriate, including that an option may be cancelled for a payment equal to the difference between the value the named executive officer would have received upon exercise of the option and the option exercise price.</w:t>
      </w:r>
    </w:p>
    <w:p>
      <w:pPr>
        <w:spacing w:after="0" w:line="11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Our board of directors or the compensation committee, as administrator of our equity incentive plans, has the authority to provide for the accelerated vesting of any or all outstanding equity awards under the plans.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CLAWBACK POLICY</w:t>
      </w:r>
    </w:p>
    <w:p>
      <w:pPr>
        <w:spacing w:after="0" w:line="108"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In February 2023, our board of directors adopted an executive compensation clawback policy (our “Clawback Policy”) applicable to our current and future former executive officers. This initial Clawback Policy provided us the right, within three years following the original filing date of the applicable financial statements, to recover certain compensation from executive officers in the event all or a portion of our financial statements were subject to a material negative restatement as the result of the gross negligence, intentional misconduct or fraud by an executive officer. We amended and restated our Clawback Policy in November 2023 to reflect the Nasdaq listing standards that became effective in October 2023. In accordance with the Nasdaq listing standard requirements, our amended and restated Clawback Policy provides that if we are required to prepare an accounting restatement due to our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then we must recover from the covered executives any excess compensation covered by the Clawback Policy. As described in more detail in our Clawback Policy, excess compensation generally is incentive-based compensation that exceeds the amount the individual otherwise would have received had the compensation been determined based on the restated amounts. Excess compensation generally is covered by the Clawback Policy if it is received by an individual during our three completed fiscal years immediately prior to the date we determine an accounting restatement is required (or a legally authorized body such as a court, directs us to prepare an accounting</w:t>
      </w:r>
    </w:p>
    <w:p>
      <w:pPr>
        <w:spacing w:after="0" w:line="191"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40</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7820"/>
        <w:spacing w:after="0"/>
        <w:rPr>
          <w:sz w:val="20"/>
          <w:szCs w:val="20"/>
          <w:color w:val="auto"/>
        </w:rPr>
      </w:pPr>
      <w:r>
        <w:rPr>
          <w:rFonts w:ascii="Arial" w:cs="Arial" w:eastAsia="Arial" w:hAnsi="Arial"/>
          <w:sz w:val="14"/>
          <w:szCs w:val="14"/>
          <w:color w:val="255993"/>
        </w:rPr>
        <w:t>Executive Compensation</w:t>
      </w:r>
    </w:p>
    <w:p>
      <w:pPr>
        <w:spacing w:after="0" w:line="10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restatement), if the amounts were received after the individual became an executive officer, and if he or she served as an executive officer during the applicable performance period (and only if the amounts were received after October 2, 2023).</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EXECUTIVE INCENTIVE COMPENSATION PLAN</w:t>
      </w:r>
    </w:p>
    <w:p>
      <w:pPr>
        <w:spacing w:after="0" w:line="108"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Our Executive Incentive Compensation Plan is administered by our board of directors or a committee appointed by our board of directors. Unless and until our board of directors determines otherwise, our compensation committee will administer our Executive Incentive Compensation Plan. Our Executive Incentive Compensation Plan allows us to grant incentive awards, generally payable in cash, to employees selected by the administrator, including our named executive officers, based upon any performance goals that may be established by the administrator.</w:t>
      </w:r>
    </w:p>
    <w:p>
      <w:pPr>
        <w:spacing w:after="0" w:line="99"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Under our Executive Incentive Compensation Plan, the administrator will determine any performance goals applicable to an award, which goals may include, without limitation,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regulatory-related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The performance goals may differ from participant to participant and from award to award. The administrator also may determine that a target award or portion of a target award will not have a performance goal associated with it but instead will be granted, if at all, as determined by the administrator.</w:t>
      </w:r>
    </w:p>
    <w:p>
      <w:pPr>
        <w:spacing w:after="0" w:line="116"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administrator of our Executive Incentive Compensation Plan, in its sole discretion and at any time, may increase, reduce or eliminate a participant’s actual award, and/or increase, reduce or eliminate the amount allocated to any bonus pool for a particular performance period. The actual award may be below, at or above a participant’s target award, in the discretion of the administrator. The administrator may determine the amount of any reduction on the basis of such factors as it deems relevant, and the administrator is not required to establish any allocation or weighting with respect to the factors it considers.</w:t>
      </w:r>
    </w:p>
    <w:p>
      <w:pPr>
        <w:spacing w:after="0" w:line="11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Actual awards generally will be paid in cash (or its equivalent) only after they are earned, and, unless otherwise determined by the administrator, a participant must be employed with us through the date the actual award is paid. The administrator of our Executive Incentive Compensation Plan reserves the right to settle an actual award with a grant of an equity award under our then-current equity compensation plan, which equity award may have such terms and conditions, including vesting, as determined by the administrator.</w:t>
      </w:r>
    </w:p>
    <w:p>
      <w:pPr>
        <w:spacing w:after="0" w:line="9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Payment of awards occurs as soon as administratively practicable after they are earned, but no later than the dates set forth in our Executive Incentive Compensation Plan.</w:t>
      </w:r>
    </w:p>
    <w:p>
      <w:pPr>
        <w:spacing w:after="0" w:line="88"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Awards under our Executive Incentive Compensation Plan are subject to our Clawback Policy, which we may revise from time to time to comply with applicable laws. The administrator also may impose such other clawback, recovery or recoupment provisions with respect an award under our Executive Incentive Compensation Plan as the administrator determines necessary or appropriate, including for example, reduction, cancellation, forfeiture or recoupment upon a termination of a participant’s employment for cause. Certain participants may be required to reimburse us for certain amounts paid under an award under our Executive Incentive Compensation Plan in connection with certain accounting restatements we may be required to prepare due to our material noncompliance with any financial reporting requirements under applicable securities laws, as a result of misconduct.</w:t>
      </w:r>
    </w:p>
    <w:p>
      <w:pPr>
        <w:spacing w:after="0" w:line="186"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41</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255993"/>
        </w:rPr>
        <w:t>Executive Compensation</w:t>
      </w:r>
    </w:p>
    <w:p>
      <w:pPr>
        <w:spacing w:after="0" w:line="104"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administrator of our Executive Incentive Compensation Plan has the authority to amend, alter, suspend or terminate our Executive Incentive Compensation Plan, provided such action does not impair the existing rights of any participant with respect to any earned awards. Our Executive Incentive Compensation Plan will remain in effect until terminated in accordance with its terms.</w:t>
      </w:r>
    </w:p>
    <w:p>
      <w:pPr>
        <w:spacing w:after="0" w:line="10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establishing the annual bonus program for fiscal 2023 under the Executive Incentive Plan, the board of directors determined that actual awards would be based upon achievement of corporate goals (the “Corporate Goals”) during the plan year.</w:t>
      </w:r>
    </w:p>
    <w:p>
      <w:pPr>
        <w:spacing w:after="0" w:line="88"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The Corporate Goals related to enrollment in a specified clinical trial (weighted 40%), FDA engagement strategy (weighted 25%), commercial formulation, clinical supply manufacture, and dose assessment (weighted 15%), IND-enabling studies and other scientific program achievements (weighted 10% combined) and other financial and business-related achievements (weighted 10% combined). In addition, the board of directors determined that achievement of certain stretch goals related to specific scientific program achievements could be earned, provided that the maximum possible bonus payout under our Executive Incentive Compensation Plan for 2023 was intended to be 140% of the applicable participant’s target bonus opportunity.</w:t>
      </w:r>
    </w:p>
    <w:p>
      <w:pPr>
        <w:spacing w:after="0" w:line="101"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Under the Company’s executive bonus plan, payments are made based on our performance with respect to each of the Corporate Goals and individual performance measures, if any, to the extent to which each objective was achieved for the year, subject to discretion reserved to the administrator and continued employment of the participant through the date of payment. In</w:t>
      </w:r>
    </w:p>
    <w:p>
      <w:pPr>
        <w:spacing w:after="0" w:line="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February 2024, our compensation committee determined that the 2023 Corporate Goals had been partially achieved at an 92.5% achievement rate. The annual bonuses awarded to our named executive officers for 2023 are set forth in the “</w:t>
      </w:r>
      <w:r>
        <w:rPr>
          <w:rFonts w:ascii="Arial" w:cs="Arial" w:eastAsia="Arial" w:hAnsi="Arial"/>
          <w:sz w:val="16"/>
          <w:szCs w:val="16"/>
          <w:i w:val="1"/>
          <w:iCs w:val="1"/>
          <w:color w:val="auto"/>
        </w:rPr>
        <w:t>2022-2023 Summary</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Table</w:t>
      </w:r>
      <w:r>
        <w:rPr>
          <w:rFonts w:ascii="Arial" w:cs="Arial" w:eastAsia="Arial" w:hAnsi="Arial"/>
          <w:sz w:val="16"/>
          <w:szCs w:val="16"/>
          <w:color w:val="auto"/>
        </w:rPr>
        <w:t>” above.</w:t>
      </w:r>
    </w:p>
    <w:p>
      <w:pPr>
        <w:spacing w:after="0" w:line="183"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42</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126365</wp:posOffset>
            </wp:positionV>
            <wp:extent cx="69951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38" w:lineRule="exact"/>
        <w:rPr>
          <w:sz w:val="20"/>
          <w:szCs w:val="20"/>
          <w:color w:val="auto"/>
        </w:rPr>
      </w:pPr>
    </w:p>
    <w:p>
      <w:pPr>
        <w:ind w:right="120"/>
        <w:spacing w:after="0" w:line="282" w:lineRule="auto"/>
        <w:rPr>
          <w:sz w:val="20"/>
          <w:szCs w:val="20"/>
          <w:color w:val="auto"/>
        </w:rPr>
      </w:pPr>
      <w:r>
        <w:rPr>
          <w:rFonts w:ascii="Arial" w:cs="Arial" w:eastAsia="Arial" w:hAnsi="Arial"/>
          <w:sz w:val="57"/>
          <w:szCs w:val="57"/>
          <w:color w:val="255993"/>
        </w:rPr>
        <w:t>Security Ownership of Certain Beneficial Owners and Management</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beneficial ownership of our common stock as of February 29, 2024 by:</w:t>
      </w:r>
    </w:p>
    <w:p>
      <w:pPr>
        <w:spacing w:after="0" w:line="167" w:lineRule="exact"/>
        <w:rPr>
          <w:sz w:val="20"/>
          <w:szCs w:val="20"/>
          <w:color w:val="auto"/>
        </w:rPr>
      </w:pPr>
    </w:p>
    <w:p>
      <w:pPr>
        <w:ind w:left="140" w:hanging="134"/>
        <w:spacing w:after="0"/>
        <w:tabs>
          <w:tab w:leader="none" w:pos="140" w:val="left"/>
        </w:tabs>
        <w:numPr>
          <w:ilvl w:val="0"/>
          <w:numId w:val="31"/>
        </w:numPr>
        <w:rPr>
          <w:rFonts w:ascii="Arial" w:cs="Arial" w:eastAsia="Arial" w:hAnsi="Arial"/>
          <w:sz w:val="16"/>
          <w:szCs w:val="16"/>
          <w:color w:val="255993"/>
        </w:rPr>
      </w:pPr>
      <w:r>
        <w:rPr>
          <w:rFonts w:ascii="Arial" w:cs="Arial" w:eastAsia="Arial" w:hAnsi="Arial"/>
          <w:sz w:val="16"/>
          <w:szCs w:val="16"/>
          <w:color w:val="auto"/>
        </w:rPr>
        <w:t>each person, or group of affiliated persons, who is known by us to beneficially own more than 5% of our common stock;</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31"/>
        </w:numPr>
        <w:rPr>
          <w:rFonts w:ascii="Arial" w:cs="Arial" w:eastAsia="Arial" w:hAnsi="Arial"/>
          <w:sz w:val="16"/>
          <w:szCs w:val="16"/>
          <w:color w:val="255993"/>
        </w:rPr>
      </w:pPr>
      <w:r>
        <w:rPr>
          <w:rFonts w:ascii="Arial" w:cs="Arial" w:eastAsia="Arial" w:hAnsi="Arial"/>
          <w:sz w:val="16"/>
          <w:szCs w:val="16"/>
          <w:color w:val="auto"/>
        </w:rPr>
        <w:t>each of our named executive officers;</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31"/>
        </w:numPr>
        <w:rPr>
          <w:rFonts w:ascii="Arial" w:cs="Arial" w:eastAsia="Arial" w:hAnsi="Arial"/>
          <w:sz w:val="16"/>
          <w:szCs w:val="16"/>
          <w:color w:val="255993"/>
        </w:rPr>
      </w:pPr>
      <w:r>
        <w:rPr>
          <w:rFonts w:ascii="Arial" w:cs="Arial" w:eastAsia="Arial" w:hAnsi="Arial"/>
          <w:sz w:val="16"/>
          <w:szCs w:val="16"/>
          <w:color w:val="auto"/>
        </w:rPr>
        <w:t>each of our directors; and</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31"/>
        </w:numPr>
        <w:rPr>
          <w:rFonts w:ascii="Arial" w:cs="Arial" w:eastAsia="Arial" w:hAnsi="Arial"/>
          <w:sz w:val="16"/>
          <w:szCs w:val="16"/>
          <w:color w:val="255993"/>
        </w:rPr>
      </w:pPr>
      <w:r>
        <w:rPr>
          <w:rFonts w:ascii="Arial" w:cs="Arial" w:eastAsia="Arial" w:hAnsi="Arial"/>
          <w:sz w:val="16"/>
          <w:szCs w:val="16"/>
          <w:color w:val="auto"/>
        </w:rPr>
        <w:t>all of our executive officers and directors as a group.</w:t>
      </w:r>
    </w:p>
    <w:p>
      <w:pPr>
        <w:spacing w:after="0" w:line="15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The percentage of beneficial ownership shown in the table is based upon 38,326,652 shares of common stock outstanding as of February 29, 2024.</w:t>
      </w:r>
    </w:p>
    <w:p>
      <w:pPr>
        <w:spacing w:after="0" w:line="8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Information with respect to beneficial ownership has been furnished by each director, officer or beneficial owner of more than 5% of our common stock. We have determined beneficial ownership in accordance with the rules of the SEC. These rules generally attribute beneficial ownership of securities to persons who possess sole or shared voting power or investment power with respect to those securities. In addition, the rules take into account shares of common stock issuable pursuant to the exercise or conversion of stock options or warrants or convertible notes that are either immediately exercisable or convertible or exercisable or convertible</w:t>
      </w:r>
    </w:p>
    <w:p>
      <w:pPr>
        <w:ind w:right="20"/>
        <w:spacing w:after="0" w:line="233" w:lineRule="auto"/>
        <w:rPr>
          <w:sz w:val="20"/>
          <w:szCs w:val="20"/>
          <w:color w:val="auto"/>
        </w:rPr>
      </w:pPr>
      <w:r>
        <w:rPr>
          <w:rFonts w:ascii="Arial" w:cs="Arial" w:eastAsia="Arial" w:hAnsi="Arial"/>
          <w:sz w:val="16"/>
          <w:szCs w:val="16"/>
          <w:color w:val="auto"/>
        </w:rPr>
        <w:t>on or before the 60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after February 29, 2024. Certain of the options granted to our executive officers may be exercised prior to the vesting of the underlying shares.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p>
    <w:p>
      <w:pPr>
        <w:spacing w:after="0" w:line="113"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Except as otherwise noted below, the address for each person or entity listed in the table is c/o Athira Pharma, Inc., 18706 North Creek Parkway, Suite 104, Bothell, Washington 98011.</w:t>
      </w:r>
    </w:p>
    <w:p>
      <w:pPr>
        <w:spacing w:after="0" w:line="160"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43</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126365</wp:posOffset>
            </wp:positionV>
            <wp:extent cx="69951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255993"/>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74930</wp:posOffset>
            </wp:positionV>
            <wp:extent cx="5966460" cy="6515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66460" cy="651510"/>
                    </a:xfrm>
                    <a:prstGeom prst="rect">
                      <a:avLst/>
                    </a:prstGeom>
                    <a:noFill/>
                  </pic:spPr>
                </pic:pic>
              </a:graphicData>
            </a:graphic>
          </wp:anchor>
        </w:drawing>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FFFFFF"/>
        </w:rPr>
        <w:t>Shares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100" w:type="dxa"/>
            <w:vAlign w:val="bottom"/>
          </w:tcPr>
          <w:p>
            <w:pPr>
              <w:spacing w:after="0"/>
              <w:rPr>
                <w:sz w:val="24"/>
                <w:szCs w:val="24"/>
                <w:color w:val="auto"/>
              </w:rPr>
            </w:pPr>
          </w:p>
        </w:tc>
        <w:tc>
          <w:tcPr>
            <w:tcW w:w="1240" w:type="dxa"/>
            <w:vAlign w:val="bottom"/>
            <w:shd w:val="clear" w:color="auto" w:fill="255993"/>
          </w:tcPr>
          <w:p>
            <w:pPr>
              <w:jc w:val="right"/>
              <w:ind w:right="66"/>
              <w:spacing w:after="0"/>
              <w:rPr>
                <w:sz w:val="20"/>
                <w:szCs w:val="20"/>
                <w:color w:val="auto"/>
              </w:rPr>
            </w:pPr>
            <w:r>
              <w:rPr>
                <w:rFonts w:ascii="Arial" w:cs="Arial" w:eastAsia="Arial" w:hAnsi="Arial"/>
                <w:sz w:val="16"/>
                <w:szCs w:val="16"/>
                <w:b w:val="1"/>
                <w:bCs w:val="1"/>
                <w:color w:val="FFFFFF"/>
              </w:rPr>
              <w:t>Number of</w:t>
            </w:r>
          </w:p>
        </w:tc>
        <w:tc>
          <w:tcPr>
            <w:tcW w:w="106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Percentage</w:t>
            </w:r>
          </w:p>
        </w:tc>
      </w:tr>
      <w:tr>
        <w:trPr>
          <w:trHeight w:val="223"/>
        </w:trPr>
        <w:tc>
          <w:tcPr>
            <w:tcW w:w="7100" w:type="dxa"/>
            <w:vAlign w:val="bottom"/>
          </w:tcPr>
          <w:p>
            <w:pPr>
              <w:spacing w:after="0"/>
              <w:rPr>
                <w:sz w:val="19"/>
                <w:szCs w:val="19"/>
                <w:color w:val="auto"/>
              </w:rPr>
            </w:pPr>
          </w:p>
        </w:tc>
        <w:tc>
          <w:tcPr>
            <w:tcW w:w="1240" w:type="dxa"/>
            <w:vAlign w:val="bottom"/>
            <w:shd w:val="clear" w:color="auto" w:fill="255993"/>
          </w:tcPr>
          <w:p>
            <w:pPr>
              <w:jc w:val="right"/>
              <w:ind w:right="66"/>
              <w:spacing w:after="0"/>
              <w:rPr>
                <w:sz w:val="20"/>
                <w:szCs w:val="20"/>
                <w:color w:val="auto"/>
              </w:rPr>
            </w:pPr>
            <w:r>
              <w:rPr>
                <w:rFonts w:ascii="Arial" w:cs="Arial" w:eastAsia="Arial" w:hAnsi="Arial"/>
                <w:sz w:val="16"/>
                <w:szCs w:val="16"/>
                <w:b w:val="1"/>
                <w:bCs w:val="1"/>
                <w:color w:val="FFFFFF"/>
              </w:rPr>
              <w:t>Shares</w:t>
            </w:r>
          </w:p>
        </w:tc>
        <w:tc>
          <w:tcPr>
            <w:tcW w:w="106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w:t>
            </w:r>
          </w:p>
        </w:tc>
      </w:tr>
      <w:tr>
        <w:trPr>
          <w:trHeight w:val="62"/>
        </w:trPr>
        <w:tc>
          <w:tcPr>
            <w:tcW w:w="7100" w:type="dxa"/>
            <w:vAlign w:val="bottom"/>
          </w:tcPr>
          <w:p>
            <w:pPr>
              <w:spacing w:after="0"/>
              <w:rPr>
                <w:sz w:val="5"/>
                <w:szCs w:val="5"/>
                <w:color w:val="auto"/>
              </w:rPr>
            </w:pPr>
          </w:p>
        </w:tc>
        <w:tc>
          <w:tcPr>
            <w:tcW w:w="1240" w:type="dxa"/>
            <w:vAlign w:val="bottom"/>
            <w:shd w:val="clear" w:color="auto" w:fill="255993"/>
          </w:tcPr>
          <w:p>
            <w:pPr>
              <w:spacing w:after="0"/>
              <w:rPr>
                <w:sz w:val="5"/>
                <w:szCs w:val="5"/>
                <w:color w:val="auto"/>
              </w:rPr>
            </w:pPr>
          </w:p>
        </w:tc>
        <w:tc>
          <w:tcPr>
            <w:tcW w:w="1060" w:type="dxa"/>
            <w:vAlign w:val="bottom"/>
            <w:shd w:val="clear" w:color="auto" w:fill="255993"/>
          </w:tcPr>
          <w:p>
            <w:pPr>
              <w:spacing w:after="0"/>
              <w:rPr>
                <w:sz w:val="5"/>
                <w:szCs w:val="5"/>
                <w:color w:val="auto"/>
              </w:rPr>
            </w:pPr>
          </w:p>
        </w:tc>
      </w:tr>
      <w:tr>
        <w:trPr>
          <w:trHeight w:val="303"/>
        </w:trPr>
        <w:tc>
          <w:tcPr>
            <w:tcW w:w="7100" w:type="dxa"/>
            <w:vAlign w:val="bottom"/>
            <w:shd w:val="clear" w:color="auto" w:fill="EBEBEB"/>
          </w:tcPr>
          <w:p>
            <w:pPr>
              <w:ind w:left="60"/>
              <w:spacing w:after="0"/>
              <w:rPr>
                <w:sz w:val="20"/>
                <w:szCs w:val="20"/>
                <w:color w:val="auto"/>
              </w:rPr>
            </w:pPr>
            <w:r>
              <w:rPr>
                <w:rFonts w:ascii="Arial" w:cs="Arial" w:eastAsia="Arial" w:hAnsi="Arial"/>
                <w:sz w:val="16"/>
                <w:szCs w:val="16"/>
                <w:b w:val="1"/>
                <w:bCs w:val="1"/>
                <w:color w:val="255993"/>
              </w:rPr>
              <w:t>5% AND GREATER STOCKHOLDERS:</w:t>
            </w:r>
          </w:p>
        </w:tc>
        <w:tc>
          <w:tcPr>
            <w:tcW w:w="1240" w:type="dxa"/>
            <w:vAlign w:val="bottom"/>
            <w:shd w:val="clear" w:color="auto" w:fill="EBEBEB"/>
          </w:tcPr>
          <w:p>
            <w:pPr>
              <w:spacing w:after="0"/>
              <w:rPr>
                <w:sz w:val="24"/>
                <w:szCs w:val="24"/>
                <w:color w:val="auto"/>
              </w:rPr>
            </w:pPr>
          </w:p>
        </w:tc>
        <w:tc>
          <w:tcPr>
            <w:tcW w:w="1060" w:type="dxa"/>
            <w:vAlign w:val="bottom"/>
            <w:shd w:val="clear" w:color="auto" w:fill="EBEBEB"/>
          </w:tcPr>
          <w:p>
            <w:pPr>
              <w:spacing w:after="0"/>
              <w:rPr>
                <w:sz w:val="24"/>
                <w:szCs w:val="24"/>
                <w:color w:val="auto"/>
              </w:rPr>
            </w:pPr>
          </w:p>
        </w:tc>
      </w:tr>
      <w:tr>
        <w:trPr>
          <w:trHeight w:val="61"/>
        </w:trPr>
        <w:tc>
          <w:tcPr>
            <w:tcW w:w="7100" w:type="dxa"/>
            <w:vAlign w:val="bottom"/>
            <w:shd w:val="clear" w:color="auto" w:fill="EBEBEB"/>
          </w:tcPr>
          <w:p>
            <w:pPr>
              <w:spacing w:after="0"/>
              <w:rPr>
                <w:sz w:val="5"/>
                <w:szCs w:val="5"/>
                <w:color w:val="auto"/>
              </w:rPr>
            </w:pPr>
          </w:p>
        </w:tc>
        <w:tc>
          <w:tcPr>
            <w:tcW w:w="1240" w:type="dxa"/>
            <w:vAlign w:val="bottom"/>
            <w:shd w:val="clear" w:color="auto" w:fill="EBEBEB"/>
          </w:tcPr>
          <w:p>
            <w:pPr>
              <w:spacing w:after="0"/>
              <w:rPr>
                <w:sz w:val="5"/>
                <w:szCs w:val="5"/>
                <w:color w:val="auto"/>
              </w:rPr>
            </w:pPr>
          </w:p>
        </w:tc>
        <w:tc>
          <w:tcPr>
            <w:tcW w:w="1060" w:type="dxa"/>
            <w:vAlign w:val="bottom"/>
            <w:shd w:val="clear" w:color="auto" w:fill="EBEBEB"/>
          </w:tcPr>
          <w:p>
            <w:pPr>
              <w:spacing w:after="0"/>
              <w:rPr>
                <w:sz w:val="5"/>
                <w:szCs w:val="5"/>
                <w:color w:val="auto"/>
              </w:rPr>
            </w:pPr>
          </w:p>
        </w:tc>
      </w:tr>
      <w:tr>
        <w:trPr>
          <w:trHeight w:val="365"/>
        </w:trPr>
        <w:tc>
          <w:tcPr>
            <w:tcW w:w="7100" w:type="dxa"/>
            <w:vAlign w:val="bottom"/>
            <w:shd w:val="clear" w:color="auto" w:fill="FAFAFA"/>
          </w:tcPr>
          <w:p>
            <w:pPr>
              <w:ind w:left="60"/>
              <w:spacing w:after="0"/>
              <w:rPr>
                <w:sz w:val="20"/>
                <w:szCs w:val="20"/>
                <w:color w:val="auto"/>
              </w:rPr>
            </w:pPr>
            <w:r>
              <w:rPr>
                <w:rFonts w:ascii="Arial" w:cs="Arial" w:eastAsia="Arial" w:hAnsi="Arial"/>
                <w:sz w:val="14"/>
                <w:szCs w:val="14"/>
                <w:b w:val="1"/>
                <w:bCs w:val="1"/>
                <w:color w:val="auto"/>
              </w:rPr>
              <w:t>Perceptive Life Sciences Master Fund Ltd.</w:t>
            </w:r>
            <w:r>
              <w:rPr>
                <w:rFonts w:ascii="Arial" w:cs="Arial" w:eastAsia="Arial" w:hAnsi="Arial"/>
                <w:sz w:val="23"/>
                <w:szCs w:val="23"/>
                <w:b w:val="1"/>
                <w:bCs w:val="1"/>
                <w:color w:val="auto"/>
                <w:vertAlign w:val="superscript"/>
              </w:rPr>
              <w:t>(1)</w:t>
            </w:r>
          </w:p>
        </w:tc>
        <w:tc>
          <w:tcPr>
            <w:tcW w:w="1240" w:type="dxa"/>
            <w:vAlign w:val="bottom"/>
            <w:shd w:val="clear" w:color="auto" w:fill="FAFAFA"/>
          </w:tcPr>
          <w:p>
            <w:pPr>
              <w:jc w:val="right"/>
              <w:ind w:right="66"/>
              <w:spacing w:after="0"/>
              <w:rPr>
                <w:sz w:val="20"/>
                <w:szCs w:val="20"/>
                <w:color w:val="auto"/>
              </w:rPr>
            </w:pPr>
            <w:r>
              <w:rPr>
                <w:rFonts w:ascii="Arial" w:cs="Arial" w:eastAsia="Arial" w:hAnsi="Arial"/>
                <w:sz w:val="14"/>
                <w:szCs w:val="14"/>
                <w:color w:val="auto"/>
              </w:rPr>
              <w:t>5,402,964</w:t>
            </w:r>
          </w:p>
        </w:tc>
        <w:tc>
          <w:tcPr>
            <w:tcW w:w="1060" w:type="dxa"/>
            <w:vAlign w:val="bottom"/>
            <w:shd w:val="clear" w:color="auto" w:fill="FAFAFA"/>
          </w:tcPr>
          <w:p>
            <w:pPr>
              <w:jc w:val="right"/>
              <w:spacing w:after="0"/>
              <w:rPr>
                <w:sz w:val="20"/>
                <w:szCs w:val="20"/>
                <w:color w:val="auto"/>
              </w:rPr>
            </w:pPr>
            <w:r>
              <w:rPr>
                <w:rFonts w:ascii="Arial" w:cs="Arial" w:eastAsia="Arial" w:hAnsi="Arial"/>
                <w:sz w:val="14"/>
                <w:szCs w:val="14"/>
                <w:color w:val="auto"/>
              </w:rPr>
              <w:t>14.1</w:t>
            </w:r>
          </w:p>
        </w:tc>
      </w:tr>
      <w:tr>
        <w:trPr>
          <w:trHeight w:val="364"/>
        </w:trPr>
        <w:tc>
          <w:tcPr>
            <w:tcW w:w="7100" w:type="dxa"/>
            <w:vAlign w:val="bottom"/>
            <w:shd w:val="clear" w:color="auto" w:fill="EBEBEB"/>
          </w:tcPr>
          <w:p>
            <w:pPr>
              <w:ind w:left="60"/>
              <w:spacing w:after="0"/>
              <w:rPr>
                <w:sz w:val="20"/>
                <w:szCs w:val="20"/>
                <w:color w:val="auto"/>
              </w:rPr>
            </w:pPr>
            <w:r>
              <w:rPr>
                <w:rFonts w:ascii="Arial" w:cs="Arial" w:eastAsia="Arial" w:hAnsi="Arial"/>
                <w:sz w:val="14"/>
                <w:szCs w:val="14"/>
                <w:b w:val="1"/>
                <w:bCs w:val="1"/>
                <w:color w:val="auto"/>
              </w:rPr>
              <w:t>Entities affiliated with Baker Bros. Advisors LP</w:t>
            </w:r>
            <w:r>
              <w:rPr>
                <w:rFonts w:ascii="Arial" w:cs="Arial" w:eastAsia="Arial" w:hAnsi="Arial"/>
                <w:sz w:val="23"/>
                <w:szCs w:val="23"/>
                <w:b w:val="1"/>
                <w:bCs w:val="1"/>
                <w:color w:val="auto"/>
                <w:vertAlign w:val="superscript"/>
              </w:rPr>
              <w:t>(2)</w:t>
            </w:r>
          </w:p>
        </w:tc>
        <w:tc>
          <w:tcPr>
            <w:tcW w:w="1240" w:type="dxa"/>
            <w:vAlign w:val="bottom"/>
            <w:shd w:val="clear" w:color="auto" w:fill="EBEBEB"/>
          </w:tcPr>
          <w:p>
            <w:pPr>
              <w:jc w:val="right"/>
              <w:ind w:right="66"/>
              <w:spacing w:after="0"/>
              <w:rPr>
                <w:sz w:val="20"/>
                <w:szCs w:val="20"/>
                <w:color w:val="auto"/>
              </w:rPr>
            </w:pPr>
            <w:r>
              <w:rPr>
                <w:rFonts w:ascii="Arial" w:cs="Arial" w:eastAsia="Arial" w:hAnsi="Arial"/>
                <w:sz w:val="14"/>
                <w:szCs w:val="14"/>
                <w:color w:val="auto"/>
              </w:rPr>
              <w:t>3,153,807</w:t>
            </w:r>
          </w:p>
        </w:tc>
        <w:tc>
          <w:tcPr>
            <w:tcW w:w="1060" w:type="dxa"/>
            <w:vAlign w:val="bottom"/>
            <w:shd w:val="clear" w:color="auto" w:fill="EBEBEB"/>
          </w:tcPr>
          <w:p>
            <w:pPr>
              <w:jc w:val="right"/>
              <w:spacing w:after="0"/>
              <w:rPr>
                <w:sz w:val="20"/>
                <w:szCs w:val="20"/>
                <w:color w:val="auto"/>
              </w:rPr>
            </w:pPr>
            <w:r>
              <w:rPr>
                <w:rFonts w:ascii="Arial" w:cs="Arial" w:eastAsia="Arial" w:hAnsi="Arial"/>
                <w:sz w:val="14"/>
                <w:szCs w:val="14"/>
                <w:color w:val="auto"/>
              </w:rPr>
              <w:t>8.2</w:t>
            </w:r>
          </w:p>
        </w:tc>
      </w:tr>
      <w:tr>
        <w:trPr>
          <w:trHeight w:val="364"/>
        </w:trPr>
        <w:tc>
          <w:tcPr>
            <w:tcW w:w="7100" w:type="dxa"/>
            <w:vAlign w:val="bottom"/>
            <w:shd w:val="clear" w:color="auto" w:fill="FAFAFA"/>
          </w:tcPr>
          <w:p>
            <w:pPr>
              <w:ind w:left="60"/>
              <w:spacing w:after="0"/>
              <w:rPr>
                <w:sz w:val="20"/>
                <w:szCs w:val="20"/>
                <w:color w:val="auto"/>
              </w:rPr>
            </w:pPr>
            <w:r>
              <w:rPr>
                <w:rFonts w:ascii="Arial" w:cs="Arial" w:eastAsia="Arial" w:hAnsi="Arial"/>
                <w:sz w:val="14"/>
                <w:szCs w:val="14"/>
                <w:b w:val="1"/>
                <w:bCs w:val="1"/>
                <w:color w:val="auto"/>
              </w:rPr>
              <w:t>Richard A. Kayne</w:t>
            </w:r>
            <w:r>
              <w:rPr>
                <w:rFonts w:ascii="Arial" w:cs="Arial" w:eastAsia="Arial" w:hAnsi="Arial"/>
                <w:sz w:val="23"/>
                <w:szCs w:val="23"/>
                <w:b w:val="1"/>
                <w:bCs w:val="1"/>
                <w:color w:val="auto"/>
                <w:vertAlign w:val="superscript"/>
              </w:rPr>
              <w:t>(3)</w:t>
            </w:r>
          </w:p>
        </w:tc>
        <w:tc>
          <w:tcPr>
            <w:tcW w:w="1240" w:type="dxa"/>
            <w:vAlign w:val="bottom"/>
            <w:shd w:val="clear" w:color="auto" w:fill="FAFAFA"/>
          </w:tcPr>
          <w:p>
            <w:pPr>
              <w:jc w:val="right"/>
              <w:ind w:right="66"/>
              <w:spacing w:after="0"/>
              <w:rPr>
                <w:sz w:val="20"/>
                <w:szCs w:val="20"/>
                <w:color w:val="auto"/>
              </w:rPr>
            </w:pPr>
            <w:r>
              <w:rPr>
                <w:rFonts w:ascii="Arial" w:cs="Arial" w:eastAsia="Arial" w:hAnsi="Arial"/>
                <w:sz w:val="14"/>
                <w:szCs w:val="14"/>
                <w:color w:val="auto"/>
              </w:rPr>
              <w:t>1,983,468</w:t>
            </w:r>
          </w:p>
        </w:tc>
        <w:tc>
          <w:tcPr>
            <w:tcW w:w="1060" w:type="dxa"/>
            <w:vAlign w:val="bottom"/>
            <w:shd w:val="clear" w:color="auto" w:fill="FAFAFA"/>
          </w:tcPr>
          <w:p>
            <w:pPr>
              <w:jc w:val="right"/>
              <w:spacing w:after="0"/>
              <w:rPr>
                <w:sz w:val="20"/>
                <w:szCs w:val="20"/>
                <w:color w:val="auto"/>
              </w:rPr>
            </w:pPr>
            <w:r>
              <w:rPr>
                <w:rFonts w:ascii="Arial" w:cs="Arial" w:eastAsia="Arial" w:hAnsi="Arial"/>
                <w:sz w:val="14"/>
                <w:szCs w:val="14"/>
                <w:color w:val="auto"/>
              </w:rPr>
              <w:t>5.2</w:t>
            </w:r>
          </w:p>
        </w:tc>
      </w:tr>
      <w:tr>
        <w:trPr>
          <w:trHeight w:val="303"/>
        </w:trPr>
        <w:tc>
          <w:tcPr>
            <w:tcW w:w="7100" w:type="dxa"/>
            <w:vAlign w:val="bottom"/>
            <w:shd w:val="clear" w:color="auto" w:fill="EBEBEB"/>
          </w:tcPr>
          <w:p>
            <w:pPr>
              <w:ind w:left="60"/>
              <w:spacing w:after="0"/>
              <w:rPr>
                <w:sz w:val="20"/>
                <w:szCs w:val="20"/>
                <w:color w:val="auto"/>
              </w:rPr>
            </w:pPr>
            <w:r>
              <w:rPr>
                <w:rFonts w:ascii="Arial" w:cs="Arial" w:eastAsia="Arial" w:hAnsi="Arial"/>
                <w:sz w:val="16"/>
                <w:szCs w:val="16"/>
                <w:b w:val="1"/>
                <w:bCs w:val="1"/>
                <w:color w:val="255993"/>
              </w:rPr>
              <w:t>NAMED EXECUTIVE OFFICERS AND DIRECTORS:</w:t>
            </w:r>
          </w:p>
        </w:tc>
        <w:tc>
          <w:tcPr>
            <w:tcW w:w="1240" w:type="dxa"/>
            <w:vAlign w:val="bottom"/>
            <w:shd w:val="clear" w:color="auto" w:fill="EBEBEB"/>
          </w:tcPr>
          <w:p>
            <w:pPr>
              <w:spacing w:after="0"/>
              <w:rPr>
                <w:sz w:val="24"/>
                <w:szCs w:val="24"/>
                <w:color w:val="auto"/>
              </w:rPr>
            </w:pPr>
          </w:p>
        </w:tc>
        <w:tc>
          <w:tcPr>
            <w:tcW w:w="1060" w:type="dxa"/>
            <w:vAlign w:val="bottom"/>
            <w:shd w:val="clear" w:color="auto" w:fill="EBEBEB"/>
          </w:tcPr>
          <w:p>
            <w:pPr>
              <w:spacing w:after="0"/>
              <w:rPr>
                <w:sz w:val="24"/>
                <w:szCs w:val="24"/>
                <w:color w:val="auto"/>
              </w:rPr>
            </w:pPr>
          </w:p>
        </w:tc>
      </w:tr>
      <w:tr>
        <w:trPr>
          <w:trHeight w:val="62"/>
        </w:trPr>
        <w:tc>
          <w:tcPr>
            <w:tcW w:w="7100" w:type="dxa"/>
            <w:vAlign w:val="bottom"/>
            <w:shd w:val="clear" w:color="auto" w:fill="EBEBEB"/>
          </w:tcPr>
          <w:p>
            <w:pPr>
              <w:spacing w:after="0"/>
              <w:rPr>
                <w:sz w:val="5"/>
                <w:szCs w:val="5"/>
                <w:color w:val="auto"/>
              </w:rPr>
            </w:pPr>
          </w:p>
        </w:tc>
        <w:tc>
          <w:tcPr>
            <w:tcW w:w="1240" w:type="dxa"/>
            <w:vAlign w:val="bottom"/>
            <w:shd w:val="clear" w:color="auto" w:fill="EBEBEB"/>
          </w:tcPr>
          <w:p>
            <w:pPr>
              <w:spacing w:after="0"/>
              <w:rPr>
                <w:sz w:val="5"/>
                <w:szCs w:val="5"/>
                <w:color w:val="auto"/>
              </w:rPr>
            </w:pPr>
          </w:p>
        </w:tc>
        <w:tc>
          <w:tcPr>
            <w:tcW w:w="1060" w:type="dxa"/>
            <w:vAlign w:val="bottom"/>
            <w:shd w:val="clear" w:color="auto" w:fill="EBEBEB"/>
          </w:tcPr>
          <w:p>
            <w:pPr>
              <w:spacing w:after="0"/>
              <w:rPr>
                <w:sz w:val="5"/>
                <w:szCs w:val="5"/>
                <w:color w:val="auto"/>
              </w:rPr>
            </w:pPr>
          </w:p>
        </w:tc>
      </w:tr>
      <w:tr>
        <w:trPr>
          <w:trHeight w:val="364"/>
        </w:trPr>
        <w:tc>
          <w:tcPr>
            <w:tcW w:w="7100" w:type="dxa"/>
            <w:vAlign w:val="bottom"/>
            <w:shd w:val="clear" w:color="auto" w:fill="FAFAFA"/>
          </w:tcPr>
          <w:p>
            <w:pPr>
              <w:ind w:left="60"/>
              <w:spacing w:after="0"/>
              <w:rPr>
                <w:sz w:val="20"/>
                <w:szCs w:val="20"/>
                <w:color w:val="auto"/>
              </w:rPr>
            </w:pPr>
            <w:r>
              <w:rPr>
                <w:rFonts w:ascii="Arial" w:cs="Arial" w:eastAsia="Arial" w:hAnsi="Arial"/>
                <w:sz w:val="14"/>
                <w:szCs w:val="14"/>
                <w:b w:val="1"/>
                <w:bCs w:val="1"/>
                <w:color w:val="auto"/>
              </w:rPr>
              <w:t>Mark Litton</w:t>
            </w:r>
            <w:r>
              <w:rPr>
                <w:rFonts w:ascii="Arial" w:cs="Arial" w:eastAsia="Arial" w:hAnsi="Arial"/>
                <w:sz w:val="23"/>
                <w:szCs w:val="23"/>
                <w:b w:val="1"/>
                <w:bCs w:val="1"/>
                <w:color w:val="auto"/>
                <w:vertAlign w:val="superscript"/>
              </w:rPr>
              <w:t>(4)</w:t>
            </w:r>
          </w:p>
        </w:tc>
        <w:tc>
          <w:tcPr>
            <w:tcW w:w="1240" w:type="dxa"/>
            <w:vAlign w:val="bottom"/>
            <w:shd w:val="clear" w:color="auto" w:fill="FAFAFA"/>
          </w:tcPr>
          <w:p>
            <w:pPr>
              <w:jc w:val="right"/>
              <w:ind w:right="66"/>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792,873</w:t>
            </w:r>
          </w:p>
        </w:tc>
        <w:tc>
          <w:tcPr>
            <w:tcW w:w="1060" w:type="dxa"/>
            <w:vAlign w:val="bottom"/>
            <w:shd w:val="clear" w:color="auto" w:fill="FAFAFA"/>
          </w:tcPr>
          <w:p>
            <w:pPr>
              <w:jc w:val="right"/>
              <w:spacing w:after="0"/>
              <w:rPr>
                <w:sz w:val="20"/>
                <w:szCs w:val="20"/>
                <w:color w:val="auto"/>
              </w:rPr>
            </w:pPr>
            <w:r>
              <w:rPr>
                <w:rFonts w:ascii="Arial" w:cs="Arial" w:eastAsia="Arial" w:hAnsi="Arial"/>
                <w:sz w:val="14"/>
                <w:szCs w:val="14"/>
                <w:color w:val="auto"/>
              </w:rPr>
              <w:t>2.0</w:t>
            </w:r>
          </w:p>
        </w:tc>
      </w:tr>
      <w:tr>
        <w:trPr>
          <w:trHeight w:val="365"/>
        </w:trPr>
        <w:tc>
          <w:tcPr>
            <w:tcW w:w="7100" w:type="dxa"/>
            <w:vAlign w:val="bottom"/>
            <w:shd w:val="clear" w:color="auto" w:fill="EBEBEB"/>
          </w:tcPr>
          <w:p>
            <w:pPr>
              <w:ind w:left="60"/>
              <w:spacing w:after="0"/>
              <w:rPr>
                <w:sz w:val="20"/>
                <w:szCs w:val="20"/>
                <w:color w:val="auto"/>
              </w:rPr>
            </w:pPr>
            <w:r>
              <w:rPr>
                <w:rFonts w:ascii="Arial" w:cs="Arial" w:eastAsia="Arial" w:hAnsi="Arial"/>
                <w:sz w:val="14"/>
                <w:szCs w:val="14"/>
                <w:b w:val="1"/>
                <w:bCs w:val="1"/>
                <w:color w:val="auto"/>
              </w:rPr>
              <w:t>Andrew Gengos</w:t>
            </w:r>
            <w:r>
              <w:rPr>
                <w:rFonts w:ascii="Arial" w:cs="Arial" w:eastAsia="Arial" w:hAnsi="Arial"/>
                <w:sz w:val="23"/>
                <w:szCs w:val="23"/>
                <w:b w:val="1"/>
                <w:bCs w:val="1"/>
                <w:color w:val="auto"/>
                <w:vertAlign w:val="superscript"/>
              </w:rPr>
              <w:t>(5)</w:t>
            </w:r>
          </w:p>
        </w:tc>
        <w:tc>
          <w:tcPr>
            <w:tcW w:w="1240" w:type="dxa"/>
            <w:vAlign w:val="bottom"/>
            <w:shd w:val="clear" w:color="auto" w:fill="EBEBEB"/>
          </w:tcPr>
          <w:p>
            <w:pPr>
              <w:jc w:val="right"/>
              <w:ind w:right="66"/>
              <w:spacing w:after="0"/>
              <w:rPr>
                <w:sz w:val="20"/>
                <w:szCs w:val="20"/>
                <w:color w:val="auto"/>
              </w:rPr>
            </w:pPr>
            <w:r>
              <w:rPr>
                <w:rFonts w:ascii="Arial" w:cs="Arial" w:eastAsia="Arial" w:hAnsi="Arial"/>
                <w:sz w:val="14"/>
                <w:szCs w:val="14"/>
                <w:color w:val="auto"/>
              </w:rPr>
              <w:t>95,470</w:t>
            </w:r>
          </w:p>
        </w:tc>
        <w:tc>
          <w:tcPr>
            <w:tcW w:w="1060" w:type="dxa"/>
            <w:vAlign w:val="bottom"/>
            <w:shd w:val="clear" w:color="auto" w:fill="EBEBEB"/>
          </w:tcPr>
          <w:p>
            <w:pPr>
              <w:jc w:val="right"/>
              <w:spacing w:after="0"/>
              <w:rPr>
                <w:sz w:val="20"/>
                <w:szCs w:val="20"/>
                <w:color w:val="auto"/>
              </w:rPr>
            </w:pPr>
            <w:r>
              <w:rPr>
                <w:rFonts w:ascii="Arial" w:cs="Arial" w:eastAsia="Arial" w:hAnsi="Arial"/>
                <w:sz w:val="14"/>
                <w:szCs w:val="14"/>
                <w:color w:val="auto"/>
              </w:rPr>
              <w:t>*</w:t>
            </w:r>
          </w:p>
        </w:tc>
      </w:tr>
      <w:tr>
        <w:trPr>
          <w:trHeight w:val="364"/>
        </w:trPr>
        <w:tc>
          <w:tcPr>
            <w:tcW w:w="7100" w:type="dxa"/>
            <w:vAlign w:val="bottom"/>
            <w:shd w:val="clear" w:color="auto" w:fill="FAFAFA"/>
          </w:tcPr>
          <w:p>
            <w:pPr>
              <w:ind w:left="60"/>
              <w:spacing w:after="0"/>
              <w:rPr>
                <w:sz w:val="20"/>
                <w:szCs w:val="20"/>
                <w:color w:val="auto"/>
              </w:rPr>
            </w:pPr>
            <w:r>
              <w:rPr>
                <w:rFonts w:ascii="Arial" w:cs="Arial" w:eastAsia="Arial" w:hAnsi="Arial"/>
                <w:sz w:val="14"/>
                <w:szCs w:val="14"/>
                <w:b w:val="1"/>
                <w:bCs w:val="1"/>
                <w:color w:val="auto"/>
              </w:rPr>
              <w:t>Hans Moebius</w:t>
            </w:r>
            <w:r>
              <w:rPr>
                <w:rFonts w:ascii="Arial" w:cs="Arial" w:eastAsia="Arial" w:hAnsi="Arial"/>
                <w:sz w:val="23"/>
                <w:szCs w:val="23"/>
                <w:b w:val="1"/>
                <w:bCs w:val="1"/>
                <w:color w:val="auto"/>
                <w:vertAlign w:val="superscript"/>
              </w:rPr>
              <w:t>(6)</w:t>
            </w:r>
          </w:p>
        </w:tc>
        <w:tc>
          <w:tcPr>
            <w:tcW w:w="1240" w:type="dxa"/>
            <w:vAlign w:val="bottom"/>
            <w:shd w:val="clear" w:color="auto" w:fill="FAFAFA"/>
          </w:tcPr>
          <w:p>
            <w:pPr>
              <w:jc w:val="right"/>
              <w:ind w:right="66"/>
              <w:spacing w:after="0"/>
              <w:rPr>
                <w:sz w:val="20"/>
                <w:szCs w:val="20"/>
                <w:color w:val="auto"/>
              </w:rPr>
            </w:pPr>
            <w:r>
              <w:rPr>
                <w:rFonts w:ascii="Arial" w:cs="Arial" w:eastAsia="Arial" w:hAnsi="Arial"/>
                <w:sz w:val="14"/>
                <w:szCs w:val="14"/>
                <w:color w:val="auto"/>
              </w:rPr>
              <w:t>452,226</w:t>
            </w:r>
          </w:p>
        </w:tc>
        <w:tc>
          <w:tcPr>
            <w:tcW w:w="1060" w:type="dxa"/>
            <w:vAlign w:val="bottom"/>
            <w:shd w:val="clear" w:color="auto" w:fill="FAFAFA"/>
          </w:tcPr>
          <w:p>
            <w:pPr>
              <w:jc w:val="right"/>
              <w:spacing w:after="0"/>
              <w:rPr>
                <w:sz w:val="20"/>
                <w:szCs w:val="20"/>
                <w:color w:val="auto"/>
              </w:rPr>
            </w:pPr>
            <w:r>
              <w:rPr>
                <w:rFonts w:ascii="Arial" w:cs="Arial" w:eastAsia="Arial" w:hAnsi="Arial"/>
                <w:sz w:val="14"/>
                <w:szCs w:val="14"/>
                <w:color w:val="auto"/>
              </w:rPr>
              <w:t>1.2</w:t>
            </w:r>
          </w:p>
        </w:tc>
      </w:tr>
      <w:tr>
        <w:trPr>
          <w:trHeight w:val="364"/>
        </w:trPr>
        <w:tc>
          <w:tcPr>
            <w:tcW w:w="7100" w:type="dxa"/>
            <w:vAlign w:val="bottom"/>
            <w:shd w:val="clear" w:color="auto" w:fill="EBEBEB"/>
          </w:tcPr>
          <w:p>
            <w:pPr>
              <w:ind w:left="60"/>
              <w:spacing w:after="0"/>
              <w:rPr>
                <w:sz w:val="20"/>
                <w:szCs w:val="20"/>
                <w:color w:val="auto"/>
              </w:rPr>
            </w:pPr>
            <w:r>
              <w:rPr>
                <w:rFonts w:ascii="Arial" w:cs="Arial" w:eastAsia="Arial" w:hAnsi="Arial"/>
                <w:sz w:val="14"/>
                <w:szCs w:val="14"/>
                <w:b w:val="1"/>
                <w:bCs w:val="1"/>
                <w:color w:val="auto"/>
              </w:rPr>
              <w:t>Joseph Edelman</w:t>
            </w:r>
            <w:r>
              <w:rPr>
                <w:rFonts w:ascii="Arial" w:cs="Arial" w:eastAsia="Arial" w:hAnsi="Arial"/>
                <w:sz w:val="23"/>
                <w:szCs w:val="23"/>
                <w:b w:val="1"/>
                <w:bCs w:val="1"/>
                <w:color w:val="auto"/>
                <w:vertAlign w:val="superscript"/>
              </w:rPr>
              <w:t>(7)</w:t>
            </w:r>
          </w:p>
        </w:tc>
        <w:tc>
          <w:tcPr>
            <w:tcW w:w="1240" w:type="dxa"/>
            <w:vAlign w:val="bottom"/>
            <w:shd w:val="clear" w:color="auto" w:fill="EBEBEB"/>
          </w:tcPr>
          <w:p>
            <w:pPr>
              <w:jc w:val="right"/>
              <w:ind w:right="66"/>
              <w:spacing w:after="0"/>
              <w:rPr>
                <w:sz w:val="20"/>
                <w:szCs w:val="20"/>
                <w:color w:val="auto"/>
              </w:rPr>
            </w:pPr>
            <w:r>
              <w:rPr>
                <w:rFonts w:ascii="Arial" w:cs="Arial" w:eastAsia="Arial" w:hAnsi="Arial"/>
                <w:sz w:val="14"/>
                <w:szCs w:val="14"/>
                <w:color w:val="auto"/>
              </w:rPr>
              <w:t>5,458,448</w:t>
            </w:r>
          </w:p>
        </w:tc>
        <w:tc>
          <w:tcPr>
            <w:tcW w:w="1060" w:type="dxa"/>
            <w:vAlign w:val="bottom"/>
            <w:shd w:val="clear" w:color="auto" w:fill="EBEBEB"/>
          </w:tcPr>
          <w:p>
            <w:pPr>
              <w:jc w:val="right"/>
              <w:spacing w:after="0"/>
              <w:rPr>
                <w:sz w:val="20"/>
                <w:szCs w:val="20"/>
                <w:color w:val="auto"/>
              </w:rPr>
            </w:pPr>
            <w:r>
              <w:rPr>
                <w:rFonts w:ascii="Arial" w:cs="Arial" w:eastAsia="Arial" w:hAnsi="Arial"/>
                <w:sz w:val="14"/>
                <w:szCs w:val="14"/>
                <w:color w:val="auto"/>
              </w:rPr>
              <w:t>14.2</w:t>
            </w:r>
          </w:p>
        </w:tc>
      </w:tr>
      <w:tr>
        <w:trPr>
          <w:trHeight w:val="365"/>
        </w:trPr>
        <w:tc>
          <w:tcPr>
            <w:tcW w:w="7100" w:type="dxa"/>
            <w:vAlign w:val="bottom"/>
            <w:shd w:val="clear" w:color="auto" w:fill="FAFAFA"/>
          </w:tcPr>
          <w:p>
            <w:pPr>
              <w:ind w:left="60"/>
              <w:spacing w:after="0"/>
              <w:rPr>
                <w:sz w:val="20"/>
                <w:szCs w:val="20"/>
                <w:color w:val="auto"/>
              </w:rPr>
            </w:pPr>
            <w:r>
              <w:rPr>
                <w:rFonts w:ascii="Arial" w:cs="Arial" w:eastAsia="Arial" w:hAnsi="Arial"/>
                <w:sz w:val="14"/>
                <w:szCs w:val="14"/>
                <w:b w:val="1"/>
                <w:bCs w:val="1"/>
                <w:color w:val="auto"/>
              </w:rPr>
              <w:t>John M. Fluke, Jr.</w:t>
            </w:r>
            <w:r>
              <w:rPr>
                <w:rFonts w:ascii="Arial" w:cs="Arial" w:eastAsia="Arial" w:hAnsi="Arial"/>
                <w:sz w:val="23"/>
                <w:szCs w:val="23"/>
                <w:b w:val="1"/>
                <w:bCs w:val="1"/>
                <w:color w:val="auto"/>
                <w:vertAlign w:val="superscript"/>
              </w:rPr>
              <w:t>(8)</w:t>
            </w:r>
          </w:p>
        </w:tc>
        <w:tc>
          <w:tcPr>
            <w:tcW w:w="1240" w:type="dxa"/>
            <w:vAlign w:val="bottom"/>
            <w:shd w:val="clear" w:color="auto" w:fill="FAFAFA"/>
          </w:tcPr>
          <w:p>
            <w:pPr>
              <w:jc w:val="right"/>
              <w:ind w:right="66"/>
              <w:spacing w:after="0"/>
              <w:rPr>
                <w:sz w:val="20"/>
                <w:szCs w:val="20"/>
                <w:color w:val="auto"/>
              </w:rPr>
            </w:pPr>
            <w:r>
              <w:rPr>
                <w:rFonts w:ascii="Arial" w:cs="Arial" w:eastAsia="Arial" w:hAnsi="Arial"/>
                <w:sz w:val="14"/>
                <w:szCs w:val="14"/>
                <w:color w:val="auto"/>
              </w:rPr>
              <w:t>204,099</w:t>
            </w:r>
          </w:p>
        </w:tc>
        <w:tc>
          <w:tcPr>
            <w:tcW w:w="1060" w:type="dxa"/>
            <w:vAlign w:val="bottom"/>
            <w:shd w:val="clear" w:color="auto" w:fill="FAFAFA"/>
          </w:tcPr>
          <w:p>
            <w:pPr>
              <w:jc w:val="right"/>
              <w:spacing w:after="0"/>
              <w:rPr>
                <w:sz w:val="20"/>
                <w:szCs w:val="20"/>
                <w:color w:val="auto"/>
              </w:rPr>
            </w:pPr>
            <w:r>
              <w:rPr>
                <w:rFonts w:ascii="Arial" w:cs="Arial" w:eastAsia="Arial" w:hAnsi="Arial"/>
                <w:sz w:val="14"/>
                <w:szCs w:val="14"/>
                <w:color w:val="auto"/>
              </w:rPr>
              <w:t>*</w:t>
            </w:r>
          </w:p>
        </w:tc>
      </w:tr>
      <w:tr>
        <w:trPr>
          <w:trHeight w:val="364"/>
        </w:trPr>
        <w:tc>
          <w:tcPr>
            <w:tcW w:w="7100" w:type="dxa"/>
            <w:vAlign w:val="bottom"/>
            <w:shd w:val="clear" w:color="auto" w:fill="EBEBEB"/>
          </w:tcPr>
          <w:p>
            <w:pPr>
              <w:ind w:left="60"/>
              <w:spacing w:after="0"/>
              <w:rPr>
                <w:sz w:val="20"/>
                <w:szCs w:val="20"/>
                <w:color w:val="auto"/>
              </w:rPr>
            </w:pPr>
            <w:r>
              <w:rPr>
                <w:rFonts w:ascii="Arial" w:cs="Arial" w:eastAsia="Arial" w:hAnsi="Arial"/>
                <w:sz w:val="14"/>
                <w:szCs w:val="14"/>
                <w:b w:val="1"/>
                <w:bCs w:val="1"/>
                <w:color w:val="auto"/>
              </w:rPr>
              <w:t>James A. Johnson</w:t>
            </w:r>
            <w:r>
              <w:rPr>
                <w:rFonts w:ascii="Arial" w:cs="Arial" w:eastAsia="Arial" w:hAnsi="Arial"/>
                <w:sz w:val="23"/>
                <w:szCs w:val="23"/>
                <w:b w:val="1"/>
                <w:bCs w:val="1"/>
                <w:color w:val="auto"/>
                <w:vertAlign w:val="superscript"/>
              </w:rPr>
              <w:t>(9)</w:t>
            </w:r>
          </w:p>
        </w:tc>
        <w:tc>
          <w:tcPr>
            <w:tcW w:w="1240" w:type="dxa"/>
            <w:vAlign w:val="bottom"/>
            <w:shd w:val="clear" w:color="auto" w:fill="EBEBEB"/>
          </w:tcPr>
          <w:p>
            <w:pPr>
              <w:jc w:val="right"/>
              <w:ind w:right="66"/>
              <w:spacing w:after="0"/>
              <w:rPr>
                <w:sz w:val="20"/>
                <w:szCs w:val="20"/>
                <w:color w:val="auto"/>
              </w:rPr>
            </w:pPr>
            <w:r>
              <w:rPr>
                <w:rFonts w:ascii="Arial" w:cs="Arial" w:eastAsia="Arial" w:hAnsi="Arial"/>
                <w:sz w:val="14"/>
                <w:szCs w:val="14"/>
                <w:color w:val="auto"/>
              </w:rPr>
              <w:t>60,484</w:t>
            </w:r>
          </w:p>
        </w:tc>
        <w:tc>
          <w:tcPr>
            <w:tcW w:w="1060" w:type="dxa"/>
            <w:vAlign w:val="bottom"/>
            <w:shd w:val="clear" w:color="auto" w:fill="EBEBEB"/>
          </w:tcPr>
          <w:p>
            <w:pPr>
              <w:jc w:val="right"/>
              <w:spacing w:after="0"/>
              <w:rPr>
                <w:sz w:val="20"/>
                <w:szCs w:val="20"/>
                <w:color w:val="auto"/>
              </w:rPr>
            </w:pPr>
            <w:r>
              <w:rPr>
                <w:rFonts w:ascii="Arial" w:cs="Arial" w:eastAsia="Arial" w:hAnsi="Arial"/>
                <w:sz w:val="14"/>
                <w:szCs w:val="14"/>
                <w:color w:val="auto"/>
              </w:rPr>
              <w:t>*</w:t>
            </w:r>
          </w:p>
        </w:tc>
      </w:tr>
      <w:tr>
        <w:trPr>
          <w:trHeight w:val="364"/>
        </w:trPr>
        <w:tc>
          <w:tcPr>
            <w:tcW w:w="7100" w:type="dxa"/>
            <w:vAlign w:val="bottom"/>
            <w:shd w:val="clear" w:color="auto" w:fill="FAFAFA"/>
          </w:tcPr>
          <w:p>
            <w:pPr>
              <w:ind w:left="60"/>
              <w:spacing w:after="0"/>
              <w:rPr>
                <w:sz w:val="20"/>
                <w:szCs w:val="20"/>
                <w:color w:val="auto"/>
              </w:rPr>
            </w:pPr>
            <w:r>
              <w:rPr>
                <w:rFonts w:ascii="Arial" w:cs="Arial" w:eastAsia="Arial" w:hAnsi="Arial"/>
                <w:sz w:val="14"/>
                <w:szCs w:val="14"/>
                <w:b w:val="1"/>
                <w:bCs w:val="1"/>
                <w:color w:val="auto"/>
              </w:rPr>
              <w:t>Barbara Kosacz</w:t>
            </w:r>
            <w:r>
              <w:rPr>
                <w:rFonts w:ascii="Arial" w:cs="Arial" w:eastAsia="Arial" w:hAnsi="Arial"/>
                <w:sz w:val="23"/>
                <w:szCs w:val="23"/>
                <w:b w:val="1"/>
                <w:bCs w:val="1"/>
                <w:color w:val="auto"/>
                <w:vertAlign w:val="superscript"/>
              </w:rPr>
              <w:t>(10)</w:t>
            </w:r>
          </w:p>
        </w:tc>
        <w:tc>
          <w:tcPr>
            <w:tcW w:w="1240" w:type="dxa"/>
            <w:vAlign w:val="bottom"/>
            <w:shd w:val="clear" w:color="auto" w:fill="FAFAFA"/>
          </w:tcPr>
          <w:p>
            <w:pPr>
              <w:jc w:val="right"/>
              <w:ind w:right="66"/>
              <w:spacing w:after="0"/>
              <w:rPr>
                <w:sz w:val="20"/>
                <w:szCs w:val="20"/>
                <w:color w:val="auto"/>
              </w:rPr>
            </w:pPr>
            <w:r>
              <w:rPr>
                <w:rFonts w:ascii="Arial" w:cs="Arial" w:eastAsia="Arial" w:hAnsi="Arial"/>
                <w:sz w:val="14"/>
                <w:szCs w:val="14"/>
                <w:color w:val="auto"/>
              </w:rPr>
              <w:t>41,613</w:t>
            </w:r>
          </w:p>
        </w:tc>
        <w:tc>
          <w:tcPr>
            <w:tcW w:w="1060" w:type="dxa"/>
            <w:vAlign w:val="bottom"/>
            <w:shd w:val="clear" w:color="auto" w:fill="FAFAFA"/>
          </w:tcPr>
          <w:p>
            <w:pPr>
              <w:jc w:val="right"/>
              <w:spacing w:after="0"/>
              <w:rPr>
                <w:sz w:val="20"/>
                <w:szCs w:val="20"/>
                <w:color w:val="auto"/>
              </w:rPr>
            </w:pPr>
            <w:r>
              <w:rPr>
                <w:rFonts w:ascii="Arial" w:cs="Arial" w:eastAsia="Arial" w:hAnsi="Arial"/>
                <w:sz w:val="14"/>
                <w:szCs w:val="14"/>
                <w:color w:val="auto"/>
              </w:rPr>
              <w:t>*</w:t>
            </w:r>
          </w:p>
        </w:tc>
      </w:tr>
      <w:tr>
        <w:trPr>
          <w:trHeight w:val="365"/>
        </w:trPr>
        <w:tc>
          <w:tcPr>
            <w:tcW w:w="7100" w:type="dxa"/>
            <w:vAlign w:val="bottom"/>
            <w:shd w:val="clear" w:color="auto" w:fill="EBEBEB"/>
          </w:tcPr>
          <w:p>
            <w:pPr>
              <w:ind w:left="60"/>
              <w:spacing w:after="0"/>
              <w:rPr>
                <w:sz w:val="20"/>
                <w:szCs w:val="20"/>
                <w:color w:val="auto"/>
              </w:rPr>
            </w:pPr>
            <w:r>
              <w:rPr>
                <w:rFonts w:ascii="Arial" w:cs="Arial" w:eastAsia="Arial" w:hAnsi="Arial"/>
                <w:sz w:val="14"/>
                <w:szCs w:val="14"/>
                <w:b w:val="1"/>
                <w:bCs w:val="1"/>
                <w:color w:val="auto"/>
              </w:rPr>
              <w:t>Kelly A. Romano</w:t>
            </w:r>
            <w:r>
              <w:rPr>
                <w:rFonts w:ascii="Arial" w:cs="Arial" w:eastAsia="Arial" w:hAnsi="Arial"/>
                <w:sz w:val="23"/>
                <w:szCs w:val="23"/>
                <w:b w:val="1"/>
                <w:bCs w:val="1"/>
                <w:color w:val="auto"/>
                <w:vertAlign w:val="superscript"/>
              </w:rPr>
              <w:t>(11)</w:t>
            </w:r>
          </w:p>
        </w:tc>
        <w:tc>
          <w:tcPr>
            <w:tcW w:w="1240" w:type="dxa"/>
            <w:vAlign w:val="bottom"/>
            <w:shd w:val="clear" w:color="auto" w:fill="EBEBEB"/>
          </w:tcPr>
          <w:p>
            <w:pPr>
              <w:jc w:val="right"/>
              <w:ind w:right="66"/>
              <w:spacing w:after="0"/>
              <w:rPr>
                <w:sz w:val="20"/>
                <w:szCs w:val="20"/>
                <w:color w:val="auto"/>
              </w:rPr>
            </w:pPr>
            <w:r>
              <w:rPr>
                <w:rFonts w:ascii="Arial" w:cs="Arial" w:eastAsia="Arial" w:hAnsi="Arial"/>
                <w:sz w:val="14"/>
                <w:szCs w:val="14"/>
                <w:color w:val="auto"/>
              </w:rPr>
              <w:t>79,928</w:t>
            </w:r>
          </w:p>
        </w:tc>
        <w:tc>
          <w:tcPr>
            <w:tcW w:w="1060" w:type="dxa"/>
            <w:vAlign w:val="bottom"/>
            <w:shd w:val="clear" w:color="auto" w:fill="EBEBEB"/>
          </w:tcPr>
          <w:p>
            <w:pPr>
              <w:jc w:val="right"/>
              <w:spacing w:after="0"/>
              <w:rPr>
                <w:sz w:val="20"/>
                <w:szCs w:val="20"/>
                <w:color w:val="auto"/>
              </w:rPr>
            </w:pPr>
            <w:r>
              <w:rPr>
                <w:rFonts w:ascii="Arial" w:cs="Arial" w:eastAsia="Arial" w:hAnsi="Arial"/>
                <w:sz w:val="14"/>
                <w:szCs w:val="14"/>
                <w:color w:val="auto"/>
              </w:rPr>
              <w:t>*</w:t>
            </w:r>
          </w:p>
        </w:tc>
      </w:tr>
      <w:tr>
        <w:trPr>
          <w:trHeight w:val="364"/>
        </w:trPr>
        <w:tc>
          <w:tcPr>
            <w:tcW w:w="7100" w:type="dxa"/>
            <w:vAlign w:val="bottom"/>
            <w:shd w:val="clear" w:color="auto" w:fill="FAFAFA"/>
          </w:tcPr>
          <w:p>
            <w:pPr>
              <w:ind w:left="60"/>
              <w:spacing w:after="0"/>
              <w:rPr>
                <w:sz w:val="20"/>
                <w:szCs w:val="20"/>
                <w:color w:val="auto"/>
              </w:rPr>
            </w:pPr>
            <w:r>
              <w:rPr>
                <w:rFonts w:ascii="Arial" w:cs="Arial" w:eastAsia="Arial" w:hAnsi="Arial"/>
                <w:sz w:val="14"/>
                <w:szCs w:val="14"/>
                <w:b w:val="1"/>
                <w:bCs w:val="1"/>
                <w:color w:val="auto"/>
              </w:rPr>
              <w:t>Grant Pickering</w:t>
            </w:r>
            <w:r>
              <w:rPr>
                <w:rFonts w:ascii="Arial" w:cs="Arial" w:eastAsia="Arial" w:hAnsi="Arial"/>
                <w:sz w:val="23"/>
                <w:szCs w:val="23"/>
                <w:b w:val="1"/>
                <w:bCs w:val="1"/>
                <w:color w:val="auto"/>
                <w:vertAlign w:val="superscript"/>
              </w:rPr>
              <w:t>(12)</w:t>
            </w:r>
          </w:p>
        </w:tc>
        <w:tc>
          <w:tcPr>
            <w:tcW w:w="1240" w:type="dxa"/>
            <w:vAlign w:val="bottom"/>
            <w:shd w:val="clear" w:color="auto" w:fill="FAFAFA"/>
          </w:tcPr>
          <w:p>
            <w:pPr>
              <w:jc w:val="right"/>
              <w:ind w:right="66"/>
              <w:spacing w:after="0"/>
              <w:rPr>
                <w:sz w:val="20"/>
                <w:szCs w:val="20"/>
                <w:color w:val="auto"/>
              </w:rPr>
            </w:pPr>
            <w:r>
              <w:rPr>
                <w:rFonts w:ascii="Arial" w:cs="Arial" w:eastAsia="Arial" w:hAnsi="Arial"/>
                <w:sz w:val="14"/>
                <w:szCs w:val="14"/>
                <w:color w:val="auto"/>
              </w:rPr>
              <w:t>50,057</w:t>
            </w:r>
          </w:p>
        </w:tc>
        <w:tc>
          <w:tcPr>
            <w:tcW w:w="1060" w:type="dxa"/>
            <w:vAlign w:val="bottom"/>
            <w:shd w:val="clear" w:color="auto" w:fill="FAFAFA"/>
          </w:tcPr>
          <w:p>
            <w:pPr>
              <w:jc w:val="right"/>
              <w:spacing w:after="0"/>
              <w:rPr>
                <w:sz w:val="20"/>
                <w:szCs w:val="20"/>
                <w:color w:val="auto"/>
              </w:rPr>
            </w:pPr>
            <w:r>
              <w:rPr>
                <w:rFonts w:ascii="Arial" w:cs="Arial" w:eastAsia="Arial" w:hAnsi="Arial"/>
                <w:sz w:val="14"/>
                <w:szCs w:val="14"/>
                <w:color w:val="auto"/>
              </w:rPr>
              <w:t>*</w:t>
            </w:r>
          </w:p>
        </w:tc>
      </w:tr>
      <w:tr>
        <w:trPr>
          <w:trHeight w:val="365"/>
        </w:trPr>
        <w:tc>
          <w:tcPr>
            <w:tcW w:w="7100" w:type="dxa"/>
            <w:vAlign w:val="bottom"/>
            <w:shd w:val="clear" w:color="auto" w:fill="EBEBEB"/>
          </w:tcPr>
          <w:p>
            <w:pPr>
              <w:ind w:left="60"/>
              <w:spacing w:after="0"/>
              <w:rPr>
                <w:sz w:val="20"/>
                <w:szCs w:val="20"/>
                <w:color w:val="auto"/>
              </w:rPr>
            </w:pPr>
            <w:r>
              <w:rPr>
                <w:rFonts w:ascii="Arial" w:cs="Arial" w:eastAsia="Arial" w:hAnsi="Arial"/>
                <w:sz w:val="14"/>
                <w:szCs w:val="14"/>
                <w:b w:val="1"/>
                <w:bCs w:val="1"/>
                <w:color w:val="auto"/>
              </w:rPr>
              <w:t>Michael Panzara</w:t>
            </w:r>
            <w:r>
              <w:rPr>
                <w:rFonts w:ascii="Arial" w:cs="Arial" w:eastAsia="Arial" w:hAnsi="Arial"/>
                <w:sz w:val="23"/>
                <w:szCs w:val="23"/>
                <w:b w:val="1"/>
                <w:bCs w:val="1"/>
                <w:color w:val="auto"/>
                <w:vertAlign w:val="superscript"/>
              </w:rPr>
              <w:t>(13)</w:t>
            </w:r>
          </w:p>
        </w:tc>
        <w:tc>
          <w:tcPr>
            <w:tcW w:w="1240" w:type="dxa"/>
            <w:vAlign w:val="bottom"/>
            <w:shd w:val="clear" w:color="auto" w:fill="EBEBEB"/>
          </w:tcPr>
          <w:p>
            <w:pPr>
              <w:jc w:val="right"/>
              <w:ind w:right="66"/>
              <w:spacing w:after="0"/>
              <w:rPr>
                <w:sz w:val="20"/>
                <w:szCs w:val="20"/>
                <w:color w:val="auto"/>
              </w:rPr>
            </w:pPr>
            <w:r>
              <w:rPr>
                <w:rFonts w:ascii="Arial" w:cs="Arial" w:eastAsia="Arial" w:hAnsi="Arial"/>
                <w:sz w:val="14"/>
                <w:szCs w:val="14"/>
                <w:color w:val="auto"/>
              </w:rPr>
              <w:t>21,576</w:t>
            </w:r>
          </w:p>
        </w:tc>
        <w:tc>
          <w:tcPr>
            <w:tcW w:w="1060" w:type="dxa"/>
            <w:vAlign w:val="bottom"/>
            <w:shd w:val="clear" w:color="auto" w:fill="EBEBEB"/>
          </w:tcPr>
          <w:p>
            <w:pPr>
              <w:jc w:val="right"/>
              <w:spacing w:after="0"/>
              <w:rPr>
                <w:sz w:val="20"/>
                <w:szCs w:val="20"/>
                <w:color w:val="auto"/>
              </w:rPr>
            </w:pPr>
            <w:r>
              <w:rPr>
                <w:rFonts w:ascii="Arial" w:cs="Arial" w:eastAsia="Arial" w:hAnsi="Arial"/>
                <w:sz w:val="14"/>
                <w:szCs w:val="14"/>
                <w:color w:val="auto"/>
              </w:rPr>
              <w:t>*</w:t>
            </w:r>
          </w:p>
        </w:tc>
      </w:tr>
      <w:tr>
        <w:trPr>
          <w:trHeight w:val="459"/>
        </w:trPr>
        <w:tc>
          <w:tcPr>
            <w:tcW w:w="7100" w:type="dxa"/>
            <w:vAlign w:val="bottom"/>
            <w:shd w:val="clear" w:color="auto" w:fill="FAFAFA"/>
          </w:tcPr>
          <w:p>
            <w:pPr>
              <w:ind w:left="60"/>
              <w:spacing w:after="0"/>
              <w:rPr>
                <w:sz w:val="20"/>
                <w:szCs w:val="20"/>
                <w:color w:val="auto"/>
              </w:rPr>
            </w:pPr>
            <w:r>
              <w:rPr>
                <w:rFonts w:ascii="Arial" w:cs="Arial" w:eastAsia="Arial" w:hAnsi="Arial"/>
                <w:sz w:val="16"/>
                <w:szCs w:val="16"/>
                <w:b w:val="1"/>
                <w:bCs w:val="1"/>
                <w:color w:val="255993"/>
              </w:rPr>
              <w:t>ALL CURRENT DIRECTORS AND EXECUTIVE OFFICERS AS A GROUP (12 PERSONS)</w:t>
            </w:r>
            <w:r>
              <w:rPr>
                <w:rFonts w:ascii="Arial" w:cs="Arial" w:eastAsia="Arial" w:hAnsi="Arial"/>
                <w:sz w:val="26"/>
                <w:szCs w:val="26"/>
                <w:color w:val="255993"/>
                <w:vertAlign w:val="superscript"/>
              </w:rPr>
              <w:t>(14)</w:t>
            </w:r>
          </w:p>
        </w:tc>
        <w:tc>
          <w:tcPr>
            <w:tcW w:w="1240" w:type="dxa"/>
            <w:vAlign w:val="bottom"/>
            <w:shd w:val="clear" w:color="auto" w:fill="FAFAFA"/>
          </w:tcPr>
          <w:p>
            <w:pPr>
              <w:jc w:val="right"/>
              <w:ind w:right="66"/>
              <w:spacing w:after="0"/>
              <w:rPr>
                <w:sz w:val="20"/>
                <w:szCs w:val="20"/>
                <w:color w:val="auto"/>
              </w:rPr>
            </w:pPr>
            <w:r>
              <w:rPr>
                <w:rFonts w:ascii="Arial" w:cs="Arial" w:eastAsia="Arial" w:hAnsi="Arial"/>
                <w:sz w:val="16"/>
                <w:szCs w:val="16"/>
                <w:color w:val="255993"/>
              </w:rPr>
              <w:t>​</w:t>
            </w:r>
            <w:r>
              <w:rPr>
                <w:rFonts w:ascii="Arial" w:cs="Arial" w:eastAsia="Arial" w:hAnsi="Arial"/>
                <w:sz w:val="14"/>
                <w:szCs w:val="14"/>
                <w:b w:val="1"/>
                <w:bCs w:val="1"/>
                <w:color w:val="255993"/>
              </w:rPr>
              <w:t>7,631,180</w:t>
            </w:r>
          </w:p>
        </w:tc>
        <w:tc>
          <w:tcPr>
            <w:tcW w:w="1060" w:type="dxa"/>
            <w:vAlign w:val="bottom"/>
            <w:shd w:val="clear" w:color="auto" w:fill="FAFAFA"/>
          </w:tcPr>
          <w:p>
            <w:pPr>
              <w:jc w:val="right"/>
              <w:spacing w:after="0"/>
              <w:rPr>
                <w:sz w:val="20"/>
                <w:szCs w:val="20"/>
                <w:color w:val="auto"/>
              </w:rPr>
            </w:pPr>
            <w:r>
              <w:rPr>
                <w:rFonts w:ascii="Arial" w:cs="Arial" w:eastAsia="Arial" w:hAnsi="Arial"/>
                <w:sz w:val="14"/>
                <w:szCs w:val="14"/>
                <w:b w:val="1"/>
                <w:bCs w:val="1"/>
                <w:color w:val="255993"/>
              </w:rPr>
              <w:t>19​.1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-290830</wp:posOffset>
            </wp:positionV>
            <wp:extent cx="59664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-522605</wp:posOffset>
            </wp:positionV>
            <wp:extent cx="596646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-753745</wp:posOffset>
            </wp:positionV>
            <wp:extent cx="59664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-985520</wp:posOffset>
            </wp:positionV>
            <wp:extent cx="596646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-1216660</wp:posOffset>
            </wp:positionV>
            <wp:extent cx="59664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-1447800</wp:posOffset>
            </wp:positionV>
            <wp:extent cx="59664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-1679575</wp:posOffset>
            </wp:positionV>
            <wp:extent cx="596646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-1910715</wp:posOffset>
            </wp:positionV>
            <wp:extent cx="59664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-2142490</wp:posOffset>
            </wp:positionV>
            <wp:extent cx="59664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-2374265</wp:posOffset>
            </wp:positionV>
            <wp:extent cx="59664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-2605405</wp:posOffset>
            </wp:positionV>
            <wp:extent cx="59664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-2837180</wp:posOffset>
            </wp:positionV>
            <wp:extent cx="596646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-3068320</wp:posOffset>
            </wp:positionV>
            <wp:extent cx="59664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-3299460</wp:posOffset>
            </wp:positionV>
            <wp:extent cx="59664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-3531235</wp:posOffset>
            </wp:positionV>
            <wp:extent cx="596646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-3762375</wp:posOffset>
            </wp:positionV>
            <wp:extent cx="59664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33" w:lineRule="exact"/>
        <w:rPr>
          <w:sz w:val="20"/>
          <w:szCs w:val="20"/>
          <w:color w:val="auto"/>
        </w:rPr>
      </w:pPr>
    </w:p>
    <w:p>
      <w:pPr>
        <w:ind w:left="240" w:hanging="234"/>
        <w:spacing w:after="0"/>
        <w:tabs>
          <w:tab w:leader="none" w:pos="240" w:val="left"/>
        </w:tabs>
        <w:numPr>
          <w:ilvl w:val="0"/>
          <w:numId w:val="32"/>
        </w:numPr>
        <w:rPr>
          <w:rFonts w:ascii="Arial" w:cs="Arial" w:eastAsia="Arial" w:hAnsi="Arial"/>
          <w:sz w:val="14"/>
          <w:szCs w:val="14"/>
          <w:color w:val="255993"/>
        </w:rPr>
      </w:pPr>
      <w:r>
        <w:rPr>
          <w:rFonts w:ascii="Arial" w:cs="Arial" w:eastAsia="Arial" w:hAnsi="Arial"/>
          <w:sz w:val="14"/>
          <w:szCs w:val="14"/>
          <w:color w:val="255993"/>
        </w:rPr>
        <w:t>Represents beneficial ownership of less than 1% of our outstanding common stock.</w:t>
      </w:r>
    </w:p>
    <w:p>
      <w:pPr>
        <w:spacing w:after="0" w:line="96" w:lineRule="exact"/>
        <w:rPr>
          <w:sz w:val="20"/>
          <w:szCs w:val="20"/>
          <w:color w:val="auto"/>
        </w:rPr>
      </w:pPr>
    </w:p>
    <w:p>
      <w:pPr>
        <w:ind w:left="240" w:right="160" w:hanging="234"/>
        <w:spacing w:after="0" w:line="225" w:lineRule="auto"/>
        <w:tabs>
          <w:tab w:leader="none" w:pos="240" w:val="left"/>
        </w:tabs>
        <w:numPr>
          <w:ilvl w:val="0"/>
          <w:numId w:val="33"/>
        </w:numPr>
        <w:rPr>
          <w:rFonts w:ascii="Arial" w:cs="Arial" w:eastAsia="Arial" w:hAnsi="Arial"/>
          <w:sz w:val="14"/>
          <w:szCs w:val="14"/>
          <w:color w:val="255993"/>
        </w:rPr>
      </w:pPr>
      <w:r>
        <w:rPr>
          <w:rFonts w:ascii="Arial" w:cs="Arial" w:eastAsia="Arial" w:hAnsi="Arial"/>
          <w:sz w:val="14"/>
          <w:szCs w:val="14"/>
          <w:color w:val="255993"/>
        </w:rPr>
        <w:t>Based on the Schedule 13D/A filed with the SEC on December 29, 2023. Consists of 5,402,964 shares held of record by Perceptive Life Sciences Master Fund Ltd. (“Perceptive”). The business address of Perceptive is 51 Astor Place, 10</w:t>
      </w:r>
      <w:r>
        <w:rPr>
          <w:rFonts w:ascii="Arial" w:cs="Arial" w:eastAsia="Arial" w:hAnsi="Arial"/>
          <w:sz w:val="23"/>
          <w:szCs w:val="23"/>
          <w:color w:val="255993"/>
          <w:vertAlign w:val="superscript"/>
        </w:rPr>
        <w:t>th</w:t>
      </w:r>
      <w:r>
        <w:rPr>
          <w:rFonts w:ascii="Arial" w:cs="Arial" w:eastAsia="Arial" w:hAnsi="Arial"/>
          <w:sz w:val="14"/>
          <w:szCs w:val="14"/>
          <w:color w:val="255993"/>
        </w:rPr>
        <w:t xml:space="preserve"> Floor, New York, NY 10003. Perceptive Advisors LLC serves as the investment manager of Perceptive. Joseph Edelman is the managing member of Perceptive Advisors LLC and he may be deemed to beneficially own the shares held by Perceptive.</w:t>
      </w:r>
    </w:p>
    <w:p>
      <w:pPr>
        <w:spacing w:after="0" w:line="68" w:lineRule="exact"/>
        <w:rPr>
          <w:rFonts w:ascii="Arial" w:cs="Arial" w:eastAsia="Arial" w:hAnsi="Arial"/>
          <w:sz w:val="14"/>
          <w:szCs w:val="14"/>
          <w:color w:val="255993"/>
        </w:rPr>
      </w:pPr>
    </w:p>
    <w:p>
      <w:pPr>
        <w:ind w:left="240" w:right="20" w:hanging="234"/>
        <w:spacing w:after="0" w:line="251" w:lineRule="auto"/>
        <w:tabs>
          <w:tab w:leader="none" w:pos="240" w:val="left"/>
        </w:tabs>
        <w:numPr>
          <w:ilvl w:val="0"/>
          <w:numId w:val="33"/>
        </w:numPr>
        <w:rPr>
          <w:rFonts w:ascii="Arial" w:cs="Arial" w:eastAsia="Arial" w:hAnsi="Arial"/>
          <w:sz w:val="14"/>
          <w:szCs w:val="14"/>
          <w:color w:val="255993"/>
        </w:rPr>
      </w:pPr>
      <w:r>
        <w:rPr>
          <w:rFonts w:ascii="Arial" w:cs="Arial" w:eastAsia="Arial" w:hAnsi="Arial"/>
          <w:sz w:val="14"/>
          <w:szCs w:val="14"/>
          <w:color w:val="255993"/>
        </w:rPr>
        <w:t>Based on the Schedule 13G filed with the SEC on February 14, 2024. Consists of 3,153,807 shares held of record by Baker Bros. Advisors LLP. The address and principal office of Baker Bros. Advisors LLP is 860 Washington Street, 3</w:t>
      </w:r>
      <w:r>
        <w:rPr>
          <w:rFonts w:ascii="Arial" w:cs="Arial" w:eastAsia="Arial" w:hAnsi="Arial"/>
          <w:sz w:val="23"/>
          <w:szCs w:val="23"/>
          <w:color w:val="255993"/>
          <w:vertAlign w:val="superscript"/>
        </w:rPr>
        <w:t>rd</w:t>
      </w:r>
      <w:r>
        <w:rPr>
          <w:rFonts w:ascii="Arial" w:cs="Arial" w:eastAsia="Arial" w:hAnsi="Arial"/>
          <w:sz w:val="14"/>
          <w:szCs w:val="14"/>
          <w:color w:val="255993"/>
        </w:rPr>
        <w:t xml:space="preserve"> Floor, New York, NY 10014.</w:t>
      </w:r>
    </w:p>
    <w:p>
      <w:pPr>
        <w:spacing w:after="0" w:line="1" w:lineRule="exact"/>
        <w:rPr>
          <w:rFonts w:ascii="Arial" w:cs="Arial" w:eastAsia="Arial" w:hAnsi="Arial"/>
          <w:sz w:val="14"/>
          <w:szCs w:val="14"/>
          <w:color w:val="255993"/>
        </w:rPr>
      </w:pPr>
    </w:p>
    <w:p>
      <w:pPr>
        <w:ind w:left="240" w:right="520" w:hanging="234"/>
        <w:spacing w:after="0" w:line="264" w:lineRule="auto"/>
        <w:tabs>
          <w:tab w:leader="none" w:pos="240" w:val="left"/>
        </w:tabs>
        <w:numPr>
          <w:ilvl w:val="0"/>
          <w:numId w:val="33"/>
        </w:numPr>
        <w:rPr>
          <w:rFonts w:ascii="Arial" w:cs="Arial" w:eastAsia="Arial" w:hAnsi="Arial"/>
          <w:sz w:val="14"/>
          <w:szCs w:val="14"/>
          <w:color w:val="255993"/>
        </w:rPr>
      </w:pPr>
      <w:r>
        <w:rPr>
          <w:rFonts w:ascii="Arial" w:cs="Arial" w:eastAsia="Arial" w:hAnsi="Arial"/>
          <w:sz w:val="14"/>
          <w:szCs w:val="14"/>
          <w:color w:val="255993"/>
        </w:rPr>
        <w:t>Based on the Schedule 13G filed with the SEC on April 20, 2023. Consists of 1,983,468 shares held of record by Richard A. Kayne. The business address of Richard A. Kayne is 1800 Avenue of the Stars, Third Floor, Los Angeles, CA 90067.</w:t>
      </w:r>
    </w:p>
    <w:p>
      <w:pPr>
        <w:spacing w:after="0" w:line="50" w:lineRule="exact"/>
        <w:rPr>
          <w:rFonts w:ascii="Arial" w:cs="Arial" w:eastAsia="Arial" w:hAnsi="Arial"/>
          <w:sz w:val="14"/>
          <w:szCs w:val="14"/>
          <w:color w:val="255993"/>
        </w:rPr>
      </w:pPr>
    </w:p>
    <w:p>
      <w:pPr>
        <w:ind w:left="240" w:right="140" w:hanging="234"/>
        <w:spacing w:after="0" w:line="263" w:lineRule="auto"/>
        <w:tabs>
          <w:tab w:leader="none" w:pos="240" w:val="left"/>
        </w:tabs>
        <w:numPr>
          <w:ilvl w:val="0"/>
          <w:numId w:val="33"/>
        </w:numPr>
        <w:rPr>
          <w:rFonts w:ascii="Arial" w:cs="Arial" w:eastAsia="Arial" w:hAnsi="Arial"/>
          <w:sz w:val="14"/>
          <w:szCs w:val="14"/>
          <w:color w:val="255993"/>
        </w:rPr>
      </w:pPr>
      <w:r>
        <w:rPr>
          <w:rFonts w:ascii="Arial" w:cs="Arial" w:eastAsia="Arial" w:hAnsi="Arial"/>
          <w:sz w:val="14"/>
          <w:szCs w:val="14"/>
          <w:color w:val="255993"/>
        </w:rPr>
        <w:t>Consists of 144,397 shares held of record by Dr. Litton, 6,563 shares held by Irrevocable Trust of OSL, 6,563 shares held by Irrevocable Trust of SWL, and 6,563 shares held by Irrevocable Trust of WGL, each irrevocable trust is for the benefit of Dr. Litton’s children, and options to purchase 628,787 shares that are exercisable within 60 days of February 29, 2024.</w:t>
      </w:r>
    </w:p>
    <w:p>
      <w:pPr>
        <w:spacing w:after="0" w:line="51" w:lineRule="exact"/>
        <w:rPr>
          <w:rFonts w:ascii="Arial" w:cs="Arial" w:eastAsia="Arial" w:hAnsi="Arial"/>
          <w:sz w:val="14"/>
          <w:szCs w:val="14"/>
          <w:color w:val="255993"/>
        </w:rPr>
      </w:pPr>
    </w:p>
    <w:p>
      <w:pPr>
        <w:ind w:left="240" w:hanging="234"/>
        <w:spacing w:after="0"/>
        <w:tabs>
          <w:tab w:leader="none" w:pos="240" w:val="left"/>
        </w:tabs>
        <w:numPr>
          <w:ilvl w:val="0"/>
          <w:numId w:val="33"/>
        </w:numPr>
        <w:rPr>
          <w:rFonts w:ascii="Arial" w:cs="Arial" w:eastAsia="Arial" w:hAnsi="Arial"/>
          <w:sz w:val="14"/>
          <w:szCs w:val="14"/>
          <w:color w:val="255993"/>
        </w:rPr>
      </w:pPr>
      <w:r>
        <w:rPr>
          <w:rFonts w:ascii="Arial" w:cs="Arial" w:eastAsia="Arial" w:hAnsi="Arial"/>
          <w:sz w:val="14"/>
          <w:szCs w:val="14"/>
          <w:color w:val="255993"/>
        </w:rPr>
        <w:t>Consists of 83,804 shares held by Mr. Gengos and options to purchase 11,666 shares that are exercisable within 60 days of February 29, 2024.</w:t>
      </w:r>
    </w:p>
    <w:p>
      <w:pPr>
        <w:spacing w:after="0" w:line="82" w:lineRule="exact"/>
        <w:rPr>
          <w:rFonts w:ascii="Arial" w:cs="Arial" w:eastAsia="Arial" w:hAnsi="Arial"/>
          <w:sz w:val="14"/>
          <w:szCs w:val="14"/>
          <w:color w:val="255993"/>
        </w:rPr>
      </w:pPr>
    </w:p>
    <w:p>
      <w:pPr>
        <w:ind w:left="240" w:right="320" w:hanging="234"/>
        <w:spacing w:after="0" w:line="285" w:lineRule="auto"/>
        <w:tabs>
          <w:tab w:leader="none" w:pos="240" w:val="left"/>
        </w:tabs>
        <w:numPr>
          <w:ilvl w:val="0"/>
          <w:numId w:val="33"/>
        </w:numPr>
        <w:rPr>
          <w:rFonts w:ascii="Arial" w:cs="Arial" w:eastAsia="Arial" w:hAnsi="Arial"/>
          <w:sz w:val="14"/>
          <w:szCs w:val="14"/>
          <w:color w:val="255993"/>
        </w:rPr>
      </w:pPr>
      <w:r>
        <w:rPr>
          <w:rFonts w:ascii="Arial" w:cs="Arial" w:eastAsia="Arial" w:hAnsi="Arial"/>
          <w:sz w:val="14"/>
          <w:szCs w:val="14"/>
          <w:color w:val="255993"/>
        </w:rPr>
        <w:t>Consists of 91,482 shares held by Dr. Moebius and options to purchase 360,744 shares that are exercisable within 60 days of February 29, 2024</w:t>
      </w:r>
    </w:p>
    <w:p>
      <w:pPr>
        <w:spacing w:after="0" w:line="36" w:lineRule="exact"/>
        <w:rPr>
          <w:rFonts w:ascii="Arial" w:cs="Arial" w:eastAsia="Arial" w:hAnsi="Arial"/>
          <w:sz w:val="14"/>
          <w:szCs w:val="14"/>
          <w:color w:val="255993"/>
        </w:rPr>
      </w:pPr>
    </w:p>
    <w:p>
      <w:pPr>
        <w:ind w:left="240" w:right="720" w:hanging="234"/>
        <w:spacing w:after="0" w:line="285" w:lineRule="auto"/>
        <w:tabs>
          <w:tab w:leader="none" w:pos="240" w:val="left"/>
        </w:tabs>
        <w:numPr>
          <w:ilvl w:val="0"/>
          <w:numId w:val="33"/>
        </w:numPr>
        <w:rPr>
          <w:rFonts w:ascii="Arial" w:cs="Arial" w:eastAsia="Arial" w:hAnsi="Arial"/>
          <w:sz w:val="14"/>
          <w:szCs w:val="14"/>
          <w:color w:val="255993"/>
        </w:rPr>
      </w:pPr>
      <w:r>
        <w:rPr>
          <w:rFonts w:ascii="Arial" w:cs="Arial" w:eastAsia="Arial" w:hAnsi="Arial"/>
          <w:sz w:val="14"/>
          <w:szCs w:val="14"/>
          <w:color w:val="255993"/>
        </w:rPr>
        <w:t>Consists of the shares referenced in footnote (1) above and options to purchase 55,484 shares that are exercisable within 60 days of February 29, 2024.</w:t>
      </w:r>
    </w:p>
    <w:p>
      <w:pPr>
        <w:spacing w:after="0" w:line="36" w:lineRule="exact"/>
        <w:rPr>
          <w:rFonts w:ascii="Arial" w:cs="Arial" w:eastAsia="Arial" w:hAnsi="Arial"/>
          <w:sz w:val="14"/>
          <w:szCs w:val="14"/>
          <w:color w:val="255993"/>
        </w:rPr>
      </w:pPr>
    </w:p>
    <w:p>
      <w:pPr>
        <w:ind w:left="240" w:right="100" w:hanging="234"/>
        <w:spacing w:after="0" w:line="285" w:lineRule="auto"/>
        <w:tabs>
          <w:tab w:leader="none" w:pos="240" w:val="left"/>
        </w:tabs>
        <w:numPr>
          <w:ilvl w:val="0"/>
          <w:numId w:val="33"/>
        </w:numPr>
        <w:rPr>
          <w:rFonts w:ascii="Arial" w:cs="Arial" w:eastAsia="Arial" w:hAnsi="Arial"/>
          <w:sz w:val="14"/>
          <w:szCs w:val="14"/>
          <w:color w:val="255993"/>
        </w:rPr>
      </w:pPr>
      <w:r>
        <w:rPr>
          <w:rFonts w:ascii="Arial" w:cs="Arial" w:eastAsia="Arial" w:hAnsi="Arial"/>
          <w:sz w:val="14"/>
          <w:szCs w:val="14"/>
          <w:color w:val="255993"/>
        </w:rPr>
        <w:t>Consists of 3,731 shares held of record by Fluke Capital Management, L.P., 144,884 shares held by Mr. Fluke, and options to purchase 55,484 shares that are exercisable within 60 days of February 29, 2024.</w:t>
      </w:r>
    </w:p>
    <w:p>
      <w:pPr>
        <w:spacing w:after="0" w:line="22" w:lineRule="exact"/>
        <w:rPr>
          <w:rFonts w:ascii="Arial" w:cs="Arial" w:eastAsia="Arial" w:hAnsi="Arial"/>
          <w:sz w:val="14"/>
          <w:szCs w:val="14"/>
          <w:color w:val="255993"/>
        </w:rPr>
      </w:pPr>
    </w:p>
    <w:p>
      <w:pPr>
        <w:ind w:left="240" w:hanging="234"/>
        <w:spacing w:after="0"/>
        <w:tabs>
          <w:tab w:leader="none" w:pos="240" w:val="left"/>
        </w:tabs>
        <w:numPr>
          <w:ilvl w:val="0"/>
          <w:numId w:val="33"/>
        </w:numPr>
        <w:rPr>
          <w:rFonts w:ascii="Arial" w:cs="Arial" w:eastAsia="Arial" w:hAnsi="Arial"/>
          <w:sz w:val="14"/>
          <w:szCs w:val="14"/>
          <w:color w:val="255993"/>
        </w:rPr>
      </w:pPr>
      <w:r>
        <w:rPr>
          <w:rFonts w:ascii="Arial" w:cs="Arial" w:eastAsia="Arial" w:hAnsi="Arial"/>
          <w:sz w:val="14"/>
          <w:szCs w:val="14"/>
          <w:color w:val="255993"/>
        </w:rPr>
        <w:t>Consists of 5,000 shares held by Mr. Johnson and options to purchase 55,484 shares that are exercisable within 60 days of February 29, 2024.</w:t>
      </w:r>
    </w:p>
    <w:p>
      <w:pPr>
        <w:spacing w:after="0" w:line="95" w:lineRule="exact"/>
        <w:rPr>
          <w:rFonts w:ascii="Arial" w:cs="Arial" w:eastAsia="Arial" w:hAnsi="Arial"/>
          <w:sz w:val="14"/>
          <w:szCs w:val="14"/>
          <w:color w:val="255993"/>
        </w:rPr>
      </w:pPr>
    </w:p>
    <w:p>
      <w:pPr>
        <w:ind w:left="260" w:hanging="254"/>
        <w:spacing w:after="0"/>
        <w:tabs>
          <w:tab w:leader="none" w:pos="260" w:val="left"/>
        </w:tabs>
        <w:numPr>
          <w:ilvl w:val="0"/>
          <w:numId w:val="33"/>
        </w:numPr>
        <w:rPr>
          <w:rFonts w:ascii="Arial" w:cs="Arial" w:eastAsia="Arial" w:hAnsi="Arial"/>
          <w:sz w:val="14"/>
          <w:szCs w:val="14"/>
          <w:color w:val="255993"/>
        </w:rPr>
      </w:pPr>
      <w:r>
        <w:rPr>
          <w:rFonts w:ascii="Arial" w:cs="Arial" w:eastAsia="Arial" w:hAnsi="Arial"/>
          <w:sz w:val="14"/>
          <w:szCs w:val="14"/>
          <w:color w:val="255993"/>
        </w:rPr>
        <w:t>Consists of options held by Ms. Kosacz to purchase 41,613 shares that are exercisable within 60 days of February 29, 2024.</w:t>
      </w:r>
    </w:p>
    <w:p>
      <w:pPr>
        <w:spacing w:after="0" w:line="96" w:lineRule="exact"/>
        <w:rPr>
          <w:sz w:val="20"/>
          <w:szCs w:val="20"/>
          <w:color w:val="auto"/>
        </w:rPr>
      </w:pPr>
    </w:p>
    <w:p>
      <w:pPr>
        <w:ind w:left="260" w:right="320" w:hanging="254"/>
        <w:spacing w:after="0" w:line="285" w:lineRule="auto"/>
        <w:tabs>
          <w:tab w:leader="none" w:pos="260" w:val="left"/>
        </w:tabs>
        <w:numPr>
          <w:ilvl w:val="0"/>
          <w:numId w:val="34"/>
        </w:numPr>
        <w:rPr>
          <w:rFonts w:ascii="Arial" w:cs="Arial" w:eastAsia="Arial" w:hAnsi="Arial"/>
          <w:sz w:val="14"/>
          <w:szCs w:val="14"/>
          <w:color w:val="255993"/>
        </w:rPr>
      </w:pPr>
      <w:r>
        <w:rPr>
          <w:rFonts w:ascii="Arial" w:cs="Arial" w:eastAsia="Arial" w:hAnsi="Arial"/>
          <w:sz w:val="14"/>
          <w:szCs w:val="14"/>
          <w:color w:val="255993"/>
        </w:rPr>
        <w:t>Consists of 38,315 shares held by Ms. Romano and options to purchase 41,613 shares that are exercisable within 60 days of February 29, 2024.</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255993"/>
        </w:rPr>
        <w:t>(12) Consists of 25,783 shares held by Mr. Pickering and options to purchase 24,274 shares that are exercisable within 60 days of February 29,</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4"/>
          <w:szCs w:val="14"/>
          <w:color w:val="255993"/>
        </w:rPr>
        <w:t>2024.</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255993"/>
        </w:rPr>
        <w:t>(13) Consists of options held by Dr. Panzara to purchase 21,576 shares that are exercisable within 60 days of February 29, 2024.</w:t>
      </w:r>
    </w:p>
    <w:p>
      <w:pPr>
        <w:spacing w:after="0" w:line="96" w:lineRule="exact"/>
        <w:rPr>
          <w:sz w:val="20"/>
          <w:szCs w:val="20"/>
          <w:color w:val="auto"/>
        </w:rPr>
      </w:pPr>
    </w:p>
    <w:p>
      <w:pPr>
        <w:ind w:left="260" w:right="40" w:hanging="255"/>
        <w:spacing w:after="0" w:line="285" w:lineRule="auto"/>
        <w:rPr>
          <w:sz w:val="20"/>
          <w:szCs w:val="20"/>
          <w:color w:val="auto"/>
        </w:rPr>
      </w:pPr>
      <w:r>
        <w:rPr>
          <w:rFonts w:ascii="Arial" w:cs="Arial" w:eastAsia="Arial" w:hAnsi="Arial"/>
          <w:sz w:val="14"/>
          <w:szCs w:val="14"/>
          <w:color w:val="255993"/>
        </w:rPr>
        <w:t>(14) Consists of 5,996,670 shares held by our current directors and executive officers as a group and options to purchase 1,634,510 shares that are exercisable within 60 days of February 29, 2024.</w:t>
      </w:r>
    </w:p>
    <w:p>
      <w:pPr>
        <w:spacing w:after="0" w:line="158"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44</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84" w:lineRule="exact"/>
        <w:rPr>
          <w:sz w:val="20"/>
          <w:szCs w:val="20"/>
          <w:color w:val="auto"/>
        </w:rPr>
      </w:pPr>
    </w:p>
    <w:p>
      <w:pPr>
        <w:ind w:right="600"/>
        <w:spacing w:after="0" w:line="238" w:lineRule="auto"/>
        <w:rPr>
          <w:sz w:val="20"/>
          <w:szCs w:val="20"/>
          <w:color w:val="auto"/>
        </w:rPr>
      </w:pPr>
      <w:r>
        <w:rPr>
          <w:rFonts w:ascii="Arial" w:cs="Arial" w:eastAsia="Arial" w:hAnsi="Arial"/>
          <w:sz w:val="57"/>
          <w:szCs w:val="57"/>
          <w:color w:val="255993"/>
        </w:rPr>
        <w:t>Securities Authorized for Issuance Under Equity Compensation Plans</w:t>
      </w:r>
    </w:p>
    <w:p>
      <w:pPr>
        <w:spacing w:after="0" w:line="19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following table summarizes information about our equity compensation plans as of December 31, 2023. All outstanding awards relate to our common stock.</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337"/>
        </w:trPr>
        <w:tc>
          <w:tcPr>
            <w:tcW w:w="5740" w:type="dxa"/>
            <w:vAlign w:val="bottom"/>
            <w:shd w:val="clear" w:color="auto" w:fill="255993"/>
          </w:tcPr>
          <w:p>
            <w:pPr>
              <w:spacing w:after="0"/>
              <w:rPr>
                <w:sz w:val="24"/>
                <w:szCs w:val="24"/>
                <w:color w:val="auto"/>
              </w:rPr>
            </w:pPr>
          </w:p>
        </w:tc>
        <w:tc>
          <w:tcPr>
            <w:tcW w:w="1020" w:type="dxa"/>
            <w:vAlign w:val="bottom"/>
            <w:shd w:val="clear" w:color="auto" w:fill="255993"/>
          </w:tcPr>
          <w:p>
            <w:pPr>
              <w:spacing w:after="0"/>
              <w:rPr>
                <w:sz w:val="24"/>
                <w:szCs w:val="24"/>
                <w:color w:val="auto"/>
              </w:rPr>
            </w:pPr>
          </w:p>
        </w:tc>
        <w:tc>
          <w:tcPr>
            <w:tcW w:w="1340" w:type="dxa"/>
            <w:vAlign w:val="bottom"/>
            <w:shd w:val="clear" w:color="auto" w:fill="255993"/>
          </w:tcPr>
          <w:p>
            <w:pPr>
              <w:spacing w:after="0"/>
              <w:rPr>
                <w:sz w:val="24"/>
                <w:szCs w:val="24"/>
                <w:color w:val="auto"/>
              </w:rPr>
            </w:pPr>
          </w:p>
        </w:tc>
        <w:tc>
          <w:tcPr>
            <w:tcW w:w="130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(c) Number of</w:t>
            </w:r>
          </w:p>
        </w:tc>
      </w:tr>
      <w:tr>
        <w:trPr>
          <w:trHeight w:val="189"/>
        </w:trPr>
        <w:tc>
          <w:tcPr>
            <w:tcW w:w="5740" w:type="dxa"/>
            <w:vAlign w:val="bottom"/>
            <w:shd w:val="clear" w:color="auto" w:fill="255993"/>
          </w:tcPr>
          <w:p>
            <w:pPr>
              <w:spacing w:after="0"/>
              <w:rPr>
                <w:sz w:val="16"/>
                <w:szCs w:val="16"/>
                <w:color w:val="auto"/>
              </w:rPr>
            </w:pPr>
          </w:p>
        </w:tc>
        <w:tc>
          <w:tcPr>
            <w:tcW w:w="1020" w:type="dxa"/>
            <w:vAlign w:val="bottom"/>
            <w:shd w:val="clear" w:color="auto" w:fill="255993"/>
          </w:tcPr>
          <w:p>
            <w:pPr>
              <w:spacing w:after="0"/>
              <w:rPr>
                <w:sz w:val="16"/>
                <w:szCs w:val="16"/>
                <w:color w:val="auto"/>
              </w:rPr>
            </w:pPr>
          </w:p>
        </w:tc>
        <w:tc>
          <w:tcPr>
            <w:tcW w:w="1340" w:type="dxa"/>
            <w:vAlign w:val="bottom"/>
            <w:shd w:val="clear" w:color="auto" w:fill="255993"/>
          </w:tcPr>
          <w:p>
            <w:pPr>
              <w:spacing w:after="0"/>
              <w:rPr>
                <w:sz w:val="16"/>
                <w:szCs w:val="16"/>
                <w:color w:val="auto"/>
              </w:rPr>
            </w:pPr>
          </w:p>
        </w:tc>
        <w:tc>
          <w:tcPr>
            <w:tcW w:w="130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Securities</w:t>
            </w:r>
          </w:p>
        </w:tc>
      </w:tr>
      <w:tr>
        <w:trPr>
          <w:trHeight w:val="189"/>
        </w:trPr>
        <w:tc>
          <w:tcPr>
            <w:tcW w:w="5740" w:type="dxa"/>
            <w:vAlign w:val="bottom"/>
            <w:shd w:val="clear" w:color="auto" w:fill="255993"/>
          </w:tcPr>
          <w:p>
            <w:pPr>
              <w:spacing w:after="0"/>
              <w:rPr>
                <w:sz w:val="16"/>
                <w:szCs w:val="16"/>
                <w:color w:val="auto"/>
              </w:rPr>
            </w:pPr>
          </w:p>
        </w:tc>
        <w:tc>
          <w:tcPr>
            <w:tcW w:w="1020" w:type="dxa"/>
            <w:vAlign w:val="bottom"/>
            <w:shd w:val="clear" w:color="auto" w:fill="255993"/>
          </w:tcPr>
          <w:p>
            <w:pPr>
              <w:spacing w:after="0"/>
              <w:rPr>
                <w:sz w:val="16"/>
                <w:szCs w:val="16"/>
                <w:color w:val="auto"/>
              </w:rPr>
            </w:pPr>
          </w:p>
        </w:tc>
        <w:tc>
          <w:tcPr>
            <w:tcW w:w="1340" w:type="dxa"/>
            <w:vAlign w:val="bottom"/>
            <w:shd w:val="clear" w:color="auto" w:fill="255993"/>
          </w:tcPr>
          <w:p>
            <w:pPr>
              <w:spacing w:after="0"/>
              <w:rPr>
                <w:sz w:val="16"/>
                <w:szCs w:val="16"/>
                <w:color w:val="auto"/>
              </w:rPr>
            </w:pPr>
          </w:p>
        </w:tc>
        <w:tc>
          <w:tcPr>
            <w:tcW w:w="130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Remaining</w:t>
            </w:r>
          </w:p>
        </w:tc>
      </w:tr>
      <w:tr>
        <w:trPr>
          <w:trHeight w:val="189"/>
        </w:trPr>
        <w:tc>
          <w:tcPr>
            <w:tcW w:w="5740" w:type="dxa"/>
            <w:vAlign w:val="bottom"/>
            <w:shd w:val="clear" w:color="auto" w:fill="255993"/>
          </w:tcPr>
          <w:p>
            <w:pPr>
              <w:spacing w:after="0"/>
              <w:rPr>
                <w:sz w:val="16"/>
                <w:szCs w:val="16"/>
                <w:color w:val="auto"/>
              </w:rPr>
            </w:pPr>
          </w:p>
        </w:tc>
        <w:tc>
          <w:tcPr>
            <w:tcW w:w="1020" w:type="dxa"/>
            <w:vAlign w:val="bottom"/>
            <w:shd w:val="clear" w:color="auto" w:fill="255993"/>
          </w:tcPr>
          <w:p>
            <w:pPr>
              <w:spacing w:after="0"/>
              <w:rPr>
                <w:sz w:val="16"/>
                <w:szCs w:val="16"/>
                <w:color w:val="auto"/>
              </w:rPr>
            </w:pPr>
          </w:p>
        </w:tc>
        <w:tc>
          <w:tcPr>
            <w:tcW w:w="1340" w:type="dxa"/>
            <w:vAlign w:val="bottom"/>
            <w:shd w:val="clear" w:color="auto" w:fill="255993"/>
          </w:tcPr>
          <w:p>
            <w:pPr>
              <w:spacing w:after="0"/>
              <w:rPr>
                <w:sz w:val="16"/>
                <w:szCs w:val="16"/>
                <w:color w:val="auto"/>
              </w:rPr>
            </w:pPr>
          </w:p>
        </w:tc>
        <w:tc>
          <w:tcPr>
            <w:tcW w:w="130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Available for</w:t>
            </w:r>
          </w:p>
        </w:tc>
      </w:tr>
      <w:tr>
        <w:trPr>
          <w:trHeight w:val="203"/>
        </w:trPr>
        <w:tc>
          <w:tcPr>
            <w:tcW w:w="5740" w:type="dxa"/>
            <w:vAlign w:val="bottom"/>
            <w:shd w:val="clear" w:color="auto" w:fill="255993"/>
          </w:tcPr>
          <w:p>
            <w:pPr>
              <w:spacing w:after="0"/>
              <w:rPr>
                <w:sz w:val="17"/>
                <w:szCs w:val="17"/>
                <w:color w:val="auto"/>
              </w:rPr>
            </w:pPr>
          </w:p>
        </w:tc>
        <w:tc>
          <w:tcPr>
            <w:tcW w:w="1020" w:type="dxa"/>
            <w:vAlign w:val="bottom"/>
            <w:shd w:val="clear" w:color="auto" w:fill="255993"/>
          </w:tcPr>
          <w:p>
            <w:pPr>
              <w:spacing w:after="0"/>
              <w:rPr>
                <w:sz w:val="17"/>
                <w:szCs w:val="17"/>
                <w:color w:val="auto"/>
              </w:rPr>
            </w:pPr>
          </w:p>
        </w:tc>
        <w:tc>
          <w:tcPr>
            <w:tcW w:w="1340" w:type="dxa"/>
            <w:vAlign w:val="bottom"/>
            <w:shd w:val="clear" w:color="auto" w:fill="255993"/>
          </w:tcPr>
          <w:p>
            <w:pPr>
              <w:jc w:val="right"/>
              <w:ind w:right="121"/>
              <w:spacing w:after="0"/>
              <w:rPr>
                <w:sz w:val="20"/>
                <w:szCs w:val="20"/>
                <w:color w:val="auto"/>
              </w:rPr>
            </w:pPr>
            <w:r>
              <w:rPr>
                <w:rFonts w:ascii="Arial" w:cs="Arial" w:eastAsia="Arial" w:hAnsi="Arial"/>
                <w:sz w:val="16"/>
                <w:szCs w:val="16"/>
                <w:b w:val="1"/>
                <w:bCs w:val="1"/>
                <w:color w:val="FFFFFF"/>
              </w:rPr>
              <w:t>(b)</w:t>
            </w:r>
          </w:p>
        </w:tc>
        <w:tc>
          <w:tcPr>
            <w:tcW w:w="130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Future</w:t>
            </w:r>
          </w:p>
        </w:tc>
      </w:tr>
      <w:tr>
        <w:trPr>
          <w:trHeight w:val="189"/>
        </w:trPr>
        <w:tc>
          <w:tcPr>
            <w:tcW w:w="5740" w:type="dxa"/>
            <w:vAlign w:val="bottom"/>
            <w:shd w:val="clear" w:color="auto" w:fill="255993"/>
          </w:tcPr>
          <w:p>
            <w:pPr>
              <w:spacing w:after="0"/>
              <w:rPr>
                <w:sz w:val="16"/>
                <w:szCs w:val="16"/>
                <w:color w:val="auto"/>
              </w:rPr>
            </w:pPr>
          </w:p>
        </w:tc>
        <w:tc>
          <w:tcPr>
            <w:tcW w:w="1020" w:type="dxa"/>
            <w:vAlign w:val="bottom"/>
            <w:shd w:val="clear" w:color="auto" w:fill="255993"/>
          </w:tcPr>
          <w:p>
            <w:pPr>
              <w:spacing w:after="0"/>
              <w:rPr>
                <w:sz w:val="16"/>
                <w:szCs w:val="16"/>
                <w:color w:val="auto"/>
              </w:rPr>
            </w:pPr>
          </w:p>
        </w:tc>
        <w:tc>
          <w:tcPr>
            <w:tcW w:w="1340" w:type="dxa"/>
            <w:vAlign w:val="bottom"/>
            <w:shd w:val="clear" w:color="auto" w:fill="255993"/>
          </w:tcPr>
          <w:p>
            <w:pPr>
              <w:jc w:val="right"/>
              <w:ind w:right="121"/>
              <w:spacing w:after="0"/>
              <w:rPr>
                <w:sz w:val="20"/>
                <w:szCs w:val="20"/>
                <w:color w:val="auto"/>
              </w:rPr>
            </w:pPr>
            <w:r>
              <w:rPr>
                <w:rFonts w:ascii="Arial" w:cs="Arial" w:eastAsia="Arial" w:hAnsi="Arial"/>
                <w:sz w:val="16"/>
                <w:szCs w:val="16"/>
                <w:b w:val="1"/>
                <w:bCs w:val="1"/>
                <w:color w:val="FFFFFF"/>
              </w:rPr>
              <w:t>Weighted</w:t>
            </w:r>
          </w:p>
        </w:tc>
        <w:tc>
          <w:tcPr>
            <w:tcW w:w="130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Issuance</w:t>
            </w:r>
          </w:p>
        </w:tc>
      </w:tr>
      <w:tr>
        <w:trPr>
          <w:trHeight w:val="189"/>
        </w:trPr>
        <w:tc>
          <w:tcPr>
            <w:tcW w:w="5740" w:type="dxa"/>
            <w:vAlign w:val="bottom"/>
            <w:shd w:val="clear" w:color="auto" w:fill="255993"/>
          </w:tcPr>
          <w:p>
            <w:pPr>
              <w:ind w:left="5520"/>
              <w:spacing w:after="0"/>
              <w:rPr>
                <w:sz w:val="20"/>
                <w:szCs w:val="20"/>
                <w:color w:val="auto"/>
              </w:rPr>
            </w:pPr>
            <w:r>
              <w:rPr>
                <w:rFonts w:ascii="Arial" w:cs="Arial" w:eastAsia="Arial" w:hAnsi="Arial"/>
                <w:sz w:val="16"/>
                <w:szCs w:val="16"/>
                <w:b w:val="1"/>
                <w:bCs w:val="1"/>
                <w:color w:val="FFFFFF"/>
              </w:rPr>
              <w:t>(a)​</w:t>
            </w:r>
          </w:p>
        </w:tc>
        <w:tc>
          <w:tcPr>
            <w:tcW w:w="1020" w:type="dxa"/>
            <w:vAlign w:val="bottom"/>
            <w:shd w:val="clear" w:color="auto" w:fill="255993"/>
          </w:tcPr>
          <w:p>
            <w:pPr>
              <w:jc w:val="right"/>
              <w:ind w:right="105"/>
              <w:spacing w:after="0"/>
              <w:rPr>
                <w:sz w:val="20"/>
                <w:szCs w:val="20"/>
                <w:color w:val="auto"/>
              </w:rPr>
            </w:pPr>
            <w:r>
              <w:rPr>
                <w:rFonts w:ascii="Arial" w:cs="Arial" w:eastAsia="Arial" w:hAnsi="Arial"/>
                <w:sz w:val="16"/>
                <w:szCs w:val="16"/>
                <w:b w:val="1"/>
                <w:bCs w:val="1"/>
                <w:color w:val="FFFFFF"/>
              </w:rPr>
              <w:t>Number of</w:t>
            </w:r>
          </w:p>
        </w:tc>
        <w:tc>
          <w:tcPr>
            <w:tcW w:w="1340" w:type="dxa"/>
            <w:vAlign w:val="bottom"/>
            <w:shd w:val="clear" w:color="auto" w:fill="255993"/>
          </w:tcPr>
          <w:p>
            <w:pPr>
              <w:jc w:val="right"/>
              <w:ind w:right="121"/>
              <w:spacing w:after="0"/>
              <w:rPr>
                <w:sz w:val="20"/>
                <w:szCs w:val="20"/>
                <w:color w:val="auto"/>
              </w:rPr>
            </w:pPr>
            <w:r>
              <w:rPr>
                <w:rFonts w:ascii="Arial" w:cs="Arial" w:eastAsia="Arial" w:hAnsi="Arial"/>
                <w:sz w:val="16"/>
                <w:szCs w:val="16"/>
                <w:b w:val="1"/>
                <w:bCs w:val="1"/>
                <w:color w:val="FFFFFF"/>
              </w:rPr>
              <w:t>Average</w:t>
            </w:r>
          </w:p>
        </w:tc>
        <w:tc>
          <w:tcPr>
            <w:tcW w:w="130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Under Equity</w:t>
            </w:r>
          </w:p>
        </w:tc>
      </w:tr>
      <w:tr>
        <w:trPr>
          <w:trHeight w:val="189"/>
        </w:trPr>
        <w:tc>
          <w:tcPr>
            <w:tcW w:w="6760" w:type="dxa"/>
            <w:vAlign w:val="bottom"/>
            <w:gridSpan w:val="2"/>
            <w:shd w:val="clear" w:color="auto" w:fill="255993"/>
          </w:tcPr>
          <w:p>
            <w:pPr>
              <w:jc w:val="right"/>
              <w:ind w:right="105"/>
              <w:spacing w:after="0"/>
              <w:rPr>
                <w:sz w:val="20"/>
                <w:szCs w:val="20"/>
                <w:color w:val="auto"/>
              </w:rPr>
            </w:pPr>
            <w:r>
              <w:rPr>
                <w:rFonts w:ascii="Arial" w:cs="Arial" w:eastAsia="Arial" w:hAnsi="Arial"/>
                <w:sz w:val="16"/>
                <w:szCs w:val="16"/>
                <w:b w:val="1"/>
                <w:bCs w:val="1"/>
                <w:color w:val="FFFFFF"/>
              </w:rPr>
              <w:t>Securities to be</w:t>
            </w:r>
          </w:p>
        </w:tc>
        <w:tc>
          <w:tcPr>
            <w:tcW w:w="1340" w:type="dxa"/>
            <w:vAlign w:val="bottom"/>
            <w:shd w:val="clear" w:color="auto" w:fill="255993"/>
          </w:tcPr>
          <w:p>
            <w:pPr>
              <w:jc w:val="right"/>
              <w:ind w:right="121"/>
              <w:spacing w:after="0"/>
              <w:rPr>
                <w:sz w:val="20"/>
                <w:szCs w:val="20"/>
                <w:color w:val="auto"/>
              </w:rPr>
            </w:pPr>
            <w:r>
              <w:rPr>
                <w:rFonts w:ascii="Arial" w:cs="Arial" w:eastAsia="Arial" w:hAnsi="Arial"/>
                <w:sz w:val="16"/>
                <w:szCs w:val="16"/>
                <w:b w:val="1"/>
                <w:bCs w:val="1"/>
                <w:color w:val="FFFFFF"/>
              </w:rPr>
              <w:t>Exercise</w:t>
            </w:r>
          </w:p>
        </w:tc>
        <w:tc>
          <w:tcPr>
            <w:tcW w:w="130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Compensation</w:t>
            </w:r>
          </w:p>
        </w:tc>
      </w:tr>
      <w:tr>
        <w:trPr>
          <w:trHeight w:val="189"/>
        </w:trPr>
        <w:tc>
          <w:tcPr>
            <w:tcW w:w="6760" w:type="dxa"/>
            <w:vAlign w:val="bottom"/>
            <w:gridSpan w:val="2"/>
            <w:shd w:val="clear" w:color="auto" w:fill="255993"/>
          </w:tcPr>
          <w:p>
            <w:pPr>
              <w:jc w:val="right"/>
              <w:ind w:right="105"/>
              <w:spacing w:after="0"/>
              <w:rPr>
                <w:sz w:val="20"/>
                <w:szCs w:val="20"/>
                <w:color w:val="auto"/>
              </w:rPr>
            </w:pPr>
            <w:r>
              <w:rPr>
                <w:rFonts w:ascii="Arial" w:cs="Arial" w:eastAsia="Arial" w:hAnsi="Arial"/>
                <w:sz w:val="16"/>
                <w:szCs w:val="16"/>
                <w:b w:val="1"/>
                <w:bCs w:val="1"/>
                <w:color w:val="FFFFFF"/>
              </w:rPr>
              <w:t>Issued Upon</w:t>
            </w:r>
          </w:p>
        </w:tc>
        <w:tc>
          <w:tcPr>
            <w:tcW w:w="1340" w:type="dxa"/>
            <w:vAlign w:val="bottom"/>
            <w:shd w:val="clear" w:color="auto" w:fill="255993"/>
          </w:tcPr>
          <w:p>
            <w:pPr>
              <w:jc w:val="right"/>
              <w:ind w:right="121"/>
              <w:spacing w:after="0"/>
              <w:rPr>
                <w:sz w:val="20"/>
                <w:szCs w:val="20"/>
                <w:color w:val="auto"/>
              </w:rPr>
            </w:pPr>
            <w:r>
              <w:rPr>
                <w:rFonts w:ascii="Arial" w:cs="Arial" w:eastAsia="Arial" w:hAnsi="Arial"/>
                <w:sz w:val="16"/>
                <w:szCs w:val="16"/>
                <w:b w:val="1"/>
                <w:bCs w:val="1"/>
                <w:color w:val="FFFFFF"/>
              </w:rPr>
              <w:t>Price of</w:t>
            </w:r>
          </w:p>
        </w:tc>
        <w:tc>
          <w:tcPr>
            <w:tcW w:w="130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Plans</w:t>
            </w:r>
          </w:p>
        </w:tc>
      </w:tr>
      <w:tr>
        <w:trPr>
          <w:trHeight w:val="189"/>
        </w:trPr>
        <w:tc>
          <w:tcPr>
            <w:tcW w:w="6760" w:type="dxa"/>
            <w:vAlign w:val="bottom"/>
            <w:gridSpan w:val="2"/>
            <w:shd w:val="clear" w:color="auto" w:fill="255993"/>
          </w:tcPr>
          <w:p>
            <w:pPr>
              <w:jc w:val="right"/>
              <w:ind w:right="105"/>
              <w:spacing w:after="0"/>
              <w:rPr>
                <w:sz w:val="20"/>
                <w:szCs w:val="20"/>
                <w:color w:val="auto"/>
              </w:rPr>
            </w:pPr>
            <w:r>
              <w:rPr>
                <w:rFonts w:ascii="Arial" w:cs="Arial" w:eastAsia="Arial" w:hAnsi="Arial"/>
                <w:sz w:val="16"/>
                <w:szCs w:val="16"/>
                <w:b w:val="1"/>
                <w:bCs w:val="1"/>
                <w:color w:val="FFFFFF"/>
              </w:rPr>
              <w:t>Exercise of</w:t>
            </w:r>
          </w:p>
        </w:tc>
        <w:tc>
          <w:tcPr>
            <w:tcW w:w="1340" w:type="dxa"/>
            <w:vAlign w:val="bottom"/>
            <w:shd w:val="clear" w:color="auto" w:fill="255993"/>
          </w:tcPr>
          <w:p>
            <w:pPr>
              <w:jc w:val="right"/>
              <w:ind w:right="121"/>
              <w:spacing w:after="0"/>
              <w:rPr>
                <w:sz w:val="20"/>
                <w:szCs w:val="20"/>
                <w:color w:val="auto"/>
              </w:rPr>
            </w:pPr>
            <w:r>
              <w:rPr>
                <w:rFonts w:ascii="Arial" w:cs="Arial" w:eastAsia="Arial" w:hAnsi="Arial"/>
                <w:sz w:val="16"/>
                <w:szCs w:val="16"/>
                <w:b w:val="1"/>
                <w:bCs w:val="1"/>
                <w:color w:val="FFFFFF"/>
              </w:rPr>
              <w:t>Outstanding</w:t>
            </w:r>
          </w:p>
        </w:tc>
        <w:tc>
          <w:tcPr>
            <w:tcW w:w="130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(Excluding</w:t>
            </w:r>
          </w:p>
        </w:tc>
      </w:tr>
      <w:tr>
        <w:trPr>
          <w:trHeight w:val="189"/>
        </w:trPr>
        <w:tc>
          <w:tcPr>
            <w:tcW w:w="6760" w:type="dxa"/>
            <w:vAlign w:val="bottom"/>
            <w:gridSpan w:val="2"/>
            <w:shd w:val="clear" w:color="auto" w:fill="255993"/>
          </w:tcPr>
          <w:p>
            <w:pPr>
              <w:jc w:val="right"/>
              <w:ind w:right="105"/>
              <w:spacing w:after="0"/>
              <w:rPr>
                <w:sz w:val="20"/>
                <w:szCs w:val="20"/>
                <w:color w:val="auto"/>
              </w:rPr>
            </w:pPr>
            <w:r>
              <w:rPr>
                <w:rFonts w:ascii="Arial" w:cs="Arial" w:eastAsia="Arial" w:hAnsi="Arial"/>
                <w:sz w:val="16"/>
                <w:szCs w:val="16"/>
                <w:b w:val="1"/>
                <w:bCs w:val="1"/>
                <w:color w:val="FFFFFF"/>
              </w:rPr>
              <w:t>Outstanding</w:t>
            </w:r>
          </w:p>
        </w:tc>
        <w:tc>
          <w:tcPr>
            <w:tcW w:w="1340" w:type="dxa"/>
            <w:vAlign w:val="bottom"/>
            <w:shd w:val="clear" w:color="auto" w:fill="255993"/>
          </w:tcPr>
          <w:p>
            <w:pPr>
              <w:jc w:val="right"/>
              <w:ind w:right="121"/>
              <w:spacing w:after="0"/>
              <w:rPr>
                <w:sz w:val="20"/>
                <w:szCs w:val="20"/>
                <w:color w:val="auto"/>
              </w:rPr>
            </w:pPr>
            <w:r>
              <w:rPr>
                <w:rFonts w:ascii="Arial" w:cs="Arial" w:eastAsia="Arial" w:hAnsi="Arial"/>
                <w:sz w:val="16"/>
                <w:szCs w:val="16"/>
                <w:b w:val="1"/>
                <w:bCs w:val="1"/>
                <w:color w:val="FFFFFF"/>
              </w:rPr>
              <w:t>Options,</w:t>
            </w:r>
          </w:p>
        </w:tc>
        <w:tc>
          <w:tcPr>
            <w:tcW w:w="130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Securities</w:t>
            </w:r>
          </w:p>
        </w:tc>
      </w:tr>
      <w:tr>
        <w:trPr>
          <w:trHeight w:val="189"/>
        </w:trPr>
        <w:tc>
          <w:tcPr>
            <w:tcW w:w="6760" w:type="dxa"/>
            <w:vAlign w:val="bottom"/>
            <w:gridSpan w:val="2"/>
            <w:shd w:val="clear" w:color="auto" w:fill="255993"/>
          </w:tcPr>
          <w:p>
            <w:pPr>
              <w:jc w:val="right"/>
              <w:ind w:right="105"/>
              <w:spacing w:after="0"/>
              <w:rPr>
                <w:sz w:val="20"/>
                <w:szCs w:val="20"/>
                <w:color w:val="auto"/>
              </w:rPr>
            </w:pPr>
            <w:r>
              <w:rPr>
                <w:rFonts w:ascii="Arial" w:cs="Arial" w:eastAsia="Arial" w:hAnsi="Arial"/>
                <w:sz w:val="16"/>
                <w:szCs w:val="16"/>
                <w:b w:val="1"/>
                <w:bCs w:val="1"/>
                <w:color w:val="FFFFFF"/>
              </w:rPr>
              <w:t>Options, Warrants</w:t>
            </w:r>
          </w:p>
        </w:tc>
        <w:tc>
          <w:tcPr>
            <w:tcW w:w="1340" w:type="dxa"/>
            <w:vAlign w:val="bottom"/>
            <w:shd w:val="clear" w:color="auto" w:fill="255993"/>
          </w:tcPr>
          <w:p>
            <w:pPr>
              <w:jc w:val="right"/>
              <w:ind w:right="121"/>
              <w:spacing w:after="0"/>
              <w:rPr>
                <w:sz w:val="20"/>
                <w:szCs w:val="20"/>
                <w:color w:val="auto"/>
              </w:rPr>
            </w:pPr>
            <w:r>
              <w:rPr>
                <w:rFonts w:ascii="Arial" w:cs="Arial" w:eastAsia="Arial" w:hAnsi="Arial"/>
                <w:sz w:val="16"/>
                <w:szCs w:val="16"/>
                <w:b w:val="1"/>
                <w:bCs w:val="1"/>
                <w:color w:val="FFFFFF"/>
              </w:rPr>
              <w:t>Warrants</w:t>
            </w:r>
          </w:p>
        </w:tc>
        <w:tc>
          <w:tcPr>
            <w:tcW w:w="130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Reflected in</w:t>
            </w:r>
          </w:p>
        </w:tc>
      </w:tr>
      <w:tr>
        <w:trPr>
          <w:trHeight w:val="311"/>
        </w:trPr>
        <w:tc>
          <w:tcPr>
            <w:tcW w:w="5740" w:type="dxa"/>
            <w:vAlign w:val="bottom"/>
            <w:shd w:val="clear" w:color="auto" w:fill="255993"/>
          </w:tcPr>
          <w:p>
            <w:pPr>
              <w:ind w:left="60"/>
              <w:spacing w:after="0"/>
              <w:rPr>
                <w:sz w:val="20"/>
                <w:szCs w:val="20"/>
                <w:color w:val="auto"/>
              </w:rPr>
            </w:pPr>
            <w:r>
              <w:rPr>
                <w:rFonts w:ascii="Arial" w:cs="Arial" w:eastAsia="Arial" w:hAnsi="Arial"/>
                <w:sz w:val="16"/>
                <w:szCs w:val="16"/>
                <w:b w:val="1"/>
                <w:bCs w:val="1"/>
                <w:color w:val="FFFFFF"/>
              </w:rPr>
              <w:t>Plan Category</w:t>
            </w:r>
          </w:p>
        </w:tc>
        <w:tc>
          <w:tcPr>
            <w:tcW w:w="1020" w:type="dxa"/>
            <w:vAlign w:val="bottom"/>
            <w:shd w:val="clear" w:color="auto" w:fill="255993"/>
          </w:tcPr>
          <w:p>
            <w:pPr>
              <w:jc w:val="right"/>
              <w:ind w:right="105"/>
              <w:spacing w:after="0"/>
              <w:rPr>
                <w:sz w:val="20"/>
                <w:szCs w:val="20"/>
                <w:color w:val="auto"/>
              </w:rPr>
            </w:pPr>
            <w:r>
              <w:rPr>
                <w:rFonts w:ascii="Arial" w:cs="Arial" w:eastAsia="Arial" w:hAnsi="Arial"/>
                <w:sz w:val="16"/>
                <w:szCs w:val="16"/>
                <w:b w:val="1"/>
                <w:bCs w:val="1"/>
                <w:color w:val="FFFFFF"/>
                <w:w w:val="99"/>
              </w:rPr>
              <w:t>and Rights</w:t>
            </w:r>
          </w:p>
        </w:tc>
        <w:tc>
          <w:tcPr>
            <w:tcW w:w="1340" w:type="dxa"/>
            <w:vAlign w:val="bottom"/>
            <w:shd w:val="clear" w:color="auto" w:fill="255993"/>
          </w:tcPr>
          <w:p>
            <w:pPr>
              <w:jc w:val="right"/>
              <w:ind w:right="121"/>
              <w:spacing w:after="0"/>
              <w:rPr>
                <w:sz w:val="20"/>
                <w:szCs w:val="20"/>
                <w:color w:val="auto"/>
              </w:rPr>
            </w:pPr>
            <w:r>
              <w:rPr>
                <w:rFonts w:ascii="Arial" w:cs="Arial" w:eastAsia="Arial" w:hAnsi="Arial"/>
                <w:sz w:val="16"/>
                <w:szCs w:val="16"/>
                <w:b w:val="1"/>
                <w:bCs w:val="1"/>
                <w:color w:val="FFFFFF"/>
              </w:rPr>
              <w:t>and Rights</w:t>
            </w:r>
          </w:p>
        </w:tc>
        <w:tc>
          <w:tcPr>
            <w:tcW w:w="1300" w:type="dxa"/>
            <w:vAlign w:val="bottom"/>
            <w:shd w:val="clear" w:color="auto" w:fill="255993"/>
          </w:tcPr>
          <w:p>
            <w:pPr>
              <w:jc w:val="right"/>
              <w:spacing w:after="0"/>
              <w:rPr>
                <w:sz w:val="20"/>
                <w:szCs w:val="20"/>
                <w:color w:val="auto"/>
              </w:rPr>
            </w:pPr>
            <w:r>
              <w:rPr>
                <w:rFonts w:ascii="Arial" w:cs="Arial" w:eastAsia="Arial" w:hAnsi="Arial"/>
                <w:sz w:val="16"/>
                <w:szCs w:val="16"/>
                <w:b w:val="1"/>
                <w:bCs w:val="1"/>
                <w:color w:val="FFFFFF"/>
              </w:rPr>
              <w:t>Column (a))</w:t>
            </w:r>
            <w:r>
              <w:rPr>
                <w:rFonts w:ascii="Arial" w:cs="Arial" w:eastAsia="Arial" w:hAnsi="Arial"/>
                <w:sz w:val="26"/>
                <w:szCs w:val="26"/>
                <w:b w:val="1"/>
                <w:bCs w:val="1"/>
                <w:color w:val="FFFFFF"/>
                <w:vertAlign w:val="superscript"/>
              </w:rPr>
              <w:t>(3)</w:t>
            </w:r>
          </w:p>
        </w:tc>
      </w:tr>
      <w:tr>
        <w:trPr>
          <w:trHeight w:val="275"/>
        </w:trPr>
        <w:tc>
          <w:tcPr>
            <w:tcW w:w="5740" w:type="dxa"/>
            <w:vAlign w:val="bottom"/>
            <w:shd w:val="clear" w:color="auto" w:fill="EBEBEB"/>
          </w:tcPr>
          <w:p>
            <w:pPr>
              <w:ind w:left="60"/>
              <w:spacing w:after="0"/>
              <w:rPr>
                <w:sz w:val="20"/>
                <w:szCs w:val="20"/>
                <w:color w:val="auto"/>
              </w:rPr>
            </w:pPr>
            <w:r>
              <w:rPr>
                <w:rFonts w:ascii="Arial" w:cs="Arial" w:eastAsia="Arial" w:hAnsi="Arial"/>
                <w:sz w:val="14"/>
                <w:szCs w:val="14"/>
                <w:color w:val="auto"/>
              </w:rPr>
              <w:t>Equity compensation plans approved by security holders:</w:t>
            </w:r>
          </w:p>
        </w:tc>
        <w:tc>
          <w:tcPr>
            <w:tcW w:w="1020" w:type="dxa"/>
            <w:vAlign w:val="bottom"/>
            <w:shd w:val="clear" w:color="auto" w:fill="EBEBEB"/>
          </w:tcPr>
          <w:p>
            <w:pPr>
              <w:spacing w:after="0"/>
              <w:rPr>
                <w:sz w:val="23"/>
                <w:szCs w:val="23"/>
                <w:color w:val="auto"/>
              </w:rPr>
            </w:pPr>
          </w:p>
        </w:tc>
        <w:tc>
          <w:tcPr>
            <w:tcW w:w="1340" w:type="dxa"/>
            <w:vAlign w:val="bottom"/>
            <w:shd w:val="clear" w:color="auto" w:fill="EBEBEB"/>
          </w:tcPr>
          <w:p>
            <w:pPr>
              <w:spacing w:after="0"/>
              <w:rPr>
                <w:sz w:val="23"/>
                <w:szCs w:val="23"/>
                <w:color w:val="auto"/>
              </w:rPr>
            </w:pPr>
          </w:p>
        </w:tc>
        <w:tc>
          <w:tcPr>
            <w:tcW w:w="1300" w:type="dxa"/>
            <w:vAlign w:val="bottom"/>
            <w:shd w:val="clear" w:color="auto" w:fill="EBEBEB"/>
          </w:tcPr>
          <w:p>
            <w:pPr>
              <w:spacing w:after="0"/>
              <w:rPr>
                <w:sz w:val="23"/>
                <w:szCs w:val="23"/>
                <w:color w:val="auto"/>
              </w:rPr>
            </w:pPr>
          </w:p>
        </w:tc>
      </w:tr>
      <w:tr>
        <w:trPr>
          <w:trHeight w:val="62"/>
        </w:trPr>
        <w:tc>
          <w:tcPr>
            <w:tcW w:w="5740" w:type="dxa"/>
            <w:vAlign w:val="bottom"/>
            <w:shd w:val="clear" w:color="auto" w:fill="EBEBEB"/>
          </w:tcPr>
          <w:p>
            <w:pPr>
              <w:spacing w:after="0"/>
              <w:rPr>
                <w:sz w:val="5"/>
                <w:szCs w:val="5"/>
                <w:color w:val="auto"/>
              </w:rPr>
            </w:pPr>
          </w:p>
        </w:tc>
        <w:tc>
          <w:tcPr>
            <w:tcW w:w="1020" w:type="dxa"/>
            <w:vAlign w:val="bottom"/>
            <w:shd w:val="clear" w:color="auto" w:fill="EBEBEB"/>
          </w:tcPr>
          <w:p>
            <w:pPr>
              <w:spacing w:after="0"/>
              <w:rPr>
                <w:sz w:val="5"/>
                <w:szCs w:val="5"/>
                <w:color w:val="auto"/>
              </w:rPr>
            </w:pPr>
          </w:p>
        </w:tc>
        <w:tc>
          <w:tcPr>
            <w:tcW w:w="1340" w:type="dxa"/>
            <w:vAlign w:val="bottom"/>
            <w:shd w:val="clear" w:color="auto" w:fill="EBEBEB"/>
          </w:tcPr>
          <w:p>
            <w:pPr>
              <w:spacing w:after="0"/>
              <w:rPr>
                <w:sz w:val="5"/>
                <w:szCs w:val="5"/>
                <w:color w:val="auto"/>
              </w:rPr>
            </w:pPr>
          </w:p>
        </w:tc>
        <w:tc>
          <w:tcPr>
            <w:tcW w:w="1300" w:type="dxa"/>
            <w:vAlign w:val="bottom"/>
            <w:shd w:val="clear" w:color="auto" w:fill="EBEBEB"/>
          </w:tcPr>
          <w:p>
            <w:pPr>
              <w:spacing w:after="0"/>
              <w:rPr>
                <w:sz w:val="5"/>
                <w:szCs w:val="5"/>
                <w:color w:val="auto"/>
              </w:rPr>
            </w:pPr>
          </w:p>
        </w:tc>
      </w:tr>
      <w:tr>
        <w:trPr>
          <w:trHeight w:val="276"/>
        </w:trPr>
        <w:tc>
          <w:tcPr>
            <w:tcW w:w="5740" w:type="dxa"/>
            <w:vAlign w:val="bottom"/>
            <w:shd w:val="clear" w:color="auto" w:fill="FAFAFA"/>
          </w:tcPr>
          <w:p>
            <w:pPr>
              <w:ind w:left="240"/>
              <w:spacing w:after="0"/>
              <w:rPr>
                <w:sz w:val="20"/>
                <w:szCs w:val="20"/>
                <w:color w:val="auto"/>
              </w:rPr>
            </w:pPr>
            <w:r>
              <w:rPr>
                <w:rFonts w:ascii="Arial" w:cs="Arial" w:eastAsia="Arial" w:hAnsi="Arial"/>
                <w:sz w:val="14"/>
                <w:szCs w:val="14"/>
                <w:color w:val="auto"/>
              </w:rPr>
              <w:t>2014 Equity Incentive Plan</w:t>
            </w:r>
          </w:p>
        </w:tc>
        <w:tc>
          <w:tcPr>
            <w:tcW w:w="1020" w:type="dxa"/>
            <w:vAlign w:val="bottom"/>
            <w:shd w:val="clear" w:color="auto" w:fill="FAFAFA"/>
          </w:tcPr>
          <w:p>
            <w:pPr>
              <w:jc w:val="right"/>
              <w:ind w:right="105"/>
              <w:spacing w:after="0"/>
              <w:rPr>
                <w:sz w:val="20"/>
                <w:szCs w:val="20"/>
                <w:color w:val="auto"/>
              </w:rPr>
            </w:pPr>
            <w:r>
              <w:rPr>
                <w:rFonts w:ascii="Arial" w:cs="Arial" w:eastAsia="Arial" w:hAnsi="Arial"/>
                <w:sz w:val="14"/>
                <w:szCs w:val="14"/>
                <w:color w:val="auto"/>
              </w:rPr>
              <w:t>259,647</w:t>
            </w:r>
          </w:p>
        </w:tc>
        <w:tc>
          <w:tcPr>
            <w:tcW w:w="1340" w:type="dxa"/>
            <w:vAlign w:val="bottom"/>
            <w:shd w:val="clear" w:color="auto" w:fill="FAFAFA"/>
          </w:tcPr>
          <w:p>
            <w:pPr>
              <w:jc w:val="right"/>
              <w:ind w:right="121"/>
              <w:spacing w:after="0"/>
              <w:rPr>
                <w:sz w:val="20"/>
                <w:szCs w:val="20"/>
                <w:color w:val="auto"/>
              </w:rPr>
            </w:pPr>
            <w:r>
              <w:rPr>
                <w:rFonts w:ascii="Arial" w:cs="Arial" w:eastAsia="Arial" w:hAnsi="Arial"/>
                <w:sz w:val="14"/>
                <w:szCs w:val="14"/>
                <w:color w:val="auto"/>
              </w:rPr>
              <w:t>$0.94</w:t>
            </w:r>
          </w:p>
        </w:tc>
        <w:tc>
          <w:tcPr>
            <w:tcW w:w="1300" w:type="dxa"/>
            <w:vAlign w:val="bottom"/>
            <w:shd w:val="clear" w:color="auto" w:fill="FAFAFA"/>
          </w:tcPr>
          <w:p>
            <w:pPr>
              <w:jc w:val="right"/>
              <w:spacing w:after="0"/>
              <w:rPr>
                <w:sz w:val="20"/>
                <w:szCs w:val="20"/>
                <w:color w:val="auto"/>
              </w:rPr>
            </w:pPr>
            <w:r>
              <w:rPr>
                <w:rFonts w:ascii="Arial" w:cs="Arial" w:eastAsia="Arial" w:hAnsi="Arial"/>
                <w:sz w:val="14"/>
                <w:szCs w:val="14"/>
                <w:color w:val="auto"/>
              </w:rPr>
              <w:t>—</w:t>
            </w:r>
          </w:p>
        </w:tc>
      </w:tr>
      <w:tr>
        <w:trPr>
          <w:trHeight w:val="62"/>
        </w:trPr>
        <w:tc>
          <w:tcPr>
            <w:tcW w:w="5740" w:type="dxa"/>
            <w:vAlign w:val="bottom"/>
            <w:shd w:val="clear" w:color="auto" w:fill="FAFAFA"/>
          </w:tcPr>
          <w:p>
            <w:pPr>
              <w:spacing w:after="0"/>
              <w:rPr>
                <w:sz w:val="5"/>
                <w:szCs w:val="5"/>
                <w:color w:val="auto"/>
              </w:rPr>
            </w:pPr>
          </w:p>
        </w:tc>
        <w:tc>
          <w:tcPr>
            <w:tcW w:w="1020" w:type="dxa"/>
            <w:vAlign w:val="bottom"/>
            <w:shd w:val="clear" w:color="auto" w:fill="FAFAFA"/>
          </w:tcPr>
          <w:p>
            <w:pPr>
              <w:spacing w:after="0"/>
              <w:rPr>
                <w:sz w:val="5"/>
                <w:szCs w:val="5"/>
                <w:color w:val="auto"/>
              </w:rPr>
            </w:pPr>
          </w:p>
        </w:tc>
        <w:tc>
          <w:tcPr>
            <w:tcW w:w="1340" w:type="dxa"/>
            <w:vAlign w:val="bottom"/>
            <w:shd w:val="clear" w:color="auto" w:fill="FAFAFA"/>
          </w:tcPr>
          <w:p>
            <w:pPr>
              <w:spacing w:after="0"/>
              <w:rPr>
                <w:sz w:val="5"/>
                <w:szCs w:val="5"/>
                <w:color w:val="auto"/>
              </w:rPr>
            </w:pPr>
          </w:p>
        </w:tc>
        <w:tc>
          <w:tcPr>
            <w:tcW w:w="1300" w:type="dxa"/>
            <w:vAlign w:val="bottom"/>
            <w:shd w:val="clear" w:color="auto" w:fill="FAFAFA"/>
          </w:tcPr>
          <w:p>
            <w:pPr>
              <w:spacing w:after="0"/>
              <w:rPr>
                <w:sz w:val="5"/>
                <w:szCs w:val="5"/>
                <w:color w:val="auto"/>
              </w:rPr>
            </w:pPr>
          </w:p>
        </w:tc>
      </w:tr>
      <w:tr>
        <w:trPr>
          <w:trHeight w:val="365"/>
        </w:trPr>
        <w:tc>
          <w:tcPr>
            <w:tcW w:w="5740" w:type="dxa"/>
            <w:vAlign w:val="bottom"/>
            <w:shd w:val="clear" w:color="auto" w:fill="EBEBEB"/>
          </w:tcPr>
          <w:p>
            <w:pPr>
              <w:ind w:left="240"/>
              <w:spacing w:after="0"/>
              <w:rPr>
                <w:sz w:val="20"/>
                <w:szCs w:val="20"/>
                <w:color w:val="auto"/>
              </w:rPr>
            </w:pPr>
            <w:r>
              <w:rPr>
                <w:rFonts w:ascii="Arial" w:cs="Arial" w:eastAsia="Arial" w:hAnsi="Arial"/>
                <w:sz w:val="14"/>
                <w:szCs w:val="14"/>
                <w:color w:val="auto"/>
              </w:rPr>
              <w:t>2020 Equity Incentive Plan</w:t>
            </w:r>
          </w:p>
        </w:tc>
        <w:tc>
          <w:tcPr>
            <w:tcW w:w="1020" w:type="dxa"/>
            <w:vAlign w:val="bottom"/>
            <w:shd w:val="clear" w:color="auto" w:fill="EBEBEB"/>
          </w:tcPr>
          <w:p>
            <w:pPr>
              <w:jc w:val="right"/>
              <w:ind w:right="105"/>
              <w:spacing w:after="0"/>
              <w:rPr>
                <w:sz w:val="20"/>
                <w:szCs w:val="20"/>
                <w:color w:val="auto"/>
              </w:rPr>
            </w:pPr>
            <w:r>
              <w:rPr>
                <w:rFonts w:ascii="Arial" w:cs="Arial" w:eastAsia="Arial" w:hAnsi="Arial"/>
                <w:sz w:val="14"/>
                <w:szCs w:val="14"/>
                <w:color w:val="auto"/>
              </w:rPr>
              <w:t>6,869,309</w:t>
            </w:r>
            <w:r>
              <w:rPr>
                <w:rFonts w:ascii="Arial" w:cs="Arial" w:eastAsia="Arial" w:hAnsi="Arial"/>
                <w:sz w:val="23"/>
                <w:szCs w:val="23"/>
                <w:color w:val="auto"/>
                <w:vertAlign w:val="superscript"/>
              </w:rPr>
              <w:t>(1)</w:t>
            </w:r>
          </w:p>
        </w:tc>
        <w:tc>
          <w:tcPr>
            <w:tcW w:w="1340" w:type="dxa"/>
            <w:vAlign w:val="bottom"/>
            <w:shd w:val="clear" w:color="auto" w:fill="EBEBEB"/>
          </w:tcPr>
          <w:p>
            <w:pPr>
              <w:jc w:val="right"/>
              <w:ind w:right="121"/>
              <w:spacing w:after="0"/>
              <w:rPr>
                <w:sz w:val="20"/>
                <w:szCs w:val="20"/>
                <w:color w:val="auto"/>
              </w:rPr>
            </w:pPr>
            <w:r>
              <w:rPr>
                <w:rFonts w:ascii="Arial" w:cs="Arial" w:eastAsia="Arial" w:hAnsi="Arial"/>
                <w:sz w:val="14"/>
                <w:szCs w:val="14"/>
                <w:color w:val="auto"/>
              </w:rPr>
              <w:t>$8.25</w:t>
            </w:r>
            <w:r>
              <w:rPr>
                <w:rFonts w:ascii="Arial" w:cs="Arial" w:eastAsia="Arial" w:hAnsi="Arial"/>
                <w:sz w:val="23"/>
                <w:szCs w:val="23"/>
                <w:color w:val="auto"/>
                <w:vertAlign w:val="superscript"/>
              </w:rPr>
              <w:t>(2)</w:t>
            </w:r>
          </w:p>
        </w:tc>
        <w:tc>
          <w:tcPr>
            <w:tcW w:w="1300" w:type="dxa"/>
            <w:vAlign w:val="bottom"/>
            <w:shd w:val="clear" w:color="auto" w:fill="EBEBEB"/>
          </w:tcPr>
          <w:p>
            <w:pPr>
              <w:jc w:val="right"/>
              <w:spacing w:after="0"/>
              <w:rPr>
                <w:sz w:val="20"/>
                <w:szCs w:val="20"/>
                <w:color w:val="auto"/>
              </w:rPr>
            </w:pPr>
            <w:r>
              <w:rPr>
                <w:rFonts w:ascii="Arial" w:cs="Arial" w:eastAsia="Arial" w:hAnsi="Arial"/>
                <w:sz w:val="14"/>
                <w:szCs w:val="14"/>
                <w:color w:val="auto"/>
              </w:rPr>
              <w:t>3,158,094</w:t>
            </w:r>
          </w:p>
        </w:tc>
      </w:tr>
      <w:tr>
        <w:trPr>
          <w:trHeight w:val="275"/>
        </w:trPr>
        <w:tc>
          <w:tcPr>
            <w:tcW w:w="5740" w:type="dxa"/>
            <w:vAlign w:val="bottom"/>
            <w:shd w:val="clear" w:color="auto" w:fill="FAFAFA"/>
          </w:tcPr>
          <w:p>
            <w:pPr>
              <w:ind w:left="240"/>
              <w:spacing w:after="0"/>
              <w:rPr>
                <w:sz w:val="20"/>
                <w:szCs w:val="20"/>
                <w:color w:val="auto"/>
              </w:rPr>
            </w:pPr>
            <w:r>
              <w:rPr>
                <w:rFonts w:ascii="Arial" w:cs="Arial" w:eastAsia="Arial" w:hAnsi="Arial"/>
                <w:sz w:val="14"/>
                <w:szCs w:val="14"/>
                <w:color w:val="auto"/>
              </w:rPr>
              <w:t>2020 Employee Stock Purchase Plan</w:t>
            </w:r>
          </w:p>
        </w:tc>
        <w:tc>
          <w:tcPr>
            <w:tcW w:w="1020" w:type="dxa"/>
            <w:vAlign w:val="bottom"/>
            <w:shd w:val="clear" w:color="auto" w:fill="FAFAFA"/>
          </w:tcPr>
          <w:p>
            <w:pPr>
              <w:jc w:val="right"/>
              <w:ind w:right="105"/>
              <w:spacing w:after="0"/>
              <w:rPr>
                <w:sz w:val="20"/>
                <w:szCs w:val="20"/>
                <w:color w:val="auto"/>
              </w:rPr>
            </w:pPr>
            <w:r>
              <w:rPr>
                <w:rFonts w:ascii="Arial" w:cs="Arial" w:eastAsia="Arial" w:hAnsi="Arial"/>
                <w:sz w:val="14"/>
                <w:szCs w:val="14"/>
                <w:color w:val="auto"/>
              </w:rPr>
              <w:t>—</w:t>
            </w:r>
          </w:p>
        </w:tc>
        <w:tc>
          <w:tcPr>
            <w:tcW w:w="1340" w:type="dxa"/>
            <w:vAlign w:val="bottom"/>
            <w:shd w:val="clear" w:color="auto" w:fill="FAFAFA"/>
          </w:tcPr>
          <w:p>
            <w:pPr>
              <w:jc w:val="right"/>
              <w:ind w:right="121"/>
              <w:spacing w:after="0"/>
              <w:rPr>
                <w:sz w:val="20"/>
                <w:szCs w:val="20"/>
                <w:color w:val="auto"/>
              </w:rPr>
            </w:pPr>
            <w:r>
              <w:rPr>
                <w:rFonts w:ascii="Arial" w:cs="Arial" w:eastAsia="Arial" w:hAnsi="Arial"/>
                <w:sz w:val="14"/>
                <w:szCs w:val="14"/>
                <w:color w:val="auto"/>
              </w:rPr>
              <w:t>—</w:t>
            </w:r>
          </w:p>
        </w:tc>
        <w:tc>
          <w:tcPr>
            <w:tcW w:w="1300" w:type="dxa"/>
            <w:vAlign w:val="bottom"/>
            <w:shd w:val="clear" w:color="auto" w:fill="FAFAFA"/>
          </w:tcPr>
          <w:p>
            <w:pPr>
              <w:jc w:val="right"/>
              <w:spacing w:after="0"/>
              <w:rPr>
                <w:sz w:val="20"/>
                <w:szCs w:val="20"/>
                <w:color w:val="auto"/>
              </w:rPr>
            </w:pPr>
            <w:r>
              <w:rPr>
                <w:rFonts w:ascii="Arial" w:cs="Arial" w:eastAsia="Arial" w:hAnsi="Arial"/>
                <w:sz w:val="14"/>
                <w:szCs w:val="14"/>
                <w:color w:val="auto"/>
              </w:rPr>
              <w:t>1,128,732</w:t>
            </w:r>
          </w:p>
        </w:tc>
      </w:tr>
      <w:tr>
        <w:trPr>
          <w:trHeight w:val="62"/>
        </w:trPr>
        <w:tc>
          <w:tcPr>
            <w:tcW w:w="5740" w:type="dxa"/>
            <w:vAlign w:val="bottom"/>
            <w:shd w:val="clear" w:color="auto" w:fill="FAFAFA"/>
          </w:tcPr>
          <w:p>
            <w:pPr>
              <w:spacing w:after="0"/>
              <w:rPr>
                <w:sz w:val="5"/>
                <w:szCs w:val="5"/>
                <w:color w:val="auto"/>
              </w:rPr>
            </w:pPr>
          </w:p>
        </w:tc>
        <w:tc>
          <w:tcPr>
            <w:tcW w:w="1020" w:type="dxa"/>
            <w:vAlign w:val="bottom"/>
            <w:shd w:val="clear" w:color="auto" w:fill="FAFAFA"/>
          </w:tcPr>
          <w:p>
            <w:pPr>
              <w:spacing w:after="0"/>
              <w:rPr>
                <w:sz w:val="5"/>
                <w:szCs w:val="5"/>
                <w:color w:val="auto"/>
              </w:rPr>
            </w:pPr>
          </w:p>
        </w:tc>
        <w:tc>
          <w:tcPr>
            <w:tcW w:w="1340" w:type="dxa"/>
            <w:vAlign w:val="bottom"/>
            <w:shd w:val="clear" w:color="auto" w:fill="FAFAFA"/>
          </w:tcPr>
          <w:p>
            <w:pPr>
              <w:spacing w:after="0"/>
              <w:rPr>
                <w:sz w:val="5"/>
                <w:szCs w:val="5"/>
                <w:color w:val="auto"/>
              </w:rPr>
            </w:pPr>
          </w:p>
        </w:tc>
        <w:tc>
          <w:tcPr>
            <w:tcW w:w="1300" w:type="dxa"/>
            <w:vAlign w:val="bottom"/>
            <w:shd w:val="clear" w:color="auto" w:fill="FAFAFA"/>
          </w:tcPr>
          <w:p>
            <w:pPr>
              <w:spacing w:after="0"/>
              <w:rPr>
                <w:sz w:val="5"/>
                <w:szCs w:val="5"/>
                <w:color w:val="auto"/>
              </w:rPr>
            </w:pPr>
          </w:p>
        </w:tc>
      </w:tr>
      <w:tr>
        <w:trPr>
          <w:trHeight w:val="275"/>
        </w:trPr>
        <w:tc>
          <w:tcPr>
            <w:tcW w:w="5740" w:type="dxa"/>
            <w:vAlign w:val="bottom"/>
            <w:shd w:val="clear" w:color="auto" w:fill="EBEBEB"/>
          </w:tcPr>
          <w:p>
            <w:pPr>
              <w:ind w:left="60"/>
              <w:spacing w:after="0"/>
              <w:rPr>
                <w:sz w:val="20"/>
                <w:szCs w:val="20"/>
                <w:color w:val="auto"/>
              </w:rPr>
            </w:pPr>
            <w:r>
              <w:rPr>
                <w:rFonts w:ascii="Arial" w:cs="Arial" w:eastAsia="Arial" w:hAnsi="Arial"/>
                <w:sz w:val="14"/>
                <w:szCs w:val="14"/>
                <w:color w:val="auto"/>
              </w:rPr>
              <w:t>Total</w:t>
            </w:r>
          </w:p>
        </w:tc>
        <w:tc>
          <w:tcPr>
            <w:tcW w:w="1020" w:type="dxa"/>
            <w:vAlign w:val="bottom"/>
            <w:shd w:val="clear" w:color="auto" w:fill="EBEBEB"/>
          </w:tcPr>
          <w:p>
            <w:pPr>
              <w:jc w:val="right"/>
              <w:ind w:right="105"/>
              <w:spacing w:after="0"/>
              <w:rPr>
                <w:sz w:val="20"/>
                <w:szCs w:val="20"/>
                <w:color w:val="auto"/>
              </w:rPr>
            </w:pPr>
            <w:r>
              <w:rPr>
                <w:rFonts w:ascii="Arial" w:cs="Arial" w:eastAsia="Arial" w:hAnsi="Arial"/>
                <w:sz w:val="14"/>
                <w:szCs w:val="14"/>
                <w:color w:val="auto"/>
              </w:rPr>
              <w:t>​7,128,956</w:t>
            </w:r>
          </w:p>
        </w:tc>
        <w:tc>
          <w:tcPr>
            <w:tcW w:w="1340" w:type="dxa"/>
            <w:vAlign w:val="bottom"/>
            <w:shd w:val="clear" w:color="auto" w:fill="EBEBEB"/>
          </w:tcPr>
          <w:p>
            <w:pPr>
              <w:spacing w:after="0"/>
              <w:rPr>
                <w:sz w:val="23"/>
                <w:szCs w:val="23"/>
                <w:color w:val="auto"/>
              </w:rPr>
            </w:pPr>
          </w:p>
        </w:tc>
        <w:tc>
          <w:tcPr>
            <w:tcW w:w="1300" w:type="dxa"/>
            <w:vAlign w:val="bottom"/>
            <w:shd w:val="clear" w:color="auto" w:fill="EBEBEB"/>
          </w:tcPr>
          <w:p>
            <w:pPr>
              <w:jc w:val="right"/>
              <w:spacing w:after="0"/>
              <w:rPr>
                <w:sz w:val="20"/>
                <w:szCs w:val="20"/>
                <w:color w:val="auto"/>
              </w:rPr>
            </w:pPr>
            <w:r>
              <w:rPr>
                <w:rFonts w:ascii="Arial" w:cs="Arial" w:eastAsia="Arial" w:hAnsi="Arial"/>
                <w:sz w:val="14"/>
                <w:szCs w:val="14"/>
                <w:color w:val="auto"/>
              </w:rPr>
              <w:t>4,286,826​</w:t>
            </w:r>
          </w:p>
        </w:tc>
      </w:tr>
      <w:tr>
        <w:trPr>
          <w:trHeight w:val="116"/>
        </w:trPr>
        <w:tc>
          <w:tcPr>
            <w:tcW w:w="5740" w:type="dxa"/>
            <w:vAlign w:val="bottom"/>
            <w:shd w:val="clear" w:color="auto" w:fill="EBEBEB"/>
          </w:tcPr>
          <w:p>
            <w:pPr>
              <w:spacing w:after="0"/>
              <w:rPr>
                <w:sz w:val="10"/>
                <w:szCs w:val="10"/>
                <w:color w:val="auto"/>
              </w:rPr>
            </w:pPr>
          </w:p>
        </w:tc>
        <w:tc>
          <w:tcPr>
            <w:tcW w:w="1020" w:type="dxa"/>
            <w:vAlign w:val="bottom"/>
            <w:shd w:val="clear" w:color="auto" w:fill="EBEBEB"/>
          </w:tcPr>
          <w:p>
            <w:pPr>
              <w:spacing w:after="0"/>
              <w:rPr>
                <w:sz w:val="10"/>
                <w:szCs w:val="10"/>
                <w:color w:val="auto"/>
              </w:rPr>
            </w:pPr>
          </w:p>
        </w:tc>
        <w:tc>
          <w:tcPr>
            <w:tcW w:w="1340" w:type="dxa"/>
            <w:vAlign w:val="bottom"/>
            <w:shd w:val="clear" w:color="auto" w:fill="EBEBEB"/>
          </w:tcPr>
          <w:p>
            <w:pPr>
              <w:spacing w:after="0"/>
              <w:rPr>
                <w:sz w:val="10"/>
                <w:szCs w:val="10"/>
                <w:color w:val="auto"/>
              </w:rPr>
            </w:pPr>
          </w:p>
        </w:tc>
        <w:tc>
          <w:tcPr>
            <w:tcW w:w="1300" w:type="dxa"/>
            <w:vAlign w:val="bottom"/>
            <w:shd w:val="clear" w:color="auto" w:fill="EBEBEB"/>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-247650</wp:posOffset>
            </wp:positionV>
            <wp:extent cx="59664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-462280</wp:posOffset>
            </wp:positionV>
            <wp:extent cx="59664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-694055</wp:posOffset>
            </wp:positionV>
            <wp:extent cx="596646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-908050</wp:posOffset>
            </wp:positionV>
            <wp:extent cx="596646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-1122045</wp:posOffset>
            </wp:positionV>
            <wp:extent cx="59664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33" w:lineRule="exact"/>
        <w:rPr>
          <w:sz w:val="20"/>
          <w:szCs w:val="20"/>
          <w:color w:val="auto"/>
        </w:rPr>
      </w:pPr>
    </w:p>
    <w:p>
      <w:pPr>
        <w:ind w:left="320" w:hanging="224"/>
        <w:spacing w:after="0"/>
        <w:tabs>
          <w:tab w:leader="none" w:pos="320" w:val="left"/>
        </w:tabs>
        <w:numPr>
          <w:ilvl w:val="0"/>
          <w:numId w:val="35"/>
        </w:numPr>
        <w:rPr>
          <w:rFonts w:ascii="Arial" w:cs="Arial" w:eastAsia="Arial" w:hAnsi="Arial"/>
          <w:sz w:val="14"/>
          <w:szCs w:val="14"/>
          <w:color w:val="255993"/>
        </w:rPr>
      </w:pPr>
      <w:r>
        <w:rPr>
          <w:rFonts w:ascii="Arial" w:cs="Arial" w:eastAsia="Arial" w:hAnsi="Arial"/>
          <w:sz w:val="14"/>
          <w:szCs w:val="14"/>
          <w:color w:val="255993"/>
        </w:rPr>
        <w:t>Includes both 6,561,222 outstanding options and 308,087 outstanding, unvested performance restricted stock units.</w:t>
      </w:r>
    </w:p>
    <w:p>
      <w:pPr>
        <w:spacing w:after="0" w:line="82" w:lineRule="exact"/>
        <w:rPr>
          <w:rFonts w:ascii="Arial" w:cs="Arial" w:eastAsia="Arial" w:hAnsi="Arial"/>
          <w:sz w:val="14"/>
          <w:szCs w:val="14"/>
          <w:color w:val="255993"/>
        </w:rPr>
      </w:pPr>
    </w:p>
    <w:p>
      <w:pPr>
        <w:ind w:left="320" w:right="380" w:hanging="224"/>
        <w:spacing w:after="0" w:line="285" w:lineRule="auto"/>
        <w:tabs>
          <w:tab w:leader="none" w:pos="320" w:val="left"/>
        </w:tabs>
        <w:numPr>
          <w:ilvl w:val="0"/>
          <w:numId w:val="35"/>
        </w:numPr>
        <w:rPr>
          <w:rFonts w:ascii="Arial" w:cs="Arial" w:eastAsia="Arial" w:hAnsi="Arial"/>
          <w:sz w:val="14"/>
          <w:szCs w:val="14"/>
          <w:color w:val="255993"/>
        </w:rPr>
      </w:pPr>
      <w:r>
        <w:rPr>
          <w:rFonts w:ascii="Arial" w:cs="Arial" w:eastAsia="Arial" w:hAnsi="Arial"/>
          <w:sz w:val="14"/>
          <w:szCs w:val="14"/>
          <w:color w:val="255993"/>
        </w:rPr>
        <w:t>Represents the outstanding options’ weighted-average exercise price and does not take into account the shares issuable upon vesting of outstanding performance restricted stock units, which do not have an exercise price.</w:t>
      </w:r>
    </w:p>
    <w:p>
      <w:pPr>
        <w:spacing w:after="0" w:line="36" w:lineRule="exact"/>
        <w:rPr>
          <w:rFonts w:ascii="Arial" w:cs="Arial" w:eastAsia="Arial" w:hAnsi="Arial"/>
          <w:sz w:val="14"/>
          <w:szCs w:val="14"/>
          <w:color w:val="255993"/>
        </w:rPr>
      </w:pPr>
    </w:p>
    <w:p>
      <w:pPr>
        <w:ind w:left="320" w:right="40" w:hanging="224"/>
        <w:spacing w:after="0" w:line="250" w:lineRule="auto"/>
        <w:tabs>
          <w:tab w:leader="none" w:pos="320" w:val="left"/>
        </w:tabs>
        <w:numPr>
          <w:ilvl w:val="0"/>
          <w:numId w:val="35"/>
        </w:numPr>
        <w:rPr>
          <w:rFonts w:ascii="Arial" w:cs="Arial" w:eastAsia="Arial" w:hAnsi="Arial"/>
          <w:sz w:val="14"/>
          <w:szCs w:val="14"/>
          <w:color w:val="255993"/>
        </w:rPr>
      </w:pPr>
      <w:r>
        <w:rPr>
          <w:rFonts w:ascii="Arial" w:cs="Arial" w:eastAsia="Arial" w:hAnsi="Arial"/>
          <w:sz w:val="14"/>
          <w:szCs w:val="14"/>
          <w:color w:val="255993"/>
        </w:rPr>
        <w:t>Our 2020 Equity Incentive Plan includes provisions providing for an annual increase in the number of securities available for future issuance on the first day of each fiscal year, equal to the least of: (1) 3,230,000 shares; (2) 5% of the outstanding shares of common stock as of the last day of the immediately preceding fiscal year; and (3) such lesser number of shares determined by the board of directors. Our 2020 Employee Stock Purchase Plan includes provisions providing for an annual increase in the number of securities available for future issuance on the first day of each fiscal year, equal to the least of: (1) 1% of the outstanding shares of common stock on the first day of such fiscal year; (2) 646,000 shares; and (3) such lesser number of shares determined by the board of directors.</w:t>
      </w:r>
    </w:p>
    <w:p>
      <w:pPr>
        <w:spacing w:after="0" w:line="109"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In February 2024, our board of directors adopted the 2024 Inducement Equity Incentive Plan, or the Inducement Plan and, subject to the adjustment provisions of the Inducement Plan, reserved 750,000 shares of our common stock for issuance pursuant to equity awards granted under the Inducement Plan. The Inducement Plan was adopted without stockholder approval pursuant to Nasdaq Rule 5635(c)(4). The Inducement Plan provides for the grant of equity-based awards, including nonstatutory stock options, stock appreciation rights, restricted stock, restricted stock units, and performance awards and its terms are substantially similar to our 2020 Equity Incentive Plan, including with respect to treatment of equity awards in the event of a “merger” or “change in control” as defined under the Inducement Plan, but with such other terms and conditions intended to comply with the Nasdaq inducement award exception. However, the 2020 Equity Incentive Plan permits certain exchange programs (including repricings) without stockholder approval, while our Inducement Plan does not permit such exchange programs.</w:t>
      </w:r>
    </w:p>
    <w:p>
      <w:pPr>
        <w:spacing w:after="0" w:line="190"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45</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38" w:lineRule="exact"/>
        <w:rPr>
          <w:sz w:val="20"/>
          <w:szCs w:val="20"/>
          <w:color w:val="auto"/>
        </w:rPr>
      </w:pPr>
    </w:p>
    <w:p>
      <w:pPr>
        <w:spacing w:after="0"/>
        <w:rPr>
          <w:sz w:val="20"/>
          <w:szCs w:val="20"/>
          <w:color w:val="auto"/>
        </w:rPr>
      </w:pPr>
      <w:r>
        <w:rPr>
          <w:rFonts w:ascii="Arial" w:cs="Arial" w:eastAsia="Arial" w:hAnsi="Arial"/>
          <w:sz w:val="58"/>
          <w:szCs w:val="58"/>
          <w:color w:val="255993"/>
        </w:rPr>
        <w:t>Related Person Transactions</w:t>
      </w:r>
    </w:p>
    <w:p>
      <w:pPr>
        <w:spacing w:after="0" w:line="357"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The following is a summary of transactions since January 1, 2022 to which we have been a party in which the amount involved exceeded $120,000 and in which any of our executive officers, directors, promoters or beneficial holders of more than 5% of our capital stock had or will have a direct or indirect material interest, other than compensation arrangements which are described under the section of this proxy statement titled “Executive Compensation.”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RELATED-PERSON TRANSACTIONS POLICY</w:t>
      </w:r>
    </w:p>
    <w:p>
      <w:pPr>
        <w:spacing w:after="0" w:line="108"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We have a formal, written policy that our executive officers, directors (including director nominees), holders of more than 5% of any class of our voting securities and any member of the immediate family of or any entities affiliated with any of the foregoing persons, are not permitted to enter into a related-person transaction with us without the prior approval or, in the case of pending or ongoing related-person transactions, ratification of our audit committee. For purposes of our policy, a related-person transaction is a transaction, arrangement or relationship where we were, are or will be involved and in which a related-person had, has or will have a direct or indirect material interest.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Certain transactions with related persons, however, are exempted from pre-approval including, but not limited to:</w:t>
      </w:r>
    </w:p>
    <w:p>
      <w:pPr>
        <w:spacing w:after="0" w:line="113" w:lineRule="exact"/>
        <w:rPr>
          <w:sz w:val="20"/>
          <w:szCs w:val="20"/>
          <w:color w:val="auto"/>
        </w:rPr>
      </w:pPr>
    </w:p>
    <w:p>
      <w:pPr>
        <w:ind w:left="140" w:hanging="134"/>
        <w:spacing w:after="0"/>
        <w:tabs>
          <w:tab w:leader="none" w:pos="140" w:val="left"/>
        </w:tabs>
        <w:numPr>
          <w:ilvl w:val="0"/>
          <w:numId w:val="36"/>
        </w:numPr>
        <w:rPr>
          <w:rFonts w:ascii="Arial" w:cs="Arial" w:eastAsia="Arial" w:hAnsi="Arial"/>
          <w:sz w:val="16"/>
          <w:szCs w:val="16"/>
          <w:color w:val="255993"/>
        </w:rPr>
      </w:pPr>
      <w:r>
        <w:rPr>
          <w:rFonts w:ascii="Arial" w:cs="Arial" w:eastAsia="Arial" w:hAnsi="Arial"/>
          <w:sz w:val="16"/>
          <w:szCs w:val="16"/>
          <w:color w:val="auto"/>
        </w:rPr>
        <w:t>compensation of our executive officers and directors that is otherwise disclosed in our public filings with the SEC;</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36"/>
        </w:numPr>
        <w:rPr>
          <w:rFonts w:ascii="Arial" w:cs="Arial" w:eastAsia="Arial" w:hAnsi="Arial"/>
          <w:sz w:val="16"/>
          <w:szCs w:val="16"/>
          <w:color w:val="255993"/>
        </w:rPr>
      </w:pPr>
      <w:r>
        <w:rPr>
          <w:rFonts w:ascii="Arial" w:cs="Arial" w:eastAsia="Arial" w:hAnsi="Arial"/>
          <w:sz w:val="16"/>
          <w:szCs w:val="16"/>
          <w:color w:val="auto"/>
        </w:rPr>
        <w:t>compensation, benefits and other transactions available to all of our employees generally;</w:t>
      </w:r>
    </w:p>
    <w:p>
      <w:pPr>
        <w:spacing w:after="0" w:line="59" w:lineRule="exact"/>
        <w:rPr>
          <w:rFonts w:ascii="Arial" w:cs="Arial" w:eastAsia="Arial" w:hAnsi="Arial"/>
          <w:sz w:val="16"/>
          <w:szCs w:val="16"/>
          <w:color w:val="255993"/>
        </w:rPr>
      </w:pPr>
    </w:p>
    <w:p>
      <w:pPr>
        <w:ind w:left="140" w:right="140" w:hanging="134"/>
        <w:spacing w:after="0" w:line="281" w:lineRule="auto"/>
        <w:tabs>
          <w:tab w:leader="none" w:pos="140" w:val="left"/>
        </w:tabs>
        <w:numPr>
          <w:ilvl w:val="0"/>
          <w:numId w:val="36"/>
        </w:numPr>
        <w:rPr>
          <w:rFonts w:ascii="Arial" w:cs="Arial" w:eastAsia="Arial" w:hAnsi="Arial"/>
          <w:sz w:val="16"/>
          <w:szCs w:val="16"/>
          <w:color w:val="255993"/>
        </w:rPr>
      </w:pPr>
      <w:r>
        <w:rPr>
          <w:rFonts w:ascii="Arial" w:cs="Arial" w:eastAsia="Arial" w:hAnsi="Arial"/>
          <w:sz w:val="16"/>
          <w:szCs w:val="16"/>
          <w:color w:val="auto"/>
        </w:rPr>
        <w:t>transactions where a related-person’s interest derives solely from his or her service as a director of another entity that is a party to the transaction;</w:t>
      </w:r>
    </w:p>
    <w:p>
      <w:pPr>
        <w:spacing w:after="0" w:line="1" w:lineRule="exact"/>
        <w:rPr>
          <w:rFonts w:ascii="Arial" w:cs="Arial" w:eastAsia="Arial" w:hAnsi="Arial"/>
          <w:sz w:val="16"/>
          <w:szCs w:val="16"/>
          <w:color w:val="255993"/>
        </w:rPr>
      </w:pPr>
    </w:p>
    <w:p>
      <w:pPr>
        <w:ind w:left="140" w:right="160" w:hanging="134"/>
        <w:spacing w:after="0" w:line="281" w:lineRule="auto"/>
        <w:tabs>
          <w:tab w:leader="none" w:pos="140" w:val="left"/>
        </w:tabs>
        <w:numPr>
          <w:ilvl w:val="0"/>
          <w:numId w:val="36"/>
        </w:numPr>
        <w:rPr>
          <w:rFonts w:ascii="Arial" w:cs="Arial" w:eastAsia="Arial" w:hAnsi="Arial"/>
          <w:sz w:val="16"/>
          <w:szCs w:val="16"/>
          <w:color w:val="255993"/>
        </w:rPr>
      </w:pPr>
      <w:r>
        <w:rPr>
          <w:rFonts w:ascii="Arial" w:cs="Arial" w:eastAsia="Arial" w:hAnsi="Arial"/>
          <w:sz w:val="16"/>
          <w:szCs w:val="16"/>
          <w:color w:val="auto"/>
        </w:rPr>
        <w:t>transactions where a related-person’s interest derives solely from his or her ownership of less than 10% of the equity interest in another entity that is a party to the transaction; and</w:t>
      </w:r>
    </w:p>
    <w:p>
      <w:pPr>
        <w:spacing w:after="0" w:line="1" w:lineRule="exact"/>
        <w:rPr>
          <w:rFonts w:ascii="Arial" w:cs="Arial" w:eastAsia="Arial" w:hAnsi="Arial"/>
          <w:sz w:val="16"/>
          <w:szCs w:val="16"/>
          <w:color w:val="255993"/>
        </w:rPr>
      </w:pPr>
    </w:p>
    <w:p>
      <w:pPr>
        <w:ind w:left="140" w:right="160" w:hanging="134"/>
        <w:spacing w:after="0" w:line="286" w:lineRule="auto"/>
        <w:tabs>
          <w:tab w:leader="none" w:pos="140" w:val="left"/>
        </w:tabs>
        <w:numPr>
          <w:ilvl w:val="0"/>
          <w:numId w:val="36"/>
        </w:numPr>
        <w:rPr>
          <w:rFonts w:ascii="Arial" w:cs="Arial" w:eastAsia="Arial" w:hAnsi="Arial"/>
          <w:sz w:val="16"/>
          <w:szCs w:val="16"/>
          <w:color w:val="255993"/>
        </w:rPr>
      </w:pPr>
      <w:r>
        <w:rPr>
          <w:rFonts w:ascii="Arial" w:cs="Arial" w:eastAsia="Arial" w:hAnsi="Arial"/>
          <w:sz w:val="16"/>
          <w:szCs w:val="16"/>
          <w:color w:val="auto"/>
        </w:rPr>
        <w:t>transactions where a related-person’s interest derives solely from his or her ownership of a class of our equity securities and all holders of that class received the same benefit on a pro rata basis.</w:t>
      </w:r>
    </w:p>
    <w:p>
      <w:pPr>
        <w:spacing w:after="0" w:line="88"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No member of the audit committee may participate in any review, consideration or approval of any related-person transaction where such member or any of his or her immediate family members is the related-person. In approving or rejecting the proposed agreement, our audit committee shall consider the relevant facts and circumstances available and deemed relevant to the audit committee, including, but not limited to:</w:t>
      </w:r>
    </w:p>
    <w:p>
      <w:pPr>
        <w:spacing w:after="0" w:line="70" w:lineRule="exact"/>
        <w:rPr>
          <w:sz w:val="20"/>
          <w:szCs w:val="20"/>
          <w:color w:val="auto"/>
        </w:rPr>
      </w:pPr>
    </w:p>
    <w:p>
      <w:pPr>
        <w:ind w:left="140" w:hanging="134"/>
        <w:spacing w:after="0"/>
        <w:tabs>
          <w:tab w:leader="none" w:pos="140" w:val="left"/>
        </w:tabs>
        <w:numPr>
          <w:ilvl w:val="0"/>
          <w:numId w:val="37"/>
        </w:numPr>
        <w:rPr>
          <w:rFonts w:ascii="Arial" w:cs="Arial" w:eastAsia="Arial" w:hAnsi="Arial"/>
          <w:sz w:val="16"/>
          <w:szCs w:val="16"/>
          <w:color w:val="255993"/>
        </w:rPr>
      </w:pPr>
      <w:r>
        <w:rPr>
          <w:rFonts w:ascii="Arial" w:cs="Arial" w:eastAsia="Arial" w:hAnsi="Arial"/>
          <w:sz w:val="16"/>
          <w:szCs w:val="16"/>
          <w:color w:val="auto"/>
        </w:rPr>
        <w:t>the benefits and perceived benefits to us;</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37"/>
        </w:numPr>
        <w:rPr>
          <w:rFonts w:ascii="Arial" w:cs="Arial" w:eastAsia="Arial" w:hAnsi="Arial"/>
          <w:sz w:val="16"/>
          <w:szCs w:val="16"/>
          <w:color w:val="255993"/>
        </w:rPr>
      </w:pPr>
      <w:r>
        <w:rPr>
          <w:rFonts w:ascii="Arial" w:cs="Arial" w:eastAsia="Arial" w:hAnsi="Arial"/>
          <w:sz w:val="16"/>
          <w:szCs w:val="16"/>
          <w:color w:val="auto"/>
        </w:rPr>
        <w:t>the materiality and character of the related-person’s direct and indirect interest;</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37"/>
        </w:numPr>
        <w:rPr>
          <w:rFonts w:ascii="Arial" w:cs="Arial" w:eastAsia="Arial" w:hAnsi="Arial"/>
          <w:sz w:val="16"/>
          <w:szCs w:val="16"/>
          <w:color w:val="255993"/>
        </w:rPr>
      </w:pPr>
      <w:r>
        <w:rPr>
          <w:rFonts w:ascii="Arial" w:cs="Arial" w:eastAsia="Arial" w:hAnsi="Arial"/>
          <w:sz w:val="16"/>
          <w:szCs w:val="16"/>
          <w:color w:val="auto"/>
        </w:rPr>
        <w:t>the availability of other sources for comparable products or services;</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37"/>
        </w:numPr>
        <w:rPr>
          <w:rFonts w:ascii="Arial" w:cs="Arial" w:eastAsia="Arial" w:hAnsi="Arial"/>
          <w:sz w:val="16"/>
          <w:szCs w:val="16"/>
          <w:color w:val="255993"/>
        </w:rPr>
      </w:pPr>
      <w:r>
        <w:rPr>
          <w:rFonts w:ascii="Arial" w:cs="Arial" w:eastAsia="Arial" w:hAnsi="Arial"/>
          <w:sz w:val="16"/>
          <w:szCs w:val="16"/>
          <w:color w:val="auto"/>
        </w:rPr>
        <w:t>the terms of the transaction; and</w:t>
      </w:r>
    </w:p>
    <w:p>
      <w:pPr>
        <w:spacing w:after="0" w:line="59" w:lineRule="exact"/>
        <w:rPr>
          <w:rFonts w:ascii="Arial" w:cs="Arial" w:eastAsia="Arial" w:hAnsi="Arial"/>
          <w:sz w:val="16"/>
          <w:szCs w:val="16"/>
          <w:color w:val="255993"/>
        </w:rPr>
      </w:pPr>
    </w:p>
    <w:p>
      <w:pPr>
        <w:ind w:left="140" w:hanging="134"/>
        <w:spacing w:after="0"/>
        <w:tabs>
          <w:tab w:leader="none" w:pos="140" w:val="left"/>
        </w:tabs>
        <w:numPr>
          <w:ilvl w:val="0"/>
          <w:numId w:val="37"/>
        </w:numPr>
        <w:rPr>
          <w:rFonts w:ascii="Arial" w:cs="Arial" w:eastAsia="Arial" w:hAnsi="Arial"/>
          <w:sz w:val="16"/>
          <w:szCs w:val="16"/>
          <w:color w:val="255993"/>
        </w:rPr>
      </w:pPr>
      <w:r>
        <w:rPr>
          <w:rFonts w:ascii="Arial" w:cs="Arial" w:eastAsia="Arial" w:hAnsi="Arial"/>
          <w:sz w:val="16"/>
          <w:szCs w:val="16"/>
          <w:color w:val="auto"/>
        </w:rPr>
        <w:t>the terms available to unrelated third parties under the same or similar circumstances.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INVESTORS’ RIGHTS AGREEMENT</w:t>
      </w:r>
    </w:p>
    <w:p>
      <w:pPr>
        <w:spacing w:after="0" w:line="108"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We entered into an investors’ rights agreement on May 29, 2020 with certain of our stockholders, including Dr. Leen Kawas, our former chief executive officer, Dr. Litton, our president and chief executive officer, Mark Worthington, our general counsel and corporate secretary, Fluke Capital Management, L.P., of which John M. Fluke, Jr., a member of our board of directors, has a beneficial ownership interest, and Perceptive Life Sciences Master Fund Ltd., of which Joseph Edelman, a member of our board of directors, has a beneficial ownership interest. In addition, entities affiliated with RTW Investments, LP and entities affiliated with Franklin Templeton Investments, were parties to the agreement. Pursuant to the terms of the investors’ rights agreement, such holders were entitled to rights with respect to the registration of their outstanding shares, which rights expired pursuant to the terms of the investors’ rights agreement on the third anniversary of the Company’s initial public offering.</w:t>
      </w:r>
    </w:p>
    <w:p>
      <w:pPr>
        <w:spacing w:after="0" w:line="187"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46</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126365</wp:posOffset>
            </wp:positionV>
            <wp:extent cx="69951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4"/>
          <w:szCs w:val="14"/>
          <w:color w:val="255993"/>
        </w:rPr>
        <w:t>Related Person Transactions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OTHER TRANSACTIONS</w:t>
      </w:r>
    </w:p>
    <w:p>
      <w:pPr>
        <w:spacing w:after="0" w:line="10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We have entered into offer letters with our executive officers and change in control and severance agreements with certain of our executive officers. For a description of these agreements, see the section of this proxy statement titled “Executive Compensation – Executive Employment Arrangements.”</w:t>
      </w:r>
    </w:p>
    <w:p>
      <w:pPr>
        <w:spacing w:after="0" w:line="104" w:lineRule="exact"/>
        <w:rPr>
          <w:sz w:val="20"/>
          <w:szCs w:val="20"/>
          <w:color w:val="auto"/>
        </w:rPr>
      </w:pPr>
    </w:p>
    <w:p>
      <w:pPr>
        <w:jc w:val="both"/>
        <w:ind w:right="220"/>
        <w:spacing w:after="0" w:line="266" w:lineRule="auto"/>
        <w:rPr>
          <w:sz w:val="20"/>
          <w:szCs w:val="20"/>
          <w:color w:val="auto"/>
        </w:rPr>
      </w:pPr>
      <w:r>
        <w:rPr>
          <w:rFonts w:ascii="Arial" w:cs="Arial" w:eastAsia="Arial" w:hAnsi="Arial"/>
          <w:sz w:val="16"/>
          <w:szCs w:val="16"/>
          <w:color w:val="auto"/>
        </w:rPr>
        <w:t>We have granted stock options and performance restricted stock units and issued common stock to our executive officers and to certain of our non-employee directors. For a description of these grants and issuances, see the sections of this proxy statement titled “Board of Directors and Corporate Governance – Director Compensation” and “Executive Compensation.”</w:t>
      </w:r>
    </w:p>
    <w:p>
      <w:pPr>
        <w:spacing w:after="0" w:line="104"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We have entered into indemnification agreements with our directors and executive officers. These agreements provide for the indemnification of our directors, officers and some employees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us,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us or any of our subsidiaries, no indemnification will be provided for any claim where a court determines that the indemnified party is prohibited from receiving indemnification. We believe that these indemnification agreements are necessary to attract and retain qualified persons as directors and officers. We also maintain directors’ and officers’ liability insurance.</w:t>
      </w:r>
    </w:p>
    <w:p>
      <w:pPr>
        <w:spacing w:after="0" w:line="194"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47</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38" w:lineRule="exact"/>
        <w:rPr>
          <w:sz w:val="20"/>
          <w:szCs w:val="20"/>
          <w:color w:val="auto"/>
        </w:rPr>
      </w:pPr>
    </w:p>
    <w:p>
      <w:pPr>
        <w:spacing w:after="0"/>
        <w:rPr>
          <w:sz w:val="20"/>
          <w:szCs w:val="20"/>
          <w:color w:val="auto"/>
        </w:rPr>
      </w:pPr>
      <w:r>
        <w:rPr>
          <w:rFonts w:ascii="Arial" w:cs="Arial" w:eastAsia="Arial" w:hAnsi="Arial"/>
          <w:sz w:val="58"/>
          <w:szCs w:val="58"/>
          <w:color w:val="255993"/>
        </w:rPr>
        <w:t>Other Matters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AVAILABILITY OF BYLAWS</w:t>
      </w:r>
    </w:p>
    <w:p>
      <w:pPr>
        <w:spacing w:after="0" w:line="108"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 xml:space="preserve">A copy of the Bylaws may be obtained by accessing our filings on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 You may also contact our corporate secretary at our principal executive offices for a copy of the relevant bylaw provisions regarding the requirements for making stockholder proposals and nominating director candidates.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F8991D"/>
        </w:rPr>
        <w:t>2023 ANNUAL REPORT</w:t>
      </w:r>
    </w:p>
    <w:p>
      <w:pPr>
        <w:spacing w:after="0" w:line="108"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 xml:space="preserve">Our financial statements for our fiscal year ended December 31, 2023, are included in our Annual Report on Form 10-K, filed with the SEC on February 22, 2024, which we will make available to stockholders at the same time as this proxy statement. Our proxy materials and our annual report are posted on our website at </w:t>
      </w:r>
      <w:r>
        <w:rPr>
          <w:rFonts w:ascii="Arial" w:cs="Arial" w:eastAsia="Arial" w:hAnsi="Arial"/>
          <w:sz w:val="16"/>
          <w:szCs w:val="16"/>
          <w:i w:val="1"/>
          <w:iCs w:val="1"/>
          <w:color w:val="auto"/>
        </w:rPr>
        <w:t>www.athira.com</w:t>
      </w:r>
      <w:r>
        <w:rPr>
          <w:rFonts w:ascii="Arial" w:cs="Arial" w:eastAsia="Arial" w:hAnsi="Arial"/>
          <w:sz w:val="16"/>
          <w:szCs w:val="16"/>
          <w:color w:val="auto"/>
        </w:rPr>
        <w:t xml:space="preserve"> and are available from the SEC at its website at </w:t>
      </w:r>
      <w:r>
        <w:rPr>
          <w:rFonts w:ascii="Arial" w:cs="Arial" w:eastAsia="Arial" w:hAnsi="Arial"/>
          <w:sz w:val="16"/>
          <w:szCs w:val="16"/>
          <w:i w:val="1"/>
          <w:iCs w:val="1"/>
          <w:color w:val="auto"/>
        </w:rPr>
        <w:t>www.sec. gov</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255993"/>
        </w:rPr>
        <w:t>You may also obtain a copy of our annual report, free of charge, by sending a written request to Athira</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255993"/>
        </w:rPr>
        <w:t>Pharma, Inc., 18706 North Creek Parkway, Suite 104, Bothell, Washington 98011, Attention: Investor Relations.</w:t>
      </w:r>
    </w:p>
    <w:p>
      <w:pPr>
        <w:spacing w:after="0" w:line="101"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w:t>
      </w:r>
    </w:p>
    <w:p>
      <w:pPr>
        <w:spacing w:after="0" w:line="140"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The board of directors does not know of any other matters to be presented at the annual meeting. If any additional matters are properly presented at the annual meeting, the persons named in the proxy will have discretion to vote the shares of our common stock they represent in accordance with their own judgment on such matters.</w:t>
      </w:r>
    </w:p>
    <w:p>
      <w:pPr>
        <w:spacing w:after="0" w:line="10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It is important that your shares be represented at the annual meeting, regardless of the number of shares that you hold. You are, therefore, urged to vote as promptly as possible to ensure your vote is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255993"/>
        </w:rPr>
        <w:t>THE BOARD OF DIRECTORS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Bothell, Washington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April [•], 2024</w:t>
      </w:r>
    </w:p>
    <w:p>
      <w:pPr>
        <w:spacing w:after="0" w:line="210"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48</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38" w:lineRule="exact"/>
        <w:rPr>
          <w:sz w:val="20"/>
          <w:szCs w:val="20"/>
          <w:color w:val="auto"/>
        </w:rPr>
      </w:pPr>
    </w:p>
    <w:p>
      <w:pPr>
        <w:spacing w:after="0"/>
        <w:rPr>
          <w:sz w:val="20"/>
          <w:szCs w:val="20"/>
          <w:color w:val="auto"/>
        </w:rPr>
      </w:pPr>
      <w:r>
        <w:rPr>
          <w:rFonts w:ascii="Arial" w:cs="Arial" w:eastAsia="Arial" w:hAnsi="Arial"/>
          <w:sz w:val="58"/>
          <w:szCs w:val="58"/>
          <w:color w:val="255993"/>
        </w:rPr>
        <w:t>Annex A</w:t>
      </w:r>
    </w:p>
    <w:p>
      <w:pPr>
        <w:spacing w:after="0" w:line="27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CERTIFICATE OF AMENDMENT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THE</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AMENDED AND RESTATED CERTIFICATE OF INCORPORATION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ATHIRA PHARMA, INC.</w:t>
      </w:r>
    </w:p>
    <w:p>
      <w:pPr>
        <w:spacing w:after="0" w:line="92" w:lineRule="exact"/>
        <w:rPr>
          <w:sz w:val="20"/>
          <w:szCs w:val="20"/>
          <w:color w:val="auto"/>
        </w:rPr>
      </w:pPr>
    </w:p>
    <w:p>
      <w:pPr>
        <w:ind w:right="940" w:firstLine="360"/>
        <w:spacing w:after="0" w:line="271" w:lineRule="auto"/>
        <w:rPr>
          <w:sz w:val="20"/>
          <w:szCs w:val="20"/>
          <w:color w:val="auto"/>
        </w:rPr>
      </w:pPr>
      <w:r>
        <w:rPr>
          <w:rFonts w:ascii="Arial" w:cs="Arial" w:eastAsia="Arial" w:hAnsi="Arial"/>
          <w:sz w:val="18"/>
          <w:szCs w:val="18"/>
          <w:color w:val="auto"/>
        </w:rPr>
        <w:t>Athira Pharma, Inc., a corporation organized and existing under the laws of the State of Delaware (the “Company”), does hereby certify as follows:</w:t>
      </w:r>
    </w:p>
    <w:p>
      <w:pPr>
        <w:spacing w:after="0" w:line="46" w:lineRule="exact"/>
        <w:rPr>
          <w:sz w:val="20"/>
          <w:szCs w:val="20"/>
          <w:color w:val="auto"/>
        </w:rPr>
      </w:pPr>
    </w:p>
    <w:p>
      <w:pPr>
        <w:ind w:left="360" w:right="340" w:firstLine="360"/>
        <w:spacing w:after="0" w:line="253" w:lineRule="auto"/>
        <w:rPr>
          <w:sz w:val="20"/>
          <w:szCs w:val="20"/>
          <w:color w:val="auto"/>
        </w:rPr>
      </w:pPr>
      <w:r>
        <w:rPr>
          <w:rFonts w:ascii="Arial" w:cs="Arial" w:eastAsia="Arial" w:hAnsi="Arial"/>
          <w:sz w:val="18"/>
          <w:szCs w:val="18"/>
          <w:color w:val="auto"/>
        </w:rPr>
        <w:t>1.  The Company was originally incorporated under the name of M3 Biotechnology, Inc., and the original Certificate of Incorporation of the Company was filed with the Secretary of State of the State of Delaware on October 27, 2015.</w:t>
      </w:r>
    </w:p>
    <w:p>
      <w:pPr>
        <w:spacing w:after="0" w:line="61" w:lineRule="exact"/>
        <w:rPr>
          <w:sz w:val="20"/>
          <w:szCs w:val="20"/>
          <w:color w:val="auto"/>
        </w:rPr>
      </w:pPr>
    </w:p>
    <w:p>
      <w:pPr>
        <w:jc w:val="both"/>
        <w:ind w:left="360" w:firstLine="360"/>
        <w:spacing w:after="0" w:line="253" w:lineRule="auto"/>
        <w:rPr>
          <w:sz w:val="20"/>
          <w:szCs w:val="20"/>
          <w:color w:val="auto"/>
        </w:rPr>
      </w:pPr>
      <w:r>
        <w:rPr>
          <w:rFonts w:ascii="Arial" w:cs="Arial" w:eastAsia="Arial" w:hAnsi="Arial"/>
          <w:sz w:val="18"/>
          <w:szCs w:val="18"/>
          <w:color w:val="auto"/>
        </w:rPr>
        <w:t>2.  This Certificate of Amendment to the Amended and Restated Certificate of Incorporation of the Company was duly adopted in accordance with Section 242 of the General Corporation Law of the State of Delaware by the Board of Directors of the Company and the stockholders of the Company.</w:t>
      </w:r>
    </w:p>
    <w:p>
      <w:pPr>
        <w:spacing w:after="0" w:line="61" w:lineRule="exact"/>
        <w:rPr>
          <w:sz w:val="20"/>
          <w:szCs w:val="20"/>
          <w:color w:val="auto"/>
        </w:rPr>
      </w:pPr>
    </w:p>
    <w:p>
      <w:pPr>
        <w:ind w:left="360" w:right="300" w:firstLine="360"/>
        <w:spacing w:after="0" w:line="271" w:lineRule="auto"/>
        <w:rPr>
          <w:sz w:val="20"/>
          <w:szCs w:val="20"/>
          <w:color w:val="auto"/>
        </w:rPr>
      </w:pPr>
      <w:r>
        <w:rPr>
          <w:rFonts w:ascii="Arial" w:cs="Arial" w:eastAsia="Arial" w:hAnsi="Arial"/>
          <w:sz w:val="18"/>
          <w:szCs w:val="18"/>
          <w:color w:val="auto"/>
        </w:rPr>
        <w:t>3.  Section 1 of Article IX of the Company’s Amended and Restated Certificate of Incorporation is hereby amended and restated in its entirety to read as follows:</w:t>
      </w:r>
    </w:p>
    <w:p>
      <w:pPr>
        <w:spacing w:after="0" w:line="46" w:lineRule="exact"/>
        <w:rPr>
          <w:sz w:val="20"/>
          <w:szCs w:val="20"/>
          <w:color w:val="auto"/>
        </w:rPr>
      </w:pPr>
    </w:p>
    <w:p>
      <w:pPr>
        <w:ind w:left="720" w:right="100" w:firstLine="360"/>
        <w:spacing w:after="0" w:line="242" w:lineRule="auto"/>
        <w:rPr>
          <w:sz w:val="20"/>
          <w:szCs w:val="20"/>
          <w:color w:val="auto"/>
        </w:rPr>
      </w:pPr>
      <w:r>
        <w:rPr>
          <w:rFonts w:ascii="Arial" w:cs="Arial" w:eastAsia="Arial" w:hAnsi="Arial"/>
          <w:sz w:val="18"/>
          <w:szCs w:val="18"/>
          <w:color w:val="auto"/>
        </w:rPr>
        <w:t>“Section 1.  To the fullest extent permitted by the DGCL as the same exists or as may hereafter be amended from time to time, a director or officer of the Company shall not be personally liable to the Company or its stockholders for monetary damages for breach of fiduciary duty as a director or officer, as applicable. If the DGCL is amended to authorize corporate action further eliminating or limiting the personal liability of directors or officers, then the liability of a director or officer of the Company, as applicable, shall be eliminated or limited to the fullest extent permitted by the DGCL, as so amended.”</w:t>
      </w:r>
    </w:p>
    <w:p>
      <w:pPr>
        <w:spacing w:after="0" w:line="71" w:lineRule="exact"/>
        <w:rPr>
          <w:sz w:val="20"/>
          <w:szCs w:val="20"/>
          <w:color w:val="auto"/>
        </w:rPr>
      </w:pPr>
    </w:p>
    <w:p>
      <w:pPr>
        <w:ind w:right="40" w:firstLine="360"/>
        <w:spacing w:after="0" w:line="253" w:lineRule="auto"/>
        <w:rPr>
          <w:sz w:val="20"/>
          <w:szCs w:val="20"/>
          <w:color w:val="auto"/>
        </w:rPr>
      </w:pPr>
      <w:r>
        <w:rPr>
          <w:rFonts w:ascii="Arial" w:cs="Arial" w:eastAsia="Arial" w:hAnsi="Arial"/>
          <w:sz w:val="18"/>
          <w:szCs w:val="18"/>
          <w:color w:val="auto"/>
        </w:rPr>
        <w:t>IN WITNESS WHEREOF, the Company has caused this Certificate of Amendment to the Amended and Restated Certificate of Incorporation of the Company to be signed by a duly authorized officer of the Company, on       , 2024.</w:t>
      </w:r>
    </w:p>
    <w:p>
      <w:pPr>
        <w:spacing w:after="0" w:line="287"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3269615</wp:posOffset>
            </wp:positionH>
            <wp:positionV relativeFrom="paragraph">
              <wp:posOffset>49530</wp:posOffset>
            </wp:positionV>
            <wp:extent cx="27000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116"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[NAME]</w:t>
      </w:r>
    </w:p>
    <w:p>
      <w:pPr>
        <w:spacing w:after="0" w:line="109"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[TITLE]</w:t>
      </w:r>
    </w:p>
    <w:p>
      <w:pPr>
        <w:spacing w:after="0" w:line="325" w:lineRule="exact"/>
        <w:rPr>
          <w:sz w:val="20"/>
          <w:szCs w:val="20"/>
          <w:color w:val="auto"/>
        </w:rPr>
      </w:pPr>
    </w:p>
    <w:p>
      <w:pPr>
        <w:spacing w:after="0"/>
        <w:tabs>
          <w:tab w:leader="none" w:pos="4600" w:val="left"/>
          <w:tab w:leader="none" w:pos="7960" w:val="left"/>
        </w:tabs>
        <w:rPr>
          <w:sz w:val="20"/>
          <w:szCs w:val="20"/>
          <w:color w:val="auto"/>
        </w:rPr>
      </w:pPr>
      <w:r>
        <w:rPr>
          <w:rFonts w:ascii="Arial" w:cs="Arial" w:eastAsia="Arial" w:hAnsi="Arial"/>
          <w:sz w:val="14"/>
          <w:szCs w:val="14"/>
          <w:color w:val="255993"/>
        </w:rPr>
        <w:t>Athira Pharma, Inc.</w:t>
      </w:r>
      <w:r>
        <w:rPr>
          <w:sz w:val="20"/>
          <w:szCs w:val="20"/>
          <w:color w:val="auto"/>
        </w:rPr>
        <w:tab/>
      </w:r>
      <w:r>
        <w:rPr>
          <w:rFonts w:ascii="Arial" w:cs="Arial" w:eastAsia="Arial" w:hAnsi="Arial"/>
          <w:sz w:val="14"/>
          <w:szCs w:val="14"/>
          <w:b w:val="1"/>
          <w:bCs w:val="1"/>
          <w:color w:val="255993"/>
        </w:rPr>
        <w:t>49</w:t>
      </w:r>
      <w:r>
        <w:rPr>
          <w:sz w:val="20"/>
          <w:szCs w:val="20"/>
          <w:color w:val="auto"/>
        </w:rPr>
        <w:tab/>
      </w:r>
      <w:r>
        <w:rPr>
          <w:rFonts w:ascii="Arial" w:cs="Arial" w:eastAsia="Arial" w:hAnsi="Arial"/>
          <w:sz w:val="14"/>
          <w:szCs w:val="14"/>
          <w:color w:val="25599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118110</wp:posOffset>
            </wp:positionV>
            <wp:extent cx="69951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263" w:right="12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 </w:t>
      </w:r>
    </w:p>
    <w:sectPr>
      <w:pgSz w:w="11900" w:h="16838" w:orient="portrait"/>
      <w:cols w:equalWidth="0" w:num="1">
        <w:col w:w="10039"/>
      </w:cols>
      <w:pgMar w:left="42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bullet"/>
      <w:start w:val="1"/>
    </w:lvl>
  </w:abstractNum>
  <w:abstractNum w:abstractNumId="1">
    <w:nsid w:val="257130A3"/>
    <w:multiLevelType w:val="hybridMultilevel"/>
    <w:lvl w:ilvl="0">
      <w:lvlJc w:val="left"/>
      <w:lvlText w:val="2"/>
      <w:numFmt w:val="bullet"/>
      <w:start w:val="1"/>
    </w:lvl>
  </w:abstractNum>
  <w:abstractNum w:abstractNumId="2">
    <w:nsid w:val="62BBD95A"/>
    <w:multiLevelType w:val="hybridMultilevel"/>
    <w:lvl w:ilvl="0">
      <w:lvlJc w:val="left"/>
      <w:lvlText w:val="3"/>
      <w:numFmt w:val="bullet"/>
      <w:start w:val="1"/>
    </w:lvl>
  </w:abstractNum>
  <w:abstractNum w:abstractNumId="3">
    <w:nsid w:val="436C6125"/>
    <w:multiLevelType w:val="hybridMultilevel"/>
    <w:lvl w:ilvl="0">
      <w:lvlJc w:val="left"/>
      <w:lvlText w:val="4"/>
      <w:numFmt w:val="bullet"/>
      <w:start w:val="1"/>
    </w:lvl>
  </w:abstractNum>
  <w:abstractNum w:abstractNumId="4">
    <w:nsid w:val="628C895D"/>
    <w:multiLevelType w:val="hybridMultilevel"/>
    <w:lvl w:ilvl="0">
      <w:lvlJc w:val="left"/>
      <w:lvlText w:val="%1."/>
      <w:numFmt w:val="lowerLetter"/>
      <w:start w:val="75"/>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decimal"/>
      <w:start w:val="6"/>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decimal"/>
      <w:start w:val="11"/>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
      <w:numFmt w:val="bullet"/>
      <w:start w:val="1"/>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2024-03-28T08:00:47Z</dcterms:created>
  <dcterms:modified xsi:type="dcterms:W3CDTF">2024-03-28T08:00:47Z</dcterms:modified>
</cp:coreProperties>
</file>