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center"/>
        <w:rPr/>
      </w:pPr>
      <w:bookmarkStart w:id="0" w:name="atha-20230630.htm"/>
      <w:bookmarkStart w:id="1" w:name="ksatha20230630"/>
      <w:bookmarkEnd w:id="0"/>
      <w:bookmarkEnd w:id="1"/>
      <w:r>
        <w:rPr/>
        <w:t> </w:t>
      </w:r>
    </w:p>
    <w:p>
      <w:pPr>
        <w:pStyle w:val="TextBody"/>
        <w:bidi w:val="0"/>
        <w:spacing w:before="0" w:after="0"/>
        <w:jc w:val="center"/>
        <w:rPr>
          <w:rFonts w:ascii="Arial;sans-serif" w:hAnsi="Arial;sans-serif"/>
          <w:b/>
          <w:sz w:val="32"/>
        </w:rPr>
      </w:pPr>
      <w:r>
        <w:rPr>
          <w:rFonts w:ascii="Arial;sans-serif" w:hAnsi="Arial;sans-serif"/>
          <w:b/>
          <w:sz w:val="32"/>
        </w:rPr>
        <w:t>UNITED STATES</w:t>
      </w:r>
    </w:p>
    <w:p>
      <w:pPr>
        <w:pStyle w:val="TextBody"/>
        <w:bidi w:val="0"/>
        <w:spacing w:before="0" w:after="0"/>
        <w:jc w:val="center"/>
        <w:rPr>
          <w:rFonts w:ascii="Arial;sans-serif" w:hAnsi="Arial;sans-serif"/>
          <w:b/>
          <w:sz w:val="32"/>
        </w:rPr>
      </w:pPr>
      <w:r>
        <w:rPr>
          <w:rFonts w:ascii="Arial;sans-serif" w:hAnsi="Arial;sans-serif"/>
          <w:b/>
          <w:sz w:val="32"/>
        </w:rPr>
        <w:t>SECURITIES AND EXCHANGE COMMISSION</w:t>
      </w:r>
    </w:p>
    <w:p>
      <w:pPr>
        <w:pStyle w:val="TextBody"/>
        <w:bidi w:val="0"/>
        <w:spacing w:before="0" w:after="0"/>
        <w:jc w:val="center"/>
        <w:rPr>
          <w:rFonts w:ascii="Arial;sans-serif" w:hAnsi="Arial;sans-serif"/>
          <w:b/>
          <w:sz w:val="20"/>
        </w:rPr>
      </w:pPr>
      <w:r>
        <w:rPr>
          <w:rFonts w:ascii="Arial;sans-serif" w:hAnsi="Arial;sans-serif"/>
          <w:b/>
          <w:sz w:val="20"/>
        </w:rPr>
        <w:t>Washington, DC 20549</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32"/>
        </w:rPr>
        <w:t>FORM 10-Q</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2"/>
              </w:rPr>
            </w:pPr>
            <w:r>
              <w:rPr>
                <w:rFonts w:ascii="Arial;sans-serif" w:hAnsi="Arial;sans-serif"/>
                <w:b/>
                <w:sz w:val="22"/>
              </w:rPr>
              <w:t>QUARTERLY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For the quarterly period ended</w:t>
      </w:r>
      <w:r>
        <w:rPr>
          <w:rFonts w:ascii="Times New Roman" w:hAnsi="Times New Roman"/>
          <w:sz w:val="20"/>
        </w:rPr>
        <w:t xml:space="preserve"> </w:t>
      </w:r>
      <w:r>
        <w:rPr>
          <w:rFonts w:ascii="Arial;sans-serif" w:hAnsi="Arial;sans-serif"/>
          <w:b/>
          <w:sz w:val="20"/>
        </w:rPr>
        <w:t>June 30, 2023</w:t>
      </w:r>
    </w:p>
    <w:p>
      <w:pPr>
        <w:pStyle w:val="TextBody"/>
        <w:bidi w:val="0"/>
        <w:spacing w:before="0" w:after="0"/>
        <w:jc w:val="center"/>
        <w:rPr/>
      </w:pPr>
      <w:r>
        <w:rPr/>
        <w:t> </w:t>
      </w:r>
    </w:p>
    <w:p>
      <w:pPr>
        <w:pStyle w:val="TextBody"/>
        <w:bidi w:val="0"/>
        <w:spacing w:before="0" w:after="0"/>
        <w:jc w:val="center"/>
        <w:rPr>
          <w:rFonts w:ascii="Arial;sans-serif" w:hAnsi="Arial;sans-serif"/>
          <w:b/>
          <w:sz w:val="20"/>
        </w:rPr>
      </w:pPr>
      <w:r>
        <w:rPr>
          <w:rFonts w:ascii="Arial;sans-serif" w:hAnsi="Arial;sans-serif"/>
          <w:b/>
          <w:sz w:val="20"/>
        </w:rPr>
        <w:t>OR</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2"/>
              </w:rPr>
            </w:pPr>
            <w:r>
              <w:rPr>
                <w:rFonts w:ascii="Arial;sans-serif" w:hAnsi="Arial;sans-serif"/>
                <w:b/>
                <w:sz w:val="22"/>
              </w:rPr>
              <w:t>TRANSITION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For the transition period from ____ to ____</w:t>
      </w:r>
    </w:p>
    <w:p>
      <w:pPr>
        <w:pStyle w:val="TextBody"/>
        <w:bidi w:val="0"/>
        <w:spacing w:before="60" w:after="0"/>
        <w:jc w:val="center"/>
        <w:rPr>
          <w:rFonts w:ascii="Times New Roman" w:hAnsi="Times New Roman"/>
          <w:sz w:val="20"/>
        </w:rPr>
      </w:pPr>
      <w:r>
        <w:rPr>
          <w:rFonts w:ascii="Arial;sans-serif" w:hAnsi="Arial;sans-serif"/>
          <w:b/>
          <w:sz w:val="20"/>
        </w:rPr>
        <w:t>Commission File Number: 001-39503</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 w:hAnsi="Times New Roman"/>
          <w:sz w:val="20"/>
        </w:rPr>
      </w:pPr>
      <w:r>
        <w:rPr>
          <w:rFonts w:ascii="Arial;sans-serif" w:hAnsi="Arial;sans-serif"/>
          <w:b/>
          <w:sz w:val="40"/>
        </w:rPr>
        <w:t>Athira Pharma, Inc.</w:t>
      </w:r>
      <w:r>
        <w:rPr>
          <w:rFonts w:ascii="Times New Roman" w:hAnsi="Times New Roman"/>
          <w:sz w:val="20"/>
        </w:rPr>
        <w:t xml:space="preserve"> </w:t>
      </w:r>
    </w:p>
    <w:p>
      <w:pPr>
        <w:pStyle w:val="TextBody"/>
        <w:bidi w:val="0"/>
        <w:spacing w:before="0" w:after="0"/>
        <w:jc w:val="center"/>
        <w:rPr>
          <w:rFonts w:ascii="Arial;sans-serif" w:hAnsi="Arial;sans-serif"/>
          <w:b/>
          <w:sz w:val="20"/>
        </w:rPr>
      </w:pPr>
      <w:r>
        <w:rPr>
          <w:rFonts w:ascii="Arial;sans-serif" w:hAnsi="Arial;sans-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Delaware</w:t>
            </w:r>
          </w:p>
        </w:tc>
        <w:tc>
          <w:tcPr>
            <w:tcW w:w="157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45-3368487</w:t>
            </w:r>
          </w:p>
        </w:tc>
      </w:tr>
      <w:tr>
        <w:trPr/>
        <w:tc>
          <w:tcPr>
            <w:tcW w:w="252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(State or other jurisdiction of</w:t>
              <w:br/>
              <w:t>incorporation or organization)</w:t>
            </w:r>
          </w:p>
        </w:tc>
        <w:tc>
          <w:tcPr>
            <w:tcW w:w="157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(I.R.S. Employer</w:t>
              <w:br/>
              <w:t>Identification No.)</w:t>
            </w:r>
          </w:p>
        </w:tc>
      </w:tr>
    </w:tbl>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18706 North Creek Parkway, Suite 104</w:t>
      </w:r>
    </w:p>
    <w:p>
      <w:pPr>
        <w:pStyle w:val="TextBody"/>
        <w:bidi w:val="0"/>
        <w:spacing w:before="0" w:after="0"/>
        <w:jc w:val="center"/>
        <w:rPr>
          <w:rFonts w:ascii="Times New Roman" w:hAnsi="Times New Roman"/>
          <w:sz w:val="20"/>
        </w:rPr>
      </w:pPr>
      <w:r>
        <w:rPr>
          <w:rFonts w:ascii="Arial;sans-serif" w:hAnsi="Arial;sans-serif"/>
          <w:b/>
          <w:sz w:val="20"/>
        </w:rPr>
        <w:t>Bothell, Washington</w:t>
      </w:r>
      <w:r>
        <w:rPr>
          <w:rFonts w:ascii="Times New Roman" w:hAnsi="Times New Roman"/>
          <w:sz w:val="20"/>
        </w:rPr>
        <w:t xml:space="preserve"> </w:t>
      </w:r>
      <w:r>
        <w:rPr>
          <w:rFonts w:ascii="Arial;sans-serif" w:hAnsi="Arial;sans-serif"/>
          <w:b/>
          <w:sz w:val="20"/>
        </w:rPr>
        <w:t>98011</w:t>
      </w:r>
    </w:p>
    <w:p>
      <w:pPr>
        <w:pStyle w:val="TextBody"/>
        <w:bidi w:val="0"/>
        <w:spacing w:before="0" w:after="0"/>
        <w:jc w:val="center"/>
        <w:rPr>
          <w:rFonts w:ascii="Arial;sans-serif" w:hAnsi="Arial;sans-serif"/>
          <w:b/>
          <w:sz w:val="16"/>
        </w:rPr>
      </w:pPr>
      <w:r>
        <w:rPr>
          <w:rFonts w:ascii="Arial;sans-serif" w:hAnsi="Arial;sans-serif"/>
          <w:b/>
          <w:sz w:val="16"/>
        </w:rPr>
        <w:t>(Address of principal executive offices)</w:t>
      </w:r>
    </w:p>
    <w:p>
      <w:pPr>
        <w:pStyle w:val="TextBody"/>
        <w:bidi w:val="0"/>
        <w:spacing w:before="0" w:after="0"/>
        <w:jc w:val="center"/>
        <w:rPr>
          <w:rFonts w:ascii="Times New Roman" w:hAnsi="Times New Roman"/>
          <w:sz w:val="20"/>
        </w:rPr>
      </w:pPr>
      <w:r>
        <w:rPr>
          <w:rFonts w:ascii="Arial;sans-serif" w:hAnsi="Arial;sans-serif"/>
          <w:b/>
          <w:sz w:val="20"/>
        </w:rPr>
        <w:t>(425) 620-8501</w:t>
      </w:r>
      <w:r>
        <w:rPr>
          <w:rFonts w:ascii="Times New Roman" w:hAnsi="Times New Roman"/>
          <w:sz w:val="20"/>
        </w:rPr>
        <w:t xml:space="preserve"> </w:t>
      </w:r>
    </w:p>
    <w:p>
      <w:pPr>
        <w:pStyle w:val="TextBody"/>
        <w:bidi w:val="0"/>
        <w:spacing w:before="0" w:after="0"/>
        <w:jc w:val="center"/>
        <w:rPr>
          <w:rFonts w:ascii="Arial;sans-serif" w:hAnsi="Arial;sans-serif"/>
          <w:b/>
          <w:sz w:val="16"/>
        </w:rPr>
      </w:pPr>
      <w:r>
        <w:rPr>
          <w:rFonts w:ascii="Arial;sans-serif" w:hAnsi="Arial;sans-serif"/>
          <w:b/>
          <w:sz w:val="16"/>
        </w:rPr>
        <w:t>(Registrant’s telephone number, including area code)</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Arial;sans-serif" w:hAnsi="Arial;sans-serif"/>
          <w:b w:val="false"/>
          <w:sz w:val="20"/>
        </w:rPr>
      </w:pPr>
      <w:r>
        <w:rPr>
          <w:rFonts w:ascii="Arial;sans-serif" w:hAnsi="Arial;sans-serif"/>
          <w:b w:val="false"/>
          <w:sz w:val="20"/>
        </w:rPr>
        <w:t>Securities registered pursuant to Section 12(b) of the Act:</w:t>
      </w:r>
    </w:p>
    <w:p>
      <w:pPr>
        <w:pStyle w:val="TextBody"/>
        <w:bidi w:val="0"/>
        <w:spacing w:before="0" w:after="0"/>
        <w:jc w:val="left"/>
        <w:rPr/>
      </w:pPr>
      <w:r>
        <w:rPr/>
        <w:t> </w:t>
      </w:r>
    </w:p>
    <w:tbl>
      <w:tblPr>
        <w:tblW w:w="9243" w:type="dxa"/>
        <w:jc w:val="left"/>
        <w:tblInd w:w="0" w:type="dxa"/>
        <w:tblLayout w:type="fixed"/>
        <w:tblCellMar>
          <w:top w:w="28" w:type="dxa"/>
          <w:left w:w="28" w:type="dxa"/>
          <w:bottom w:w="28" w:type="dxa"/>
          <w:right w:w="28" w:type="dxa"/>
        </w:tblCellMar>
      </w:tblPr>
      <w:tblGrid>
        <w:gridCol w:w="4006"/>
        <w:gridCol w:w="1576"/>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Title of each class</w:t>
            </w:r>
          </w:p>
        </w:tc>
        <w:tc>
          <w:tcPr>
            <w:tcW w:w="157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Trading Symbol(s)</w:t>
            </w:r>
          </w:p>
        </w:tc>
        <w:tc>
          <w:tcPr>
            <w:tcW w:w="3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Common Stock, $0.0001 par value per share</w:t>
            </w:r>
          </w:p>
        </w:tc>
        <w:tc>
          <w:tcPr>
            <w:tcW w:w="157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ATHA</w:t>
            </w:r>
          </w:p>
        </w:tc>
        <w:tc>
          <w:tcPr>
            <w:tcW w:w="3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The Nasdaq Stock Market LLC</w:t>
            </w:r>
          </w:p>
        </w:tc>
      </w:tr>
      <w:tr>
        <w:trPr/>
        <w:tc>
          <w:tcPr>
            <w:tcW w:w="40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57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(The Nasdaq Global Select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sans-serif" w:hAnsi="Arial;sans-serif"/>
          <w:b w:val="false"/>
          <w:sz w:val="20"/>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Arial;sans-serif" w:hAnsi="Arial;sans-serif"/>
          <w:b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20"/>
        </w:rPr>
        <w:t xml:space="preserve">No </w:t>
      </w:r>
      <w:r>
        <w:rPr>
          <w:rFonts w:ascii="Times New Roman" w:hAnsi="Times New Roman"/>
          <w:sz w:val="20"/>
        </w:rPr>
        <w:t>☐</w:t>
      </w:r>
    </w:p>
    <w:p>
      <w:pPr>
        <w:pStyle w:val="TextBody"/>
        <w:bidi w:val="0"/>
        <w:spacing w:before="120" w:after="0"/>
        <w:jc w:val="left"/>
        <w:rPr>
          <w:rFonts w:ascii="Arial;sans-serif" w:hAnsi="Arial;sans-serif"/>
          <w:b w:val="false"/>
          <w:sz w:val="20"/>
        </w:rPr>
      </w:pPr>
      <w:r>
        <w:rPr>
          <w:rFonts w:ascii="Arial;sans-serif" w:hAnsi="Arial;sans-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539" w:type="dxa"/>
        <w:jc w:val="left"/>
        <w:tblInd w:w="0" w:type="dxa"/>
        <w:tblLayout w:type="fixed"/>
        <w:tblCellMar>
          <w:top w:w="28" w:type="dxa"/>
          <w:left w:w="28" w:type="dxa"/>
          <w:bottom w:w="28" w:type="dxa"/>
          <w:right w:w="28" w:type="dxa"/>
        </w:tblCellMar>
      </w:tblPr>
      <w:tblGrid>
        <w:gridCol w:w="2431"/>
        <w:gridCol w:w="31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24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Accelerated filer</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pPr>
            <w:r>
              <w:rPr/>
              <w:t>☐</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24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right"/>
              <w:rPr/>
            </w:pPr>
            <w:r>
              <w:rPr/>
              <w:t>☒</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24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120" w:after="0"/>
        <w:jc w:val="left"/>
        <w:rPr>
          <w:rFonts w:ascii="Times New Roman" w:hAnsi="Times New Roman"/>
          <w:sz w:val="20"/>
        </w:rPr>
      </w:pPr>
      <w:r>
        <w:rPr>
          <w:rFonts w:ascii="Arial;sans-serif" w:hAnsi="Arial;sans-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Arial;sans-serif" w:hAnsi="Arial;sans-serif"/>
          <w:b w:val="false"/>
          <w:sz w:val="20"/>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Arial;sans-serif" w:hAnsi="Arial;sans-serif"/>
          <w:b w:val="false"/>
          <w:sz w:val="18"/>
        </w:rPr>
        <w:t>As of August 7, 2023, there were 38,054,583</w:t>
      </w:r>
      <w:r>
        <w:rPr>
          <w:rFonts w:ascii="Times New Roman" w:hAnsi="Times New Roman"/>
          <w:sz w:val="20"/>
        </w:rPr>
        <w:t xml:space="preserve"> </w:t>
      </w:r>
      <w:r>
        <w:rPr>
          <w:rFonts w:ascii="Arial;sans-serif" w:hAnsi="Arial;sans-serif"/>
          <w:b w:val="false"/>
          <w:sz w:val="18"/>
        </w:rPr>
        <w:t>shares of registrant’s common stock, $0.0001 par value per share, outstanding.</w:t>
      </w:r>
    </w:p>
    <w:p>
      <w:pPr>
        <w:pStyle w:val="TextBody"/>
        <w:pBdr>
          <w:bottom w:val="double" w:sz="6" w:space="1" w:color="000000"/>
        </w:pBdr>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Table of Contents</w:t>
      </w:r>
    </w:p>
    <w:p>
      <w:pPr>
        <w:pStyle w:val="TextBody"/>
        <w:bidi w:val="0"/>
        <w:spacing w:before="0" w:after="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PART I.</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Arial;sans-serif" w:hAnsi="Arial;sans-serif"/>
                  <w:b w:val="false"/>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_unaudited">
              <w:r>
                <w:rPr>
                  <w:rStyle w:val="InternetLink"/>
                  <w:rFonts w:ascii="Arial;sans-serif" w:hAnsi="Arial;sans-serif"/>
                  <w:b w:val="false"/>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balance_sheets">
              <w:r>
                <w:rPr>
                  <w:rStyle w:val="InternetLink"/>
                  <w:rFonts w:ascii="Arial;sans-serif" w:hAnsi="Arial;sans-serif"/>
                  <w:b w:val="false"/>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operat">
              <w:r>
                <w:rPr>
                  <w:rStyle w:val="InternetLink"/>
                  <w:rFonts w:ascii="Arial;sans-serif" w:hAnsi="Arial;sans-serif"/>
                  <w:b w:val="false"/>
                  <w:sz w:val="20"/>
                  <w:u w:val="single"/>
                </w:rPr>
                <w:t>Condensed Consolidated Statements of Operations and Comprehensive Loss</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equity">
              <w:r>
                <w:rPr>
                  <w:rStyle w:val="InternetLink"/>
                  <w:rFonts w:ascii="Arial;sans-serif" w:hAnsi="Arial;sans-serif"/>
                  <w:b w:val="false"/>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7</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ash_f">
              <w:r>
                <w:rPr>
                  <w:rStyle w:val="InternetLink"/>
                  <w:rFonts w:ascii="Arial;sans-serif" w:hAnsi="Arial;sans-serif"/>
                  <w:b w:val="false"/>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9</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unaudited_condensed_consolidate">
              <w:r>
                <w:rPr>
                  <w:rStyle w:val="InternetLink"/>
                  <w:rFonts w:ascii="Arial;sans-serif" w:hAnsi="Arial;sans-serif"/>
                  <w:b w:val="false"/>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Arial;sans-serif" w:hAnsi="Arial;sans-serif"/>
                  <w:b w:val="false"/>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
              <w:r>
                <w:rPr>
                  <w:rStyle w:val="InternetLink"/>
                  <w:rFonts w:ascii="Arial;sans-serif" w:hAnsi="Arial;sans-serif"/>
                  <w:b w:val="false"/>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Arial;sans-serif" w:hAnsi="Arial;sans-serif"/>
                  <w:b w:val="false"/>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PART II.</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Arial;sans-serif" w:hAnsi="Arial;sans-serif"/>
                  <w:b w:val="false"/>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Arial;sans-serif" w:hAnsi="Arial;sans-serif"/>
                  <w:b w:val="false"/>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1A.</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Arial;sans-serif" w:hAnsi="Arial;sans-serif"/>
                  <w:b w:val="false"/>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Arial;sans-serif" w:hAnsi="Arial;sans-serif"/>
                  <w:b w:val="false"/>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Arial;sans-serif" w:hAnsi="Arial;sans-serif"/>
                  <w:b w:val="false"/>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Arial;sans-serif" w:hAnsi="Arial;sans-serif"/>
                  <w:b w:val="false"/>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5.</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Arial;sans-serif" w:hAnsi="Arial;sans-serif"/>
                  <w:b w:val="false"/>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6.</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Arial;sans-serif" w:hAnsi="Arial;sans-serif"/>
                  <w:b w:val="false"/>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w:t>
            </w:r>
          </w:p>
        </w:tc>
      </w:tr>
      <w:tr>
        <w:trPr/>
        <w:tc>
          <w:tcPr>
            <w:tcW w:w="873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Arial;sans-serif" w:hAnsi="Arial;sans-serif"/>
                  <w:b w:val="false"/>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97</w:t>
            </w:r>
          </w:p>
        </w:tc>
      </w:tr>
    </w:tbl>
    <w:p>
      <w:pPr>
        <w:pStyle w:val="TextBody"/>
        <w:bidi w:val="0"/>
        <w:spacing w:before="0" w:after="0"/>
        <w:jc w:val="left"/>
        <w:rPr/>
      </w:pPr>
      <w:r>
        <w:rPr/>
        <w:t> </w:t>
      </w:r>
    </w:p>
    <w:p>
      <w:pPr>
        <w:pStyle w:val="TextBody"/>
        <w:bidi w:val="0"/>
        <w:spacing w:before="0" w:after="0"/>
        <w:jc w:val="both"/>
        <w:rPr>
          <w:rFonts w:ascii="Arial;sans-serif" w:hAnsi="Arial;sans-serif"/>
          <w:b w:val="false"/>
          <w:i/>
          <w:sz w:val="20"/>
        </w:rPr>
      </w:pPr>
      <w:r>
        <w:rPr>
          <w:rFonts w:ascii="Arial;sans-serif" w:hAnsi="Arial;sans-serif"/>
          <w:b w:val="false"/>
          <w:i/>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Arial;sans-serif" w:hAnsi="Arial;sans-serif"/>
          <w:b/>
          <w:sz w:val="20"/>
        </w:rPr>
      </w:pPr>
      <w:r>
        <w:rPr>
          <w:rFonts w:ascii="Arial;sans-serif" w:hAnsi="Arial;sans-serif"/>
          <w:b/>
          <w:sz w:val="20"/>
        </w:rPr>
        <w:t>SUMMARY RISK FACTORS</w:t>
      </w:r>
    </w:p>
    <w:p>
      <w:pPr>
        <w:pStyle w:val="TextBody"/>
        <w:bidi w:val="0"/>
        <w:spacing w:before="0" w:after="0"/>
        <w:jc w:val="both"/>
        <w:rPr/>
      </w:pPr>
      <w:r>
        <w:rPr/>
        <w:t> </w:t>
      </w:r>
    </w:p>
    <w:p>
      <w:pPr>
        <w:pStyle w:val="TextBody"/>
        <w:bidi w:val="0"/>
        <w:spacing w:before="80" w:after="0"/>
        <w:jc w:val="both"/>
        <w:rPr>
          <w:rFonts w:ascii="Times New Roman" w:hAnsi="Times New Roman"/>
          <w:sz w:val="20"/>
        </w:rPr>
      </w:pPr>
      <w:r>
        <w:rPr>
          <w:rFonts w:ascii="Arial;sans-serif" w:hAnsi="Arial;sans-serif"/>
          <w:b w:val="false"/>
          <w:sz w:val="20"/>
        </w:rPr>
        <w:t>Our business is subject to numerous risks and uncertainties, including those highlighted in the section of this report captioned “Risk Factors.” The following is a summary of the principal risks we face: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We are a late clinical-stage biopharmaceutical company with a limited operating history.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generate revenue and achieve profitability depends significantly on our ability to achieve a number of objectives.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development of fosgonimeton may never lead to a marketable product.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have concentrated our research and development efforts on the treatment of central and peripheral nervous system degenerative disorders, a field that has seen very limited success in product development.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An independent special committee of our board of directors engaged in a review of papers co-authored by our former chief executive officer in connection with her doctoral research at Washington State University, or WSU.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If we experience delays or difficulties in the enrollment or retention of patients in clinical trials, our regulatory submissions or receipt of necessary marketing approvals could be delayed or prevented.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loss of any of our key personnel could significantly harm our business, results of operations and competitive position.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potential effects of health epidemics, including the novel coronavirus disease, or COVID-19, pandemic, could adversely impact our business, including our nonclinical studies and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have incurred significant losses since our inception and anticipate that we will continue to incur significant losses for the foreseeable future.</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 </w:t>
      </w:r>
    </w:p>
    <w:p>
      <w:pPr>
        <w:pStyle w:val="TextBody"/>
        <w:bidi w:val="0"/>
        <w:spacing w:before="240" w:after="0"/>
        <w:jc w:val="center"/>
        <w:rPr>
          <w:rFonts w:ascii="Arial;sans-serif" w:hAnsi="Arial;sans-serif"/>
          <w:b w:val="false"/>
          <w:sz w:val="20"/>
        </w:rPr>
      </w:pPr>
      <w:r>
        <w:rPr>
          <w:rFonts w:ascii="Arial;sans-serif" w:hAnsi="Arial;sans-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products.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Even if approved, our product candidates may not achieve adequate market acceptance among physicians, patients, healthcare payors and others in the medical community necessary for commercial success.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success depends on our ability to protect our intellectual property and our proprietary technologies.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market price of our common stock has been and may continue to be volatile, which could result in substantial losses for investors.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and certain of our directors and executive officers have been, and may in the future be, named as defendants in lawsuits that could result in substantial costs and divert management’s attention.</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Actions by activist stockholders have in the past been, and may in the future be, disruptive and could cause uncertainty about the strategic direction of our business.</w:t>
      </w:r>
    </w:p>
    <w:p>
      <w:pPr>
        <w:pStyle w:val="TextBody"/>
        <w:bidi w:val="0"/>
        <w:spacing w:before="280" w:after="0"/>
        <w:jc w:val="both"/>
        <w:rPr>
          <w:rFonts w:ascii="Times New Roman" w:hAnsi="Times New Roman"/>
          <w:sz w:val="20"/>
        </w:rPr>
      </w:pPr>
      <w:r>
        <w:rPr>
          <w:rFonts w:ascii="Arial;sans-serif" w:hAnsi="Arial;sans-serif"/>
          <w:b w:val="false"/>
          <w:sz w:val="20"/>
        </w:rPr>
        <w:t>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bookmarkStart w:id="2" w:name="part_ifinancial_information"/>
      <w:bookmarkEnd w:id="2"/>
      <w:r>
        <w:rPr>
          <w:rFonts w:ascii="Arial;sans-serif" w:hAnsi="Arial;sans-serif"/>
          <w:b/>
          <w:sz w:val="20"/>
        </w:rPr>
        <w:t>PART I—FINANCIAL INFORMATION</w:t>
      </w:r>
    </w:p>
    <w:p>
      <w:pPr>
        <w:pStyle w:val="TextBody"/>
        <w:bidi w:val="0"/>
        <w:spacing w:before="360" w:after="0"/>
        <w:jc w:val="left"/>
        <w:rPr>
          <w:rFonts w:ascii="Arial;sans-serif" w:hAnsi="Arial;sans-serif"/>
          <w:b/>
          <w:sz w:val="20"/>
        </w:rPr>
      </w:pPr>
      <w:bookmarkStart w:id="3" w:name="item_1_financial_statements_unaudited"/>
      <w:bookmarkEnd w:id="3"/>
      <w:r>
        <w:rPr>
          <w:rFonts w:ascii="Arial;sans-serif" w:hAnsi="Arial;sans-serif"/>
          <w:b/>
          <w:sz w:val="20"/>
        </w:rPr>
        <w:t>Item 1. Financial Statements (Unaudited)</w:t>
      </w:r>
    </w:p>
    <w:p>
      <w:pPr>
        <w:pStyle w:val="TextBody"/>
        <w:bidi w:val="0"/>
        <w:spacing w:before="36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Arial;sans-serif" w:hAnsi="Arial;sans-serif"/>
          <w:b/>
          <w:sz w:val="20"/>
        </w:rPr>
      </w:pPr>
      <w:bookmarkStart w:id="4" w:name="condensed_consolidated_balance_sheets"/>
      <w:bookmarkEnd w:id="4"/>
      <w:r>
        <w:rPr>
          <w:rFonts w:ascii="Arial;sans-serif" w:hAnsi="Arial;sans-serif"/>
          <w:b/>
          <w:sz w:val="20"/>
        </w:rPr>
        <w:t>Condensed Consolidated Balance Sheets</w:t>
      </w:r>
    </w:p>
    <w:p>
      <w:pPr>
        <w:pStyle w:val="TextBody"/>
        <w:bidi w:val="0"/>
        <w:spacing w:before="0" w:after="0"/>
        <w:jc w:val="center"/>
        <w:rPr>
          <w:rFonts w:ascii="Arial;sans-serif" w:hAnsi="Arial;sans-serif"/>
          <w:b/>
          <w:sz w:val="20"/>
        </w:rPr>
      </w:pPr>
      <w:r>
        <w:rPr>
          <w:rFonts w:ascii="Arial;sans-serif" w:hAnsi="Arial;sans-serif"/>
          <w:b/>
          <w:sz w:val="20"/>
        </w:rPr>
        <w:t>(in thousands, except share and per share amounts)</w:t>
      </w:r>
    </w:p>
    <w:p>
      <w:pPr>
        <w:pStyle w:val="TextBody"/>
        <w:bidi w:val="0"/>
        <w:spacing w:before="0" w:after="0"/>
        <w:jc w:val="left"/>
        <w:rPr/>
      </w:pPr>
      <w:r>
        <w:rPr/>
        <w:t> </w:t>
      </w:r>
    </w:p>
    <w:tbl>
      <w:tblPr>
        <w:tblW w:w="9630" w:type="dxa"/>
        <w:jc w:val="left"/>
        <w:tblInd w:w="0" w:type="dxa"/>
        <w:tblLayout w:type="fixed"/>
        <w:tblCellMar>
          <w:top w:w="28" w:type="dxa"/>
          <w:left w:w="28" w:type="dxa"/>
          <w:bottom w:w="28" w:type="dxa"/>
          <w:right w:w="28" w:type="dxa"/>
        </w:tblCellMar>
      </w:tblPr>
      <w:tblGrid>
        <w:gridCol w:w="5071"/>
        <w:gridCol w:w="146"/>
        <w:gridCol w:w="279"/>
        <w:gridCol w:w="1131"/>
        <w:gridCol w:w="166"/>
        <w:gridCol w:w="146"/>
        <w:gridCol w:w="379"/>
        <w:gridCol w:w="1541"/>
        <w:gridCol w:w="77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0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Helvetica LT Pro;sans-serif" w:hAnsi="Helvetica LT Pro;sans-serif"/>
                <w:b/>
                <w:sz w:val="16"/>
              </w:rPr>
            </w:pPr>
            <w:r>
              <w:rPr>
                <w:rFonts w:ascii="Helvetica LT Pro;sans-serif" w:hAnsi="Helvetica LT Pro;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Helvetica LT Pro;sans-serif" w:hAnsi="Helvetica LT Pro;sans-serif"/>
                <w:b/>
                <w:sz w:val="16"/>
              </w:rPr>
            </w:pPr>
            <w:r>
              <w:rPr>
                <w:rFonts w:ascii="Helvetica LT Pro;sans-serif" w:hAnsi="Helvetica LT Pro;sans-serif"/>
                <w:b/>
                <w:sz w:val="16"/>
              </w:rPr>
              <w:t>December 31, 2022</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1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20" w:type="dxa"/>
            <w:gridSpan w:val="2"/>
            <w:tcBorders/>
            <w:vAlign w:val="center"/>
          </w:tcPr>
          <w:p>
            <w:pPr>
              <w:pStyle w:val="TableContents"/>
              <w:bidi w:val="0"/>
              <w:spacing w:before="0" w:after="0"/>
              <w:ind w:left="0" w:right="0" w:hanging="0"/>
              <w:jc w:val="center"/>
              <w:rPr/>
            </w:pPr>
            <w:r>
              <w:rPr/>
              <w:t> </w:t>
            </w:r>
          </w:p>
        </w:tc>
        <w:tc>
          <w:tcPr>
            <w:tcW w:w="771" w:type="dxa"/>
            <w:tcBorders/>
            <w:vAlign w:val="center"/>
          </w:tcPr>
          <w:p>
            <w:pPr>
              <w:pStyle w:val="TableContents"/>
              <w:bidi w:val="0"/>
              <w:spacing w:before="0" w:after="0"/>
              <w:ind w:left="0" w:right="0" w:hanging="0"/>
              <w:jc w:val="center"/>
              <w:rPr/>
            </w:pPr>
            <w:r>
              <w:rPr/>
              <w:t> </w:t>
            </w:r>
          </w:p>
        </w:tc>
      </w:tr>
      <w:tr>
        <w:trPr/>
        <w:tc>
          <w:tcPr>
            <w:tcW w:w="5071"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Assets</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hanging="0"/>
              <w:jc w:val="right"/>
              <w:rPr/>
            </w:pPr>
            <w:r>
              <w:rPr/>
              <w:t> </w:t>
            </w:r>
          </w:p>
        </w:tc>
      </w:tr>
      <w:tr>
        <w:trPr/>
        <w:tc>
          <w:tcPr>
            <w:tcW w:w="50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firstLine="280"/>
              <w:jc w:val="right"/>
              <w:rPr/>
            </w:pPr>
            <w:r>
              <w:rPr/>
              <w:t> </w:t>
            </w:r>
          </w:p>
        </w:tc>
      </w:tr>
      <w:tr>
        <w:trPr/>
        <w:tc>
          <w:tcPr>
            <w:tcW w:w="50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113,628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95,966</w:t>
            </w:r>
          </w:p>
        </w:tc>
        <w:tc>
          <w:tcPr>
            <w:tcW w:w="771" w:type="dxa"/>
            <w:tcBorders/>
            <w:vAlign w:val="center"/>
          </w:tcPr>
          <w:p>
            <w:pPr>
              <w:pStyle w:val="TableContents"/>
              <w:bidi w:val="0"/>
              <w:spacing w:before="0" w:after="0"/>
              <w:ind w:left="0" w:right="0" w:firstLine="280"/>
              <w:jc w:val="left"/>
              <w:rPr/>
            </w:pPr>
            <w:r>
              <w:rPr/>
              <w:t> </w:t>
            </w:r>
          </w:p>
        </w:tc>
      </w:tr>
      <w:tr>
        <w:trPr/>
        <w:tc>
          <w:tcPr>
            <w:tcW w:w="50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72,462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104,378</w:t>
            </w:r>
          </w:p>
        </w:tc>
        <w:tc>
          <w:tcPr>
            <w:tcW w:w="771" w:type="dxa"/>
            <w:tcBorders/>
            <w:vAlign w:val="center"/>
          </w:tcPr>
          <w:p>
            <w:pPr>
              <w:pStyle w:val="TableContents"/>
              <w:bidi w:val="0"/>
              <w:spacing w:before="0" w:after="0"/>
              <w:ind w:left="0" w:right="0" w:firstLine="280"/>
              <w:jc w:val="left"/>
              <w:rPr/>
            </w:pPr>
            <w:r>
              <w:rPr/>
              <w:t> </w:t>
            </w:r>
          </w:p>
        </w:tc>
      </w:tr>
      <w:tr>
        <w:trPr/>
        <w:tc>
          <w:tcPr>
            <w:tcW w:w="50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Unbilled grant receivable</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1,227</w:t>
            </w:r>
          </w:p>
        </w:tc>
        <w:tc>
          <w:tcPr>
            <w:tcW w:w="771" w:type="dxa"/>
            <w:tcBorders/>
            <w:vAlign w:val="center"/>
          </w:tcPr>
          <w:p>
            <w:pPr>
              <w:pStyle w:val="TableContents"/>
              <w:bidi w:val="0"/>
              <w:spacing w:before="0" w:after="0"/>
              <w:ind w:left="0" w:right="0" w:firstLine="280"/>
              <w:jc w:val="left"/>
              <w:rPr/>
            </w:pPr>
            <w:r>
              <w:rPr/>
              <w:t> </w:t>
            </w:r>
          </w:p>
        </w:tc>
      </w:tr>
      <w:tr>
        <w:trPr/>
        <w:tc>
          <w:tcPr>
            <w:tcW w:w="50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5,962</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07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192,133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207,533</w:t>
            </w:r>
          </w:p>
        </w:tc>
        <w:tc>
          <w:tcPr>
            <w:tcW w:w="77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420</w:t>
            </w:r>
          </w:p>
        </w:tc>
        <w:tc>
          <w:tcPr>
            <w:tcW w:w="77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4,053</w:t>
            </w:r>
          </w:p>
        </w:tc>
        <w:tc>
          <w:tcPr>
            <w:tcW w:w="77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 right-of-use asset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1,263</w:t>
            </w:r>
          </w:p>
        </w:tc>
        <w:tc>
          <w:tcPr>
            <w:tcW w:w="77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10,217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44,829</w:t>
            </w:r>
          </w:p>
        </w:tc>
        <w:tc>
          <w:tcPr>
            <w:tcW w:w="77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07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208,048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258,153</w:t>
            </w:r>
          </w:p>
        </w:tc>
        <w:tc>
          <w:tcPr>
            <w:tcW w:w="7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hanging="0"/>
              <w:jc w:val="right"/>
              <w:rPr/>
            </w:pPr>
            <w:r>
              <w:rPr/>
              <w:t> </w:t>
            </w:r>
          </w:p>
        </w:tc>
      </w:tr>
      <w:tr>
        <w:trPr/>
        <w:tc>
          <w:tcPr>
            <w:tcW w:w="50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firstLine="280"/>
              <w:jc w:val="right"/>
              <w:rPr/>
            </w:pPr>
            <w:r>
              <w:rPr/>
              <w:t> </w:t>
            </w:r>
          </w:p>
        </w:tc>
      </w:tr>
      <w:tr>
        <w:trPr/>
        <w:tc>
          <w:tcPr>
            <w:tcW w:w="50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2,501</w:t>
            </w:r>
          </w:p>
        </w:tc>
        <w:tc>
          <w:tcPr>
            <w:tcW w:w="771" w:type="dxa"/>
            <w:tcBorders/>
            <w:vAlign w:val="center"/>
          </w:tcPr>
          <w:p>
            <w:pPr>
              <w:pStyle w:val="TableContents"/>
              <w:bidi w:val="0"/>
              <w:spacing w:before="0" w:after="0"/>
              <w:ind w:left="0" w:right="0" w:firstLine="280"/>
              <w:jc w:val="left"/>
              <w:rPr/>
            </w:pPr>
            <w:r>
              <w:rPr/>
              <w:t> </w:t>
            </w:r>
          </w:p>
        </w:tc>
      </w:tr>
      <w:tr>
        <w:trPr/>
        <w:tc>
          <w:tcPr>
            <w:tcW w:w="50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10,703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8,604</w:t>
            </w:r>
          </w:p>
        </w:tc>
        <w:tc>
          <w:tcPr>
            <w:tcW w:w="771" w:type="dxa"/>
            <w:tcBorders/>
            <w:vAlign w:val="center"/>
          </w:tcPr>
          <w:p>
            <w:pPr>
              <w:pStyle w:val="TableContents"/>
              <w:bidi w:val="0"/>
              <w:spacing w:before="0" w:after="0"/>
              <w:ind w:left="0" w:right="0" w:firstLine="280"/>
              <w:jc w:val="left"/>
              <w:rPr/>
            </w:pPr>
            <w:r>
              <w:rPr/>
              <w:t> </w:t>
            </w:r>
          </w:p>
        </w:tc>
      </w:tr>
      <w:tr>
        <w:trPr/>
        <w:tc>
          <w:tcPr>
            <w:tcW w:w="50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Accrued legal settlement (Note 7)</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10,000</w:t>
            </w:r>
          </w:p>
        </w:tc>
        <w:tc>
          <w:tcPr>
            <w:tcW w:w="771" w:type="dxa"/>
            <w:tcBorders/>
            <w:vAlign w:val="center"/>
          </w:tcPr>
          <w:p>
            <w:pPr>
              <w:pStyle w:val="TableContents"/>
              <w:bidi w:val="0"/>
              <w:spacing w:before="0" w:after="0"/>
              <w:ind w:left="0" w:right="0" w:firstLine="280"/>
              <w:jc w:val="left"/>
              <w:rPr/>
            </w:pPr>
            <w:r>
              <w:rPr/>
              <w:t> </w:t>
            </w:r>
          </w:p>
        </w:tc>
      </w:tr>
      <w:tr>
        <w:trPr/>
        <w:tc>
          <w:tcPr>
            <w:tcW w:w="50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Current operating lease liability</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326</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07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21,431</w:t>
            </w:r>
          </w:p>
        </w:tc>
        <w:tc>
          <w:tcPr>
            <w:tcW w:w="771" w:type="dxa"/>
            <w:tcBorders/>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 liability, less current portion</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1,585</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07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23,069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23,016</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vAlign w:val="center"/>
          </w:tcPr>
          <w:p>
            <w:pPr>
              <w:pStyle w:val="TableContents"/>
              <w:bidi w:val="0"/>
              <w:spacing w:before="0" w:after="0"/>
              <w:ind w:left="0" w:right="0" w:hanging="0"/>
              <w:jc w:val="right"/>
              <w:rPr/>
            </w:pPr>
            <w:r>
              <w:rPr/>
              <w:t> </w:t>
            </w:r>
          </w:p>
        </w:tc>
        <w:tc>
          <w:tcPr>
            <w:tcW w:w="771" w:type="dxa"/>
            <w:tcBorders/>
            <w:vAlign w:val="center"/>
          </w:tcPr>
          <w:p>
            <w:pPr>
              <w:pStyle w:val="TableContents"/>
              <w:bidi w:val="0"/>
              <w:spacing w:before="0" w:after="0"/>
              <w:ind w:left="0" w:right="0" w:firstLine="280"/>
              <w:jc w:val="right"/>
              <w:rPr/>
            </w:pPr>
            <w:r>
              <w:rPr/>
              <w:t> </w:t>
            </w:r>
          </w:p>
        </w:tc>
      </w:tr>
      <w:tr>
        <w:trPr/>
        <w:tc>
          <w:tcPr>
            <w:tcW w:w="5071" w:type="dxa"/>
            <w:tcBorders/>
            <w:vAlign w:val="center"/>
          </w:tcPr>
          <w:p>
            <w:pPr>
              <w:pStyle w:val="TableContents"/>
              <w:bidi w:val="0"/>
              <w:spacing w:before="0" w:after="0"/>
              <w:ind w:left="280" w:right="0" w:hanging="0"/>
              <w:jc w:val="left"/>
              <w:rPr>
                <w:rFonts w:ascii="Times New Roman" w:hAnsi="Times New Roman"/>
                <w:sz w:val="20"/>
              </w:rPr>
            </w:pPr>
            <w:r>
              <w:rPr>
                <w:rFonts w:ascii="Arial;sans-serif" w:hAnsi="Arial;sans-serif"/>
                <w:b w:val="false"/>
                <w:sz w:val="20"/>
              </w:rPr>
              <w:t>Common stock, $0.0001</w:t>
            </w:r>
            <w:r>
              <w:rPr>
                <w:rFonts w:ascii="Times New Roman" w:hAnsi="Times New Roman"/>
                <w:sz w:val="20"/>
              </w:rPr>
              <w:t> </w:t>
            </w:r>
            <w:r>
              <w:rPr>
                <w:rFonts w:ascii="Arial;sans-serif" w:hAnsi="Arial;sans-serif"/>
                <w:b w:val="false"/>
                <w:sz w:val="20"/>
              </w:rPr>
              <w:t>par value; 900,000,000</w:t>
            </w:r>
            <w:r>
              <w:rPr>
                <w:rFonts w:ascii="Times New Roman" w:hAnsi="Times New Roman"/>
                <w:sz w:val="20"/>
              </w:rPr>
              <w:t> </w:t>
            </w:r>
            <w:r>
              <w:rPr>
                <w:rFonts w:ascii="Arial;sans-serif" w:hAnsi="Arial;sans-serif"/>
                <w:b w:val="false"/>
                <w:sz w:val="20"/>
              </w:rPr>
              <w:t xml:space="preserve">shares </w:t>
              <w:br/>
              <w:t xml:space="preserve">   authorized at June 30, 2023 and December 31, 2022, </w:t>
              <w:br/>
              <w:t>   respectively; 38,054,583</w:t>
            </w:r>
            <w:r>
              <w:rPr>
                <w:rFonts w:ascii="Times New Roman" w:hAnsi="Times New Roman"/>
                <w:sz w:val="20"/>
              </w:rPr>
              <w:t> </w:t>
            </w:r>
            <w:r>
              <w:rPr>
                <w:rFonts w:ascii="Arial;sans-serif" w:hAnsi="Arial;sans-serif"/>
                <w:b w:val="false"/>
                <w:sz w:val="20"/>
              </w:rPr>
              <w:t>and 37,877,387</w:t>
            </w:r>
            <w:r>
              <w:rPr>
                <w:rFonts w:ascii="Times New Roman" w:hAnsi="Times New Roman"/>
                <w:sz w:val="20"/>
              </w:rPr>
              <w:t> </w:t>
            </w:r>
            <w:r>
              <w:rPr>
                <w:rFonts w:ascii="Arial;sans-serif" w:hAnsi="Arial;sans-serif"/>
                <w:b w:val="false"/>
                <w:sz w:val="20"/>
              </w:rPr>
              <w:t>shares issued</w:t>
              <w:br/>
              <w:t>   and outstanding at June 30, 2023 and December 31,</w:t>
              <w:br/>
              <w:t>   2022, respectively</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w:t>
            </w:r>
          </w:p>
        </w:tc>
        <w:tc>
          <w:tcPr>
            <w:tcW w:w="771" w:type="dxa"/>
            <w:tcBorders/>
            <w:vAlign w:val="center"/>
          </w:tcPr>
          <w:p>
            <w:pPr>
              <w:pStyle w:val="TableContents"/>
              <w:bidi w:val="0"/>
              <w:spacing w:before="0" w:after="0"/>
              <w:ind w:left="0" w:right="0" w:firstLine="280"/>
              <w:jc w:val="left"/>
              <w:rPr/>
            </w:pPr>
            <w:r>
              <w:rPr/>
              <w:t> </w:t>
            </w:r>
          </w:p>
        </w:tc>
      </w:tr>
      <w:tr>
        <w:trPr/>
        <w:tc>
          <w:tcPr>
            <w:tcW w:w="50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434,865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428,623</w:t>
            </w:r>
          </w:p>
        </w:tc>
        <w:tc>
          <w:tcPr>
            <w:tcW w:w="771" w:type="dxa"/>
            <w:tcBorders/>
            <w:vAlign w:val="center"/>
          </w:tcPr>
          <w:p>
            <w:pPr>
              <w:pStyle w:val="TableContents"/>
              <w:bidi w:val="0"/>
              <w:spacing w:before="0" w:after="0"/>
              <w:ind w:left="0" w:right="0" w:firstLine="280"/>
              <w:jc w:val="left"/>
              <w:rPr/>
            </w:pPr>
            <w:r>
              <w:rPr/>
              <w:t> </w:t>
            </w:r>
          </w:p>
        </w:tc>
      </w:tr>
      <w:tr>
        <w:trPr/>
        <w:tc>
          <w:tcPr>
            <w:tcW w:w="50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11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79" w:type="dxa"/>
            <w:tcBorders/>
            <w:vAlign w:val="center"/>
          </w:tcPr>
          <w:p>
            <w:pPr>
              <w:pStyle w:val="TableContents"/>
              <w:bidi w:val="0"/>
              <w:spacing w:before="0" w:after="0"/>
              <w:ind w:left="0" w:right="0" w:hanging="0"/>
              <w:jc w:val="left"/>
              <w:rPr/>
            </w:pPr>
            <w:r>
              <w:rPr/>
              <w:t> </w:t>
            </w:r>
          </w:p>
        </w:tc>
        <w:tc>
          <w:tcPr>
            <w:tcW w:w="154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(1,956</w:t>
            </w:r>
          </w:p>
        </w:tc>
        <w:tc>
          <w:tcPr>
            <w:tcW w:w="77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0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(248,951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(191,534</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507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184,979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235,137</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507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208,048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258,153</w:t>
            </w:r>
          </w:p>
        </w:tc>
        <w:tc>
          <w:tcPr>
            <w:tcW w:w="7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Arial;sans-serif" w:hAnsi="Arial;sans-serif"/>
          <w:b w:val="false"/>
          <w:i/>
          <w:sz w:val="20"/>
        </w:rPr>
      </w:pPr>
      <w:r>
        <w:rPr>
          <w:rFonts w:ascii="Arial;sans-serif" w:hAnsi="Arial;sans-serif"/>
          <w:b w:val="false"/>
          <w:i/>
          <w:sz w:val="20"/>
        </w:rPr>
        <w:t>The accompanying notes are an integral part of these unaudited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Times New Roman" w:hAnsi="Times New Roman"/>
          <w:sz w:val="20"/>
        </w:rPr>
      </w:pPr>
      <w:bookmarkStart w:id="5" w:name="condensed_consolidated_statements_operat"/>
      <w:bookmarkEnd w:id="5"/>
      <w:r>
        <w:rPr>
          <w:rFonts w:ascii="Arial;sans-serif" w:hAnsi="Arial;sans-serif"/>
          <w:b/>
          <w:sz w:val="20"/>
        </w:rPr>
        <w:t>Condensed Consolidated Statements of</w:t>
      </w:r>
      <w:r>
        <w:rPr>
          <w:rFonts w:ascii="Times New Roman" w:hAnsi="Times New Roman"/>
          <w:sz w:val="20"/>
        </w:rPr>
        <w:t xml:space="preserve"> </w:t>
      </w:r>
      <w:r>
        <w:rPr>
          <w:rFonts w:ascii="Arial;sans-serif" w:hAnsi="Arial;sans-serif"/>
          <w:b/>
          <w:sz w:val="20"/>
        </w:rPr>
        <w:t>Operations and Comprehensive Loss</w:t>
      </w:r>
    </w:p>
    <w:p>
      <w:pPr>
        <w:pStyle w:val="TextBody"/>
        <w:bidi w:val="0"/>
        <w:spacing w:before="0" w:after="0"/>
        <w:jc w:val="center"/>
        <w:rPr>
          <w:rFonts w:ascii="Arial;sans-serif" w:hAnsi="Arial;sans-serif"/>
          <w:b/>
          <w:sz w:val="20"/>
        </w:rPr>
      </w:pPr>
      <w:r>
        <w:rPr>
          <w:rFonts w:ascii="Arial;sans-serif" w:hAnsi="Arial;sans-serif"/>
          <w:b/>
          <w:sz w:val="20"/>
        </w:rPr>
        <w:t>(in thousands, except share and per share amounts)</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264"/>
        <w:gridCol w:w="146"/>
        <w:gridCol w:w="211"/>
        <w:gridCol w:w="1066"/>
        <w:gridCol w:w="166"/>
        <w:gridCol w:w="146"/>
        <w:gridCol w:w="211"/>
        <w:gridCol w:w="1066"/>
        <w:gridCol w:w="166"/>
        <w:gridCol w:w="146"/>
        <w:gridCol w:w="211"/>
        <w:gridCol w:w="1066"/>
        <w:gridCol w:w="166"/>
        <w:gridCol w:w="146"/>
        <w:gridCol w:w="211"/>
        <w:gridCol w:w="1066"/>
        <w:gridCol w:w="751"/>
      </w:tblGrid>
      <w:tr>
        <w:trPr/>
        <w:tc>
          <w:tcPr>
            <w:tcW w:w="3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2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firstLine="280"/>
              <w:jc w:val="right"/>
              <w:rPr/>
            </w:pPr>
            <w:r>
              <w:rPr/>
              <w:t> </w:t>
            </w:r>
          </w:p>
        </w:tc>
      </w:tr>
      <w:tr>
        <w:trPr/>
        <w:tc>
          <w:tcPr>
            <w:tcW w:w="326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14,803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42,908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29,263</w:t>
            </w:r>
          </w:p>
        </w:tc>
        <w:tc>
          <w:tcPr>
            <w:tcW w:w="751" w:type="dxa"/>
            <w:tcBorders/>
            <w:vAlign w:val="center"/>
          </w:tcPr>
          <w:p>
            <w:pPr>
              <w:pStyle w:val="TableContents"/>
              <w:bidi w:val="0"/>
              <w:spacing w:before="0" w:after="0"/>
              <w:ind w:left="0" w:right="0" w:firstLine="280"/>
              <w:jc w:val="left"/>
              <w:rPr/>
            </w:pPr>
            <w:r>
              <w:rPr/>
              <w:t> </w:t>
            </w:r>
          </w:p>
        </w:tc>
      </w:tr>
      <w:tr>
        <w:trPr/>
        <w:tc>
          <w:tcPr>
            <w:tcW w:w="326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8,766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18,502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17,693</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3264"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31,640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23,569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61,410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46,956</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(31,640</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(23,569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(61,410</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(46,956</w:t>
            </w:r>
          </w:p>
        </w:tc>
        <w:tc>
          <w:tcPr>
            <w:tcW w:w="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Grant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(1,259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975</w:t>
            </w:r>
          </w:p>
        </w:tc>
        <w:tc>
          <w:tcPr>
            <w:tcW w:w="751" w:type="dxa"/>
            <w:tcBorders/>
            <w:vAlign w:val="center"/>
          </w:tcPr>
          <w:p>
            <w:pPr>
              <w:pStyle w:val="TableContents"/>
              <w:bidi w:val="0"/>
              <w:spacing w:before="0" w:after="0"/>
              <w:ind w:left="0" w:right="0" w:hanging="0"/>
              <w:jc w:val="left"/>
              <w:rPr/>
            </w:pPr>
            <w:r>
              <w:rPr/>
              <w:t> </w:t>
            </w:r>
          </w:p>
        </w:tc>
      </w:tr>
      <w:tr>
        <w:trPr/>
        <w:tc>
          <w:tcPr>
            <w:tcW w:w="3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666</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(29,597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(24,335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(57,417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(45,315</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Unrealized gain (loss) on 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(1,537</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Comprehensive loss attributable to common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(29,507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(24,804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(56,400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(46,852</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 per share attributable to common</w:t>
              <w:br/>
              <w:t>   stockholders,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(1.20</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2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Weighted-average shares used in computing</w:t>
              <w:br/>
              <w:t>   net loss per share attributable to common</w:t>
              <w:br/>
              <w:t>   stockholders,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37,999,578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37,667,971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37,961,700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37,630,856</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Arial;sans-serif" w:hAnsi="Arial;sans-serif"/>
          <w:b w:val="false"/>
          <w:i/>
          <w:sz w:val="20"/>
        </w:rPr>
      </w:pPr>
      <w:r>
        <w:rPr>
          <w:rFonts w:ascii="Arial;sans-serif" w:hAnsi="Arial;sans-serif"/>
          <w:b w:val="false"/>
          <w:i/>
          <w:sz w:val="20"/>
        </w:rPr>
        <w:t>The accompanying notes are an integral part of these unaudited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Arial;sans-serif" w:hAnsi="Arial;sans-serif"/>
          <w:b/>
          <w:sz w:val="20"/>
        </w:rPr>
      </w:pPr>
      <w:bookmarkStart w:id="6" w:name="condensed_consolidated_statements_equity"/>
      <w:bookmarkEnd w:id="6"/>
      <w:r>
        <w:rPr>
          <w:rFonts w:ascii="Arial;sans-serif" w:hAnsi="Arial;sans-serif"/>
          <w:b/>
          <w:sz w:val="20"/>
        </w:rPr>
        <w:t>Condensed Consolidated Statements of Stockholders’ Equity</w:t>
      </w:r>
    </w:p>
    <w:p>
      <w:pPr>
        <w:pStyle w:val="TextBody"/>
        <w:bidi w:val="0"/>
        <w:spacing w:before="0" w:after="0"/>
        <w:jc w:val="center"/>
        <w:rPr>
          <w:rFonts w:ascii="Arial;sans-serif" w:hAnsi="Arial;sans-serif"/>
          <w:b/>
          <w:sz w:val="20"/>
        </w:rPr>
      </w:pPr>
      <w:r>
        <w:rPr>
          <w:rFonts w:ascii="Arial;sans-serif" w:hAnsi="Arial;sans-serif"/>
          <w:b/>
          <w:sz w:val="20"/>
        </w:rPr>
        <w:t>For the Three and Six Months Ended June 30, 2023</w:t>
      </w:r>
    </w:p>
    <w:p>
      <w:pPr>
        <w:pStyle w:val="TextBody"/>
        <w:bidi w:val="0"/>
        <w:spacing w:before="0" w:after="0"/>
        <w:jc w:val="center"/>
        <w:rPr>
          <w:rFonts w:ascii="Arial;sans-serif" w:hAnsi="Arial;sans-serif"/>
          <w:b/>
          <w:sz w:val="20"/>
        </w:rPr>
      </w:pPr>
      <w:r>
        <w:rPr>
          <w:rFonts w:ascii="Arial;sans-serif" w:hAnsi="Arial;sans-serif"/>
          <w:b/>
          <w:sz w:val="20"/>
        </w:rPr>
        <w:t>(in thousands, except share amounts)</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579"/>
        <w:gridCol w:w="146"/>
        <w:gridCol w:w="146"/>
        <w:gridCol w:w="1036"/>
        <w:gridCol w:w="146"/>
        <w:gridCol w:w="146"/>
        <w:gridCol w:w="284"/>
        <w:gridCol w:w="467"/>
        <w:gridCol w:w="146"/>
        <w:gridCol w:w="146"/>
        <w:gridCol w:w="211"/>
        <w:gridCol w:w="781"/>
        <w:gridCol w:w="146"/>
        <w:gridCol w:w="146"/>
        <w:gridCol w:w="337"/>
        <w:gridCol w:w="1014"/>
        <w:gridCol w:w="166"/>
        <w:gridCol w:w="146"/>
        <w:gridCol w:w="231"/>
        <w:gridCol w:w="925"/>
        <w:gridCol w:w="166"/>
        <w:gridCol w:w="146"/>
        <w:gridCol w:w="245"/>
        <w:gridCol w:w="911"/>
        <w:gridCol w:w="392"/>
      </w:tblGrid>
      <w:tr>
        <w:trPr/>
        <w:tc>
          <w:tcPr>
            <w:tcW w:w="1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5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392" w:type="dxa"/>
            <w:tcBorders/>
            <w:vAlign w:val="center"/>
          </w:tcPr>
          <w:p>
            <w:pPr>
              <w:pStyle w:val="TableContents"/>
              <w:bidi w:val="0"/>
              <w:spacing w:before="0" w:after="0"/>
              <w:ind w:left="0" w:right="0" w:hanging="0"/>
              <w:jc w:val="center"/>
              <w:rPr/>
            </w:pPr>
            <w:r>
              <w:rPr/>
              <w:t> </w:t>
            </w:r>
          </w:p>
        </w:tc>
      </w:tr>
      <w:tr>
        <w:trPr/>
        <w:tc>
          <w:tcPr>
            <w:tcW w:w="15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br/>
              <w:t>Stockholders’</w:t>
            </w:r>
          </w:p>
        </w:tc>
        <w:tc>
          <w:tcPr>
            <w:tcW w:w="392" w:type="dxa"/>
            <w:tcBorders/>
            <w:vAlign w:val="center"/>
          </w:tcPr>
          <w:p>
            <w:pPr>
              <w:pStyle w:val="TableContents"/>
              <w:bidi w:val="0"/>
              <w:spacing w:before="0" w:after="0"/>
              <w:ind w:left="0" w:right="0" w:hanging="0"/>
              <w:jc w:val="center"/>
              <w:rPr/>
            </w:pPr>
            <w:r>
              <w:rPr/>
              <w:t> </w:t>
            </w:r>
          </w:p>
        </w:tc>
      </w:tr>
      <w:tr>
        <w:trPr/>
        <w:tc>
          <w:tcPr>
            <w:tcW w:w="15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Equity</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79"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Balance as of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37,877,387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428,623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(1,956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(191,534</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235,137</w:t>
            </w:r>
          </w:p>
        </w:tc>
        <w:tc>
          <w:tcPr>
            <w:tcW w:w="392" w:type="dxa"/>
            <w:tcBorders/>
            <w:vAlign w:val="center"/>
          </w:tcPr>
          <w:p>
            <w:pPr>
              <w:pStyle w:val="TableContents"/>
              <w:bidi w:val="0"/>
              <w:spacing w:before="0" w:after="0"/>
              <w:ind w:left="0" w:right="0" w:firstLine="200"/>
              <w:jc w:val="left"/>
              <w:rPr/>
            </w:pPr>
            <w:r>
              <w:rPr/>
              <w:t> </w:t>
            </w:r>
          </w:p>
        </w:tc>
      </w:tr>
      <w:tr>
        <w:trPr/>
        <w:tc>
          <w:tcPr>
            <w:tcW w:w="157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Issuance of common stock upon exercise of</w:t>
              <w:br/>
              <w:t>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73,213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99</w:t>
            </w:r>
          </w:p>
        </w:tc>
        <w:tc>
          <w:tcPr>
            <w:tcW w:w="392" w:type="dxa"/>
            <w:tcBorders/>
            <w:vAlign w:val="center"/>
          </w:tcPr>
          <w:p>
            <w:pPr>
              <w:pStyle w:val="TableContents"/>
              <w:bidi w:val="0"/>
              <w:spacing w:before="0" w:after="0"/>
              <w:ind w:left="0" w:right="0" w:firstLine="200"/>
              <w:jc w:val="left"/>
              <w:rPr/>
            </w:pPr>
            <w:r>
              <w:rPr/>
              <w:t> </w:t>
            </w:r>
          </w:p>
        </w:tc>
      </w:tr>
      <w:tr>
        <w:trPr/>
        <w:tc>
          <w:tcPr>
            <w:tcW w:w="157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2,782</w:t>
            </w:r>
          </w:p>
        </w:tc>
        <w:tc>
          <w:tcPr>
            <w:tcW w:w="392" w:type="dxa"/>
            <w:tcBorders/>
            <w:vAlign w:val="center"/>
          </w:tcPr>
          <w:p>
            <w:pPr>
              <w:pStyle w:val="TableContents"/>
              <w:bidi w:val="0"/>
              <w:spacing w:before="0" w:after="0"/>
              <w:ind w:left="0" w:right="0" w:firstLine="200"/>
              <w:jc w:val="left"/>
              <w:rPr/>
            </w:pPr>
            <w:r>
              <w:rPr/>
              <w:t> </w:t>
            </w:r>
          </w:p>
        </w:tc>
      </w:tr>
      <w:tr>
        <w:trPr/>
        <w:tc>
          <w:tcPr>
            <w:tcW w:w="157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Unrealized gain on available-for-sale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927</w:t>
            </w:r>
          </w:p>
        </w:tc>
        <w:tc>
          <w:tcPr>
            <w:tcW w:w="392" w:type="dxa"/>
            <w:tcBorders/>
            <w:vAlign w:val="center"/>
          </w:tcPr>
          <w:p>
            <w:pPr>
              <w:pStyle w:val="TableContents"/>
              <w:bidi w:val="0"/>
              <w:spacing w:before="0" w:after="0"/>
              <w:ind w:left="0" w:right="0" w:firstLine="200"/>
              <w:jc w:val="left"/>
              <w:rPr/>
            </w:pPr>
            <w:r>
              <w:rPr/>
              <w:t> </w:t>
            </w:r>
          </w:p>
        </w:tc>
      </w:tr>
      <w:tr>
        <w:trPr/>
        <w:tc>
          <w:tcPr>
            <w:tcW w:w="157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(27,820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(27,820</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579"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37,950,600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431,504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(219,354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211,125</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57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Issuance of common stock upon exercise of</w:t>
              <w:br/>
              <w:t>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w:t>
            </w:r>
          </w:p>
        </w:tc>
        <w:tc>
          <w:tcPr>
            <w:tcW w:w="392" w:type="dxa"/>
            <w:tcBorders/>
            <w:vAlign w:val="center"/>
          </w:tcPr>
          <w:p>
            <w:pPr>
              <w:pStyle w:val="TableContents"/>
              <w:bidi w:val="0"/>
              <w:spacing w:before="0" w:after="0"/>
              <w:ind w:left="0" w:right="0" w:firstLine="200"/>
              <w:jc w:val="left"/>
              <w:rPr/>
            </w:pPr>
            <w:r>
              <w:rPr/>
              <w:t> </w:t>
            </w:r>
          </w:p>
        </w:tc>
      </w:tr>
      <w:tr>
        <w:trPr/>
        <w:tc>
          <w:tcPr>
            <w:tcW w:w="157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Issuance of common stock under</w:t>
              <w:br/>
              <w:t>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96,101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231</w:t>
            </w:r>
          </w:p>
        </w:tc>
        <w:tc>
          <w:tcPr>
            <w:tcW w:w="392" w:type="dxa"/>
            <w:tcBorders/>
            <w:vAlign w:val="center"/>
          </w:tcPr>
          <w:p>
            <w:pPr>
              <w:pStyle w:val="TableContents"/>
              <w:bidi w:val="0"/>
              <w:spacing w:before="0" w:after="0"/>
              <w:ind w:left="0" w:right="0" w:firstLine="200"/>
              <w:jc w:val="left"/>
              <w:rPr/>
            </w:pPr>
            <w:r>
              <w:rPr/>
              <w:t> </w:t>
            </w:r>
          </w:p>
        </w:tc>
      </w:tr>
      <w:tr>
        <w:trPr/>
        <w:tc>
          <w:tcPr>
            <w:tcW w:w="157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3,119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3,119</w:t>
            </w:r>
          </w:p>
        </w:tc>
        <w:tc>
          <w:tcPr>
            <w:tcW w:w="392" w:type="dxa"/>
            <w:tcBorders/>
            <w:vAlign w:val="center"/>
          </w:tcPr>
          <w:p>
            <w:pPr>
              <w:pStyle w:val="TableContents"/>
              <w:bidi w:val="0"/>
              <w:spacing w:before="0" w:after="0"/>
              <w:ind w:left="0" w:right="0" w:firstLine="200"/>
              <w:jc w:val="left"/>
              <w:rPr/>
            </w:pPr>
            <w:r>
              <w:rPr/>
              <w:t> </w:t>
            </w:r>
          </w:p>
        </w:tc>
      </w:tr>
      <w:tr>
        <w:trPr/>
        <w:tc>
          <w:tcPr>
            <w:tcW w:w="157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Unrealized gain on available-for-sale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w:t>
            </w:r>
          </w:p>
        </w:tc>
        <w:tc>
          <w:tcPr>
            <w:tcW w:w="392" w:type="dxa"/>
            <w:tcBorders/>
            <w:vAlign w:val="center"/>
          </w:tcPr>
          <w:p>
            <w:pPr>
              <w:pStyle w:val="TableContents"/>
              <w:bidi w:val="0"/>
              <w:spacing w:before="0" w:after="0"/>
              <w:ind w:left="0" w:right="0" w:firstLine="200"/>
              <w:jc w:val="left"/>
              <w:rPr/>
            </w:pPr>
            <w:r>
              <w:rPr/>
              <w:t> </w:t>
            </w:r>
          </w:p>
        </w:tc>
      </w:tr>
      <w:tr>
        <w:trPr/>
        <w:tc>
          <w:tcPr>
            <w:tcW w:w="157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(29,597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(29,597</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579"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38,054,583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434,865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(248,951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184,979</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Arial;sans-serif" w:hAnsi="Arial;sans-serif"/>
          <w:b w:val="false"/>
          <w:i/>
          <w:sz w:val="20"/>
        </w:rPr>
      </w:pPr>
      <w:r>
        <w:rPr>
          <w:rFonts w:ascii="Arial;sans-serif" w:hAnsi="Arial;sans-serif"/>
          <w:b w:val="false"/>
          <w:i/>
          <w:sz w:val="20"/>
        </w:rPr>
        <w:t>The accompanying notes are an integral part of these unaudited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Arial;sans-serif" w:hAnsi="Arial;sans-serif"/>
          <w:b/>
          <w:sz w:val="20"/>
        </w:rPr>
      </w:pPr>
      <w:r>
        <w:rPr>
          <w:rFonts w:ascii="Arial;sans-serif" w:hAnsi="Arial;sans-serif"/>
          <w:b/>
          <w:sz w:val="20"/>
        </w:rPr>
        <w:t>Condensed Consolidated Statements of Stockholders’ Equity</w:t>
      </w:r>
    </w:p>
    <w:p>
      <w:pPr>
        <w:pStyle w:val="TextBody"/>
        <w:bidi w:val="0"/>
        <w:spacing w:before="0" w:after="0"/>
        <w:jc w:val="center"/>
        <w:rPr>
          <w:rFonts w:ascii="Arial;sans-serif" w:hAnsi="Arial;sans-serif"/>
          <w:b/>
          <w:sz w:val="20"/>
        </w:rPr>
      </w:pPr>
      <w:r>
        <w:rPr>
          <w:rFonts w:ascii="Arial;sans-serif" w:hAnsi="Arial;sans-serif"/>
          <w:b/>
          <w:sz w:val="20"/>
        </w:rPr>
        <w:t>For the Three and Six Months Ended June 30, 2022</w:t>
      </w:r>
    </w:p>
    <w:p>
      <w:pPr>
        <w:pStyle w:val="TextBody"/>
        <w:bidi w:val="0"/>
        <w:spacing w:before="0" w:after="0"/>
        <w:jc w:val="center"/>
        <w:rPr>
          <w:rFonts w:ascii="Arial;sans-serif" w:hAnsi="Arial;sans-serif"/>
          <w:b/>
          <w:sz w:val="20"/>
        </w:rPr>
      </w:pPr>
      <w:r>
        <w:rPr>
          <w:rFonts w:ascii="Arial;sans-serif" w:hAnsi="Arial;sans-serif"/>
          <w:b/>
          <w:sz w:val="20"/>
        </w:rPr>
        <w:t>(in thousands, except share amounts)</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559"/>
        <w:gridCol w:w="146"/>
        <w:gridCol w:w="146"/>
        <w:gridCol w:w="1036"/>
        <w:gridCol w:w="146"/>
        <w:gridCol w:w="146"/>
        <w:gridCol w:w="284"/>
        <w:gridCol w:w="467"/>
        <w:gridCol w:w="146"/>
        <w:gridCol w:w="146"/>
        <w:gridCol w:w="211"/>
        <w:gridCol w:w="781"/>
        <w:gridCol w:w="146"/>
        <w:gridCol w:w="146"/>
        <w:gridCol w:w="337"/>
        <w:gridCol w:w="1014"/>
        <w:gridCol w:w="166"/>
        <w:gridCol w:w="146"/>
        <w:gridCol w:w="231"/>
        <w:gridCol w:w="925"/>
        <w:gridCol w:w="166"/>
        <w:gridCol w:w="146"/>
        <w:gridCol w:w="245"/>
        <w:gridCol w:w="911"/>
        <w:gridCol w:w="412"/>
      </w:tblGrid>
      <w:tr>
        <w:trPr/>
        <w:tc>
          <w:tcPr>
            <w:tcW w:w="1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5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412" w:type="dxa"/>
            <w:tcBorders/>
            <w:vAlign w:val="center"/>
          </w:tcPr>
          <w:p>
            <w:pPr>
              <w:pStyle w:val="TableContents"/>
              <w:bidi w:val="0"/>
              <w:spacing w:before="0" w:after="0"/>
              <w:ind w:left="0" w:right="0" w:hanging="0"/>
              <w:jc w:val="center"/>
              <w:rPr/>
            </w:pPr>
            <w:r>
              <w:rPr/>
              <w:t> </w:t>
            </w:r>
          </w:p>
        </w:tc>
      </w:tr>
      <w:tr>
        <w:trPr/>
        <w:tc>
          <w:tcPr>
            <w:tcW w:w="15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br/>
              <w:t>Stockholders’</w:t>
            </w:r>
          </w:p>
        </w:tc>
        <w:tc>
          <w:tcPr>
            <w:tcW w:w="412" w:type="dxa"/>
            <w:tcBorders/>
            <w:vAlign w:val="center"/>
          </w:tcPr>
          <w:p>
            <w:pPr>
              <w:pStyle w:val="TableContents"/>
              <w:bidi w:val="0"/>
              <w:spacing w:before="0" w:after="0"/>
              <w:ind w:left="0" w:right="0" w:hanging="0"/>
              <w:jc w:val="center"/>
              <w:rPr/>
            </w:pPr>
            <w:r>
              <w:rPr/>
              <w:t> </w:t>
            </w:r>
          </w:p>
        </w:tc>
      </w:tr>
      <w:tr>
        <w:trPr/>
        <w:tc>
          <w:tcPr>
            <w:tcW w:w="15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Equity</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59"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Balance as of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37,379,077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417,363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(388</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(95,895</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321,084</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Issuance of common stock upon exercise of</w:t>
              <w:br/>
              <w:t>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244,981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210</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2,731</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Unrealized loss on available-for-sale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(1,068</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(1,068</w:t>
            </w:r>
          </w:p>
        </w:tc>
        <w:tc>
          <w:tcPr>
            <w:tcW w:w="412" w:type="dxa"/>
            <w:tcBorders/>
            <w:vAlign w:val="center"/>
          </w:tcPr>
          <w:p>
            <w:pPr>
              <w:pStyle w:val="TableContents"/>
              <w:bidi w:val="0"/>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(20,980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(20,980</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559"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37,624,058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420,304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(116,875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301,977</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Issuance of common stock upon exercise of</w:t>
              <w:br/>
              <w:t>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163,387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83</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Issuance of common stock under</w:t>
              <w:br/>
              <w:t>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30,279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214</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3,095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3,095</w:t>
            </w:r>
          </w:p>
        </w:tc>
        <w:tc>
          <w:tcPr>
            <w:tcW w:w="412" w:type="dxa"/>
            <w:tcBorders/>
            <w:vAlign w:val="center"/>
          </w:tcPr>
          <w:p>
            <w:pPr>
              <w:pStyle w:val="TableContents"/>
              <w:bidi w:val="0"/>
              <w:spacing w:before="0" w:after="0"/>
              <w:ind w:left="0" w:right="0" w:firstLine="200"/>
              <w:jc w:val="left"/>
              <w:rPr/>
            </w:pPr>
            <w:r>
              <w:rPr/>
              <w:t> </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Unrealized loss on available-for-sale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(469</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(469</w:t>
            </w:r>
          </w:p>
        </w:tc>
        <w:tc>
          <w:tcPr>
            <w:tcW w:w="412" w:type="dxa"/>
            <w:tcBorders/>
            <w:vAlign w:val="center"/>
          </w:tcPr>
          <w:p>
            <w:pPr>
              <w:pStyle w:val="TableContents"/>
              <w:bidi w:val="0"/>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1559"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(24,335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(24,335</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559"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37,817,724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423,696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(141,210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280,565</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Arial;sans-serif" w:hAnsi="Arial;sans-serif"/>
          <w:b w:val="false"/>
          <w:i/>
          <w:sz w:val="20"/>
        </w:rPr>
      </w:pPr>
      <w:r>
        <w:rPr>
          <w:rFonts w:ascii="Arial;sans-serif" w:hAnsi="Arial;sans-serif"/>
          <w:b w:val="false"/>
          <w:i/>
          <w:sz w:val="20"/>
        </w:rPr>
        <w:t>The accompanying notes are an integral part of these unaudited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Arial;sans-serif" w:hAnsi="Arial;sans-serif"/>
          <w:b/>
          <w:sz w:val="20"/>
        </w:rPr>
      </w:pPr>
      <w:bookmarkStart w:id="7" w:name="condensed_consolidated_statements_cash_f"/>
      <w:bookmarkEnd w:id="7"/>
      <w:r>
        <w:rPr>
          <w:rFonts w:ascii="Arial;sans-serif" w:hAnsi="Arial;sans-serif"/>
          <w:b/>
          <w:sz w:val="20"/>
        </w:rPr>
        <w:t>Condensed Consolidated Statements of Cash Flows</w:t>
      </w:r>
    </w:p>
    <w:p>
      <w:pPr>
        <w:pStyle w:val="TextBody"/>
        <w:bidi w:val="0"/>
        <w:spacing w:before="0" w:after="0"/>
        <w:jc w:val="center"/>
        <w:rPr>
          <w:rFonts w:ascii="Times New Roman" w:hAnsi="Times New Roman"/>
          <w:sz w:val="20"/>
        </w:rPr>
      </w:pPr>
      <w:r>
        <w:rPr>
          <w:rFonts w:ascii="Arial;sans-serif" w:hAnsi="Arial;sans-serif"/>
          <w:b/>
          <w:sz w:val="20"/>
        </w:rPr>
        <w:t>(in thousands)</w:t>
      </w:r>
      <w:r>
        <w:rPr>
          <w:rFonts w:ascii="Times New Roman" w:hAnsi="Times New Roman"/>
          <w:sz w:val="20"/>
        </w:rPr>
        <w:t xml:space="preserve"> </w:t>
      </w:r>
    </w:p>
    <w:p>
      <w:pPr>
        <w:pStyle w:val="TextBody"/>
        <w:bidi w:val="0"/>
        <w:spacing w:before="0" w:after="0"/>
        <w:jc w:val="center"/>
        <w:rPr>
          <w:rFonts w:ascii="Arial;sans-serif" w:hAnsi="Arial;sans-serif"/>
          <w:b/>
          <w:sz w:val="20"/>
        </w:rPr>
      </w:pPr>
      <w:r>
        <w:rPr>
          <w:rFonts w:ascii="Arial;sans-serif" w:hAnsi="Arial;sans-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402"/>
        <w:gridCol w:w="146"/>
        <w:gridCol w:w="211"/>
        <w:gridCol w:w="796"/>
        <w:gridCol w:w="166"/>
        <w:gridCol w:w="146"/>
        <w:gridCol w:w="211"/>
        <w:gridCol w:w="796"/>
        <w:gridCol w:w="1331"/>
      </w:tblGrid>
      <w:tr>
        <w:trPr/>
        <w:tc>
          <w:tcPr>
            <w:tcW w:w="6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640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1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0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02"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331" w:type="dxa"/>
            <w:tcBorders/>
            <w:vAlign w:val="center"/>
          </w:tcPr>
          <w:p>
            <w:pPr>
              <w:pStyle w:val="TableContents"/>
              <w:bidi w:val="0"/>
              <w:spacing w:before="0" w:after="0"/>
              <w:ind w:left="0" w:right="0" w:firstLine="280"/>
              <w:jc w:val="right"/>
              <w:rPr/>
            </w:pPr>
            <w:r>
              <w:rPr/>
              <w:t> </w:t>
            </w:r>
          </w:p>
        </w:tc>
      </w:tr>
      <w:tr>
        <w:trPr/>
        <w:tc>
          <w:tcPr>
            <w:tcW w:w="6402"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(57,417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(45,315</w:t>
            </w:r>
          </w:p>
        </w:tc>
        <w:tc>
          <w:tcPr>
            <w:tcW w:w="1331" w:type="dxa"/>
            <w:tcBorders/>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402"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331" w:type="dxa"/>
            <w:tcBorders/>
            <w:vAlign w:val="center"/>
          </w:tcPr>
          <w:p>
            <w:pPr>
              <w:pStyle w:val="TableContents"/>
              <w:bidi w:val="0"/>
              <w:spacing w:before="0" w:after="0"/>
              <w:ind w:left="0" w:right="0" w:firstLine="560"/>
              <w:jc w:val="right"/>
              <w:rPr/>
            </w:pPr>
            <w:r>
              <w:rPr/>
              <w:t> </w:t>
            </w:r>
          </w:p>
        </w:tc>
      </w:tr>
      <w:tr>
        <w:trPr/>
        <w:tc>
          <w:tcPr>
            <w:tcW w:w="6402"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5,826</w:t>
            </w:r>
          </w:p>
        </w:tc>
        <w:tc>
          <w:tcPr>
            <w:tcW w:w="1331" w:type="dxa"/>
            <w:tcBorders/>
            <w:vAlign w:val="center"/>
          </w:tcPr>
          <w:p>
            <w:pPr>
              <w:pStyle w:val="TableContents"/>
              <w:bidi w:val="0"/>
              <w:spacing w:before="0" w:after="0"/>
              <w:ind w:left="0" w:right="0" w:firstLine="560"/>
              <w:jc w:val="left"/>
              <w:rPr/>
            </w:pPr>
            <w:r>
              <w:rPr/>
              <w:t> </w:t>
            </w:r>
          </w:p>
        </w:tc>
      </w:tr>
      <w:tr>
        <w:trPr/>
        <w:tc>
          <w:tcPr>
            <w:tcW w:w="6402"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Depreciation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375</w:t>
            </w:r>
          </w:p>
        </w:tc>
        <w:tc>
          <w:tcPr>
            <w:tcW w:w="1331" w:type="dxa"/>
            <w:tcBorders/>
            <w:vAlign w:val="center"/>
          </w:tcPr>
          <w:p>
            <w:pPr>
              <w:pStyle w:val="TableContents"/>
              <w:bidi w:val="0"/>
              <w:spacing w:before="0" w:after="0"/>
              <w:ind w:left="0" w:right="0" w:firstLine="560"/>
              <w:jc w:val="left"/>
              <w:rPr/>
            </w:pPr>
            <w:r>
              <w:rPr/>
              <w:t> </w:t>
            </w:r>
          </w:p>
        </w:tc>
      </w:tr>
      <w:tr>
        <w:trPr/>
        <w:tc>
          <w:tcPr>
            <w:tcW w:w="6402"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Non-cash lease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w:t>
            </w:r>
          </w:p>
        </w:tc>
        <w:tc>
          <w:tcPr>
            <w:tcW w:w="1331" w:type="dxa"/>
            <w:tcBorders/>
            <w:vAlign w:val="center"/>
          </w:tcPr>
          <w:p>
            <w:pPr>
              <w:pStyle w:val="TableContents"/>
              <w:bidi w:val="0"/>
              <w:spacing w:before="0" w:after="0"/>
              <w:ind w:left="0" w:right="0" w:firstLine="560"/>
              <w:jc w:val="left"/>
              <w:rPr/>
            </w:pPr>
            <w:r>
              <w:rPr/>
              <w:t> </w:t>
            </w:r>
          </w:p>
        </w:tc>
      </w:tr>
      <w:tr>
        <w:trPr/>
        <w:tc>
          <w:tcPr>
            <w:tcW w:w="6402"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Amortization of premiums and accretion of discounts on</w:t>
              <w:br/>
              <w:t>   available-for-sale securities,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149</w:t>
            </w:r>
          </w:p>
        </w:tc>
        <w:tc>
          <w:tcPr>
            <w:tcW w:w="1331" w:type="dxa"/>
            <w:tcBorders/>
            <w:vAlign w:val="center"/>
          </w:tcPr>
          <w:p>
            <w:pPr>
              <w:pStyle w:val="TableContents"/>
              <w:bidi w:val="0"/>
              <w:spacing w:before="0" w:after="0"/>
              <w:ind w:left="0" w:right="0" w:firstLine="560"/>
              <w:jc w:val="left"/>
              <w:rPr/>
            </w:pPr>
            <w:r>
              <w:rPr/>
              <w:t> </w:t>
            </w:r>
          </w:p>
        </w:tc>
      </w:tr>
      <w:tr>
        <w:trPr/>
        <w:tc>
          <w:tcPr>
            <w:tcW w:w="6402"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331" w:type="dxa"/>
            <w:tcBorders/>
            <w:vAlign w:val="center"/>
          </w:tcPr>
          <w:p>
            <w:pPr>
              <w:pStyle w:val="TableContents"/>
              <w:bidi w:val="0"/>
              <w:spacing w:before="0" w:after="0"/>
              <w:ind w:left="0" w:right="0" w:firstLine="840"/>
              <w:jc w:val="right"/>
              <w:rPr/>
            </w:pPr>
            <w:r>
              <w:rPr/>
              <w:t> </w:t>
            </w:r>
          </w:p>
        </w:tc>
      </w:tr>
      <w:tr>
        <w:trPr/>
        <w:tc>
          <w:tcPr>
            <w:tcW w:w="6402"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Unbilled grant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2,336</w:t>
            </w:r>
          </w:p>
        </w:tc>
        <w:tc>
          <w:tcPr>
            <w:tcW w:w="1331" w:type="dxa"/>
            <w:tcBorders/>
            <w:vAlign w:val="center"/>
          </w:tcPr>
          <w:p>
            <w:pPr>
              <w:pStyle w:val="TableContents"/>
              <w:bidi w:val="0"/>
              <w:spacing w:before="0" w:after="0"/>
              <w:ind w:left="0" w:right="0" w:firstLine="840"/>
              <w:jc w:val="left"/>
              <w:rPr/>
            </w:pPr>
            <w:r>
              <w:rPr/>
              <w:t> </w:t>
            </w:r>
          </w:p>
        </w:tc>
      </w:tr>
      <w:tr>
        <w:trPr/>
        <w:tc>
          <w:tcPr>
            <w:tcW w:w="6402"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1,149</w:t>
            </w:r>
          </w:p>
        </w:tc>
        <w:tc>
          <w:tcPr>
            <w:tcW w:w="1331" w:type="dxa"/>
            <w:tcBorders/>
            <w:vAlign w:val="center"/>
          </w:tcPr>
          <w:p>
            <w:pPr>
              <w:pStyle w:val="TableContents"/>
              <w:bidi w:val="0"/>
              <w:spacing w:before="0" w:after="0"/>
              <w:ind w:left="0" w:right="0" w:firstLine="840"/>
              <w:jc w:val="left"/>
              <w:rPr/>
            </w:pPr>
            <w:r>
              <w:rPr/>
              <w:t> </w:t>
            </w:r>
          </w:p>
        </w:tc>
      </w:tr>
      <w:tr>
        <w:trPr/>
        <w:tc>
          <w:tcPr>
            <w:tcW w:w="6402"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Accounts payable and 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365</w:t>
            </w:r>
          </w:p>
        </w:tc>
        <w:tc>
          <w:tcPr>
            <w:tcW w:w="1331" w:type="dxa"/>
            <w:tcBorders/>
            <w:vAlign w:val="center"/>
          </w:tcPr>
          <w:p>
            <w:pPr>
              <w:pStyle w:val="TableContents"/>
              <w:bidi w:val="0"/>
              <w:spacing w:before="0" w:after="0"/>
              <w:ind w:left="0" w:right="0" w:firstLine="840"/>
              <w:jc w:val="left"/>
              <w:rPr/>
            </w:pPr>
            <w:r>
              <w:rPr/>
              <w:t> </w:t>
            </w:r>
          </w:p>
        </w:tc>
      </w:tr>
      <w:tr>
        <w:trPr/>
        <w:tc>
          <w:tcPr>
            <w:tcW w:w="6402" w:type="dxa"/>
            <w:tcBorders/>
            <w:vAlign w:val="center"/>
          </w:tcPr>
          <w:p>
            <w:pPr>
              <w:pStyle w:val="TableContents"/>
              <w:bidi w:val="0"/>
              <w:spacing w:before="0" w:after="0"/>
              <w:ind w:left="840" w:right="0" w:hanging="0"/>
              <w:jc w:val="left"/>
              <w:rPr>
                <w:rFonts w:ascii="Arial;sans-serif" w:hAnsi="Arial;sans-serif"/>
                <w:b w:val="false"/>
                <w:sz w:val="20"/>
              </w:rPr>
            </w:pPr>
            <w:r>
              <w:rPr>
                <w:rFonts w:ascii="Arial;sans-serif" w:hAnsi="Arial;sans-serif"/>
                <w:b w:val="false"/>
                <w:sz w:val="20"/>
              </w:rPr>
              <w:t>Operating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(139</w:t>
            </w:r>
          </w:p>
        </w:tc>
        <w:tc>
          <w:tcPr>
            <w:tcW w:w="1331" w:type="dxa"/>
            <w:tcBorders>
              <w:bottom w:val="single" w:sz="4" w:space="0" w:color="000000"/>
            </w:tcBorders>
            <w:tcMar>
              <w:top w:w="0" w:type="dxa"/>
              <w:left w:w="0" w:type="dxa"/>
              <w:right w:w="0" w:type="dxa"/>
            </w:tcMar>
            <w:vAlign w:val="center"/>
          </w:tcPr>
          <w:p>
            <w:pPr>
              <w:pStyle w:val="TableContents"/>
              <w:bidi w:val="0"/>
              <w:spacing w:before="0" w:after="0"/>
              <w:ind w:left="0" w:right="0" w:firstLine="1120"/>
              <w:jc w:val="left"/>
              <w:rPr>
                <w:rFonts w:ascii="Arial;sans-serif" w:hAnsi="Arial;sans-serif"/>
                <w:b w:val="false"/>
                <w:sz w:val="20"/>
              </w:rPr>
            </w:pPr>
            <w:r>
              <w:rPr>
                <w:rFonts w:ascii="Arial;sans-serif" w:hAnsi="Arial;sans-serif"/>
                <w:b w:val="false"/>
                <w:sz w:val="20"/>
              </w:rPr>
              <w:t>)</w:t>
            </w:r>
          </w:p>
        </w:tc>
      </w:tr>
      <w:tr>
        <w:trPr/>
        <w:tc>
          <w:tcPr>
            <w:tcW w:w="6402" w:type="dxa"/>
            <w:tcBorders/>
            <w:vAlign w:val="center"/>
          </w:tcPr>
          <w:p>
            <w:pPr>
              <w:pStyle w:val="TableContents"/>
              <w:bidi w:val="0"/>
              <w:spacing w:before="0" w:after="0"/>
              <w:ind w:left="1120" w:right="0" w:hanging="0"/>
              <w:jc w:val="left"/>
              <w:rPr>
                <w:rFonts w:ascii="Arial;sans-serif" w:hAnsi="Arial;sans-serif"/>
                <w:b w:val="false"/>
                <w:sz w:val="20"/>
              </w:rPr>
            </w:pPr>
            <w:r>
              <w:rPr>
                <w:rFonts w:ascii="Arial;sans-serif" w:hAnsi="Arial;sans-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(50,476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(35,162</w:t>
            </w:r>
          </w:p>
        </w:tc>
        <w:tc>
          <w:tcPr>
            <w:tcW w:w="1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402"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331" w:type="dxa"/>
            <w:tcBorders/>
            <w:vAlign w:val="center"/>
          </w:tcPr>
          <w:p>
            <w:pPr>
              <w:pStyle w:val="TableContents"/>
              <w:bidi w:val="0"/>
              <w:spacing w:before="0" w:after="0"/>
              <w:ind w:left="0" w:right="0" w:firstLine="280"/>
              <w:jc w:val="right"/>
              <w:rPr/>
            </w:pPr>
            <w:r>
              <w:rPr/>
              <w:t> </w:t>
            </w:r>
          </w:p>
        </w:tc>
      </w:tr>
      <w:tr>
        <w:trPr/>
        <w:tc>
          <w:tcPr>
            <w:tcW w:w="6402"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Purchases of 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(24,891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(51,670</w:t>
            </w:r>
          </w:p>
        </w:tc>
        <w:tc>
          <w:tcPr>
            <w:tcW w:w="133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402"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Maturities of 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93,173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71,951</w:t>
            </w:r>
          </w:p>
        </w:tc>
        <w:tc>
          <w:tcPr>
            <w:tcW w:w="1331" w:type="dxa"/>
            <w:tcBorders/>
            <w:vAlign w:val="center"/>
          </w:tcPr>
          <w:p>
            <w:pPr>
              <w:pStyle w:val="TableContents"/>
              <w:bidi w:val="0"/>
              <w:spacing w:before="0" w:after="0"/>
              <w:ind w:left="0" w:right="0" w:firstLine="280"/>
              <w:jc w:val="left"/>
              <w:rPr/>
            </w:pPr>
            <w:r>
              <w:rPr/>
              <w:t> </w:t>
            </w:r>
          </w:p>
        </w:tc>
      </w:tr>
      <w:tr>
        <w:trPr/>
        <w:tc>
          <w:tcPr>
            <w:tcW w:w="6402"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(896</w:t>
            </w:r>
          </w:p>
        </w:tc>
        <w:tc>
          <w:tcPr>
            <w:tcW w:w="1331" w:type="dxa"/>
            <w:tcBorders>
              <w:bottom w:val="single" w:sz="4" w:space="0" w:color="000000"/>
            </w:tcBorders>
            <w:tcMar>
              <w:top w:w="0" w:type="dxa"/>
              <w:left w:w="0" w:type="dxa"/>
              <w:right w:w="0" w:type="dxa"/>
            </w:tcMar>
            <w:vAlign w:val="center"/>
          </w:tcPr>
          <w:p>
            <w:pPr>
              <w:pStyle w:val="TableContents"/>
              <w:bidi w:val="0"/>
              <w:spacing w:before="0" w:after="0"/>
              <w:ind w:left="0" w:right="0" w:firstLine="1120"/>
              <w:jc w:val="left"/>
              <w:rPr>
                <w:rFonts w:ascii="Arial;sans-serif" w:hAnsi="Arial;sans-serif"/>
                <w:b w:val="false"/>
                <w:sz w:val="20"/>
              </w:rPr>
            </w:pPr>
            <w:r>
              <w:rPr>
                <w:rFonts w:ascii="Arial;sans-serif" w:hAnsi="Arial;sans-serif"/>
                <w:b w:val="false"/>
                <w:sz w:val="20"/>
              </w:rPr>
              <w:t>)</w:t>
            </w:r>
          </w:p>
        </w:tc>
      </w:tr>
      <w:tr>
        <w:trPr/>
        <w:tc>
          <w:tcPr>
            <w:tcW w:w="6402" w:type="dxa"/>
            <w:tcBorders/>
            <w:vAlign w:val="center"/>
          </w:tcPr>
          <w:p>
            <w:pPr>
              <w:pStyle w:val="TableContents"/>
              <w:bidi w:val="0"/>
              <w:spacing w:before="0" w:after="0"/>
              <w:ind w:left="1120" w:right="0" w:hanging="0"/>
              <w:jc w:val="left"/>
              <w:rPr>
                <w:rFonts w:ascii="Arial;sans-serif" w:hAnsi="Arial;sans-serif"/>
                <w:b w:val="false"/>
                <w:sz w:val="20"/>
              </w:rPr>
            </w:pPr>
            <w:r>
              <w:rPr>
                <w:rFonts w:ascii="Arial;sans-serif" w:hAnsi="Arial;sans-serif"/>
                <w:b w:val="false"/>
                <w:sz w:val="20"/>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68,008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19,385</w:t>
            </w:r>
          </w:p>
        </w:tc>
        <w:tc>
          <w:tcPr>
            <w:tcW w:w="1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02"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331" w:type="dxa"/>
            <w:tcBorders/>
            <w:vAlign w:val="center"/>
          </w:tcPr>
          <w:p>
            <w:pPr>
              <w:pStyle w:val="TableContents"/>
              <w:bidi w:val="0"/>
              <w:spacing w:before="0" w:after="0"/>
              <w:ind w:left="0" w:right="0" w:firstLine="280"/>
              <w:jc w:val="right"/>
              <w:rPr/>
            </w:pPr>
            <w:r>
              <w:rPr/>
              <w:t> </w:t>
            </w:r>
          </w:p>
        </w:tc>
      </w:tr>
      <w:tr>
        <w:trPr/>
        <w:tc>
          <w:tcPr>
            <w:tcW w:w="6402"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Proceeds from exercise of common stock options and issuance</w:t>
              <w:br/>
              <w:t>   of common stock under employee stock purchase plan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507</w:t>
            </w:r>
          </w:p>
        </w:tc>
        <w:tc>
          <w:tcPr>
            <w:tcW w:w="1331" w:type="dxa"/>
            <w:tcBorders>
              <w:bottom w:val="single" w:sz="4" w:space="0" w:color="000000"/>
            </w:tcBorders>
            <w:tcMar>
              <w:top w:w="0" w:type="dxa"/>
              <w:left w:w="0" w:type="dxa"/>
              <w:right w:w="0" w:type="dxa"/>
            </w:tcMar>
            <w:vAlign w:val="center"/>
          </w:tcPr>
          <w:p>
            <w:pPr>
              <w:pStyle w:val="TableContents"/>
              <w:bidi w:val="0"/>
              <w:spacing w:before="0" w:after="0"/>
              <w:ind w:left="0" w:right="0" w:firstLine="1120"/>
              <w:jc w:val="left"/>
              <w:rPr/>
            </w:pPr>
            <w:r>
              <w:rPr/>
              <w:t> </w:t>
            </w:r>
          </w:p>
        </w:tc>
      </w:tr>
      <w:tr>
        <w:trPr/>
        <w:tc>
          <w:tcPr>
            <w:tcW w:w="6402" w:type="dxa"/>
            <w:tcBorders/>
            <w:vAlign w:val="center"/>
          </w:tcPr>
          <w:p>
            <w:pPr>
              <w:pStyle w:val="TableContents"/>
              <w:bidi w:val="0"/>
              <w:spacing w:before="0" w:after="0"/>
              <w:ind w:left="1120" w:right="0" w:hanging="0"/>
              <w:jc w:val="left"/>
              <w:rPr>
                <w:rFonts w:ascii="Arial;sans-serif" w:hAnsi="Arial;sans-serif"/>
                <w:b w:val="false"/>
                <w:sz w:val="20"/>
              </w:rPr>
            </w:pPr>
            <w:r>
              <w:rPr>
                <w:rFonts w:ascii="Arial;sans-serif" w:hAnsi="Arial;sans-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507</w:t>
            </w:r>
          </w:p>
        </w:tc>
        <w:tc>
          <w:tcPr>
            <w:tcW w:w="1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0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17,873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(15,270</w:t>
            </w:r>
          </w:p>
        </w:tc>
        <w:tc>
          <w:tcPr>
            <w:tcW w:w="1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640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cash equivalents and restricted cash,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96,386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110,537</w:t>
            </w:r>
          </w:p>
        </w:tc>
        <w:tc>
          <w:tcPr>
            <w:tcW w:w="1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0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cash equivalents and restricted cash,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114,259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95,267</w:t>
            </w:r>
          </w:p>
        </w:tc>
        <w:tc>
          <w:tcPr>
            <w:tcW w:w="1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Arial;sans-serif" w:hAnsi="Arial;sans-serif"/>
          <w:b w:val="false"/>
          <w:i/>
          <w:sz w:val="20"/>
        </w:rPr>
      </w:pPr>
      <w:r>
        <w:rPr>
          <w:rFonts w:ascii="Arial;sans-serif" w:hAnsi="Arial;sans-serif"/>
          <w:b w:val="false"/>
          <w:i/>
          <w:sz w:val="20"/>
        </w:rPr>
        <w:t>The accompanying notes are an integral part of these unaudited condensed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ATHIRA PHARMA, INC.</w:t>
      </w:r>
    </w:p>
    <w:p>
      <w:pPr>
        <w:pStyle w:val="TextBody"/>
        <w:bidi w:val="0"/>
        <w:spacing w:before="0" w:after="0"/>
        <w:jc w:val="center"/>
        <w:rPr>
          <w:rFonts w:ascii="Arial;sans-serif" w:hAnsi="Arial;sans-serif"/>
          <w:b/>
          <w:sz w:val="20"/>
        </w:rPr>
      </w:pPr>
      <w:bookmarkStart w:id="8" w:name="notes_to_unaudited_condensed_consolidate"/>
      <w:bookmarkEnd w:id="8"/>
      <w:r>
        <w:rPr>
          <w:rFonts w:ascii="Arial;sans-serif" w:hAnsi="Arial;sans-serif"/>
          <w:b/>
          <w:sz w:val="20"/>
        </w:rPr>
        <w:t>Notes to Unaudited Condensed Consolidated Financial Statements</w:t>
      </w:r>
    </w:p>
    <w:p>
      <w:pPr>
        <w:pStyle w:val="TextBody"/>
        <w:bidi w:val="0"/>
        <w:spacing w:before="240" w:after="0"/>
        <w:jc w:val="both"/>
        <w:rPr>
          <w:rFonts w:ascii="Arial;sans-serif" w:hAnsi="Arial;sans-serif"/>
          <w:b/>
          <w:sz w:val="20"/>
        </w:rPr>
      </w:pPr>
      <w:r>
        <w:rPr>
          <w:rFonts w:ascii="Arial;sans-serif" w:hAnsi="Arial;sans-serif"/>
          <w:b/>
          <w:sz w:val="20"/>
        </w:rPr>
        <w:t>1. Description of Business</w:t>
      </w:r>
    </w:p>
    <w:p>
      <w:pPr>
        <w:pStyle w:val="TextBody"/>
        <w:bidi w:val="0"/>
        <w:spacing w:before="280" w:after="0"/>
        <w:jc w:val="both"/>
        <w:rPr>
          <w:rFonts w:ascii="Arial;sans-serif" w:hAnsi="Arial;sans-serif"/>
          <w:b/>
          <w:i/>
          <w:sz w:val="20"/>
        </w:rPr>
      </w:pPr>
      <w:r>
        <w:rPr>
          <w:rFonts w:ascii="Arial;sans-serif" w:hAnsi="Arial;sans-serif"/>
          <w:b/>
          <w:i/>
          <w:sz w:val="20"/>
        </w:rPr>
        <w:t>Organization</w:t>
      </w:r>
    </w:p>
    <w:p>
      <w:pPr>
        <w:pStyle w:val="TextBody"/>
        <w:bidi w:val="0"/>
        <w:spacing w:before="280" w:after="0"/>
        <w:jc w:val="both"/>
        <w:rPr>
          <w:rFonts w:ascii="Times New Roman" w:hAnsi="Times New Roman"/>
          <w:sz w:val="20"/>
        </w:rPr>
      </w:pPr>
      <w:r>
        <w:rPr>
          <w:rFonts w:ascii="Arial;sans-serif" w:hAnsi="Arial;sans-serif"/>
          <w:b w:val="false"/>
          <w:sz w:val="20"/>
        </w:rPr>
        <w:t>Athira Pharma, Inc. (the “Company”) was incorporated as M3 Biotechnology, Inc. in the state of Washington on March 31, 2011</w:t>
      </w:r>
      <w:r>
        <w:rPr>
          <w:rFonts w:ascii="Times New Roman" w:hAnsi="Times New Roman"/>
          <w:sz w:val="20"/>
        </w:rPr>
        <w:t xml:space="preserve"> </w:t>
      </w:r>
      <w:r>
        <w:rPr>
          <w:rFonts w:ascii="Arial;sans-serif" w:hAnsi="Arial;sans-serif"/>
          <w:b w:val="false"/>
          <w:sz w:val="20"/>
        </w:rPr>
        <w:t>and reincorporated in the state of Delaware on October 27, 2015. In April 2019, the Company changed its name to Athira Pharma, Inc. The Company currently has office and laboratory space in Bothell, Washington. The Company is a late clinical-stage biopharmaceutical company focused on developing small molecules to restore neuronal health and slow neurodegeneration.</w:t>
      </w:r>
    </w:p>
    <w:p>
      <w:pPr>
        <w:pStyle w:val="TextBody"/>
        <w:bidi w:val="0"/>
        <w:spacing w:before="280" w:after="0"/>
        <w:jc w:val="both"/>
        <w:rPr>
          <w:rFonts w:ascii="Arial;sans-serif" w:hAnsi="Arial;sans-serif"/>
          <w:b/>
          <w:i/>
          <w:sz w:val="20"/>
        </w:rPr>
      </w:pPr>
      <w:r>
        <w:rPr>
          <w:rFonts w:ascii="Arial;sans-serif" w:hAnsi="Arial;sans-serif"/>
          <w:b/>
          <w:i/>
          <w:sz w:val="20"/>
        </w:rPr>
        <w:t>At The Market Common Stock Offering</w:t>
      </w:r>
    </w:p>
    <w:p>
      <w:pPr>
        <w:pStyle w:val="TextBody"/>
        <w:bidi w:val="0"/>
        <w:spacing w:before="280" w:after="0"/>
        <w:jc w:val="both"/>
        <w:rPr>
          <w:rFonts w:ascii="Times New Roman" w:hAnsi="Times New Roman"/>
          <w:sz w:val="20"/>
        </w:rPr>
      </w:pPr>
      <w:r>
        <w:rPr>
          <w:rFonts w:ascii="Arial;sans-serif" w:hAnsi="Arial;sans-serif"/>
          <w:b w:val="false"/>
          <w:sz w:val="20"/>
        </w:rPr>
        <w:t>In January 2023, the Company entered into a sales agreement with Cantor Fitzgerald &amp; Co. ("Cantor Fitzgerald"), and BTIG, LLC ("BTIG"), to sell shares of our common stock having aggregate sales proceeds of up to $75.0</w:t>
      </w:r>
      <w:r>
        <w:rPr>
          <w:rFonts w:ascii="Times New Roman" w:hAnsi="Times New Roman"/>
          <w:sz w:val="20"/>
        </w:rPr>
        <w:t xml:space="preserve"> </w:t>
      </w:r>
      <w:r>
        <w:rPr>
          <w:rFonts w:ascii="Arial;sans-serif" w:hAnsi="Arial;sans-serif"/>
          <w:b w:val="false"/>
          <w:sz w:val="20"/>
        </w:rPr>
        <w:t>million, from time to time, through an “at the market” (“ATM”) equity offering program under which Cantor Fitzgerald and BTIG are acting as sales agents. The Company has not sold any securities pursuant to this ATM offering</w:t>
      </w:r>
      <w:r>
        <w:rPr>
          <w:rFonts w:ascii="Arial;sans-serif" w:hAnsi="Arial;sans-serif"/>
          <w:b w:val="false"/>
          <w:i/>
          <w:sz w:val="20"/>
        </w:rPr>
        <w:t>.</w:t>
      </w:r>
    </w:p>
    <w:p>
      <w:pPr>
        <w:pStyle w:val="TextBody"/>
        <w:bidi w:val="0"/>
        <w:spacing w:before="280" w:after="0"/>
        <w:jc w:val="both"/>
        <w:rPr>
          <w:rFonts w:ascii="Arial;sans-serif" w:hAnsi="Arial;sans-serif"/>
          <w:b/>
          <w:i/>
          <w:sz w:val="20"/>
        </w:rPr>
      </w:pPr>
      <w:r>
        <w:rPr>
          <w:rFonts w:ascii="Arial;sans-serif" w:hAnsi="Arial;sans-serif"/>
          <w:b/>
          <w:i/>
          <w:sz w:val="20"/>
        </w:rPr>
        <w:t>Liquidity and Capital Resources</w:t>
      </w:r>
    </w:p>
    <w:p>
      <w:pPr>
        <w:pStyle w:val="TextBody"/>
        <w:bidi w:val="0"/>
        <w:spacing w:before="280" w:after="0"/>
        <w:jc w:val="both"/>
        <w:rPr>
          <w:rFonts w:ascii="Times New Roman" w:hAnsi="Times New Roman"/>
          <w:sz w:val="20"/>
        </w:rPr>
      </w:pPr>
      <w:r>
        <w:rPr>
          <w:rFonts w:ascii="Arial;sans-serif" w:hAnsi="Arial;sans-serif"/>
          <w:b w:val="false"/>
          <w:sz w:val="20"/>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June 30, 2023, it has raised aggregate net cash proceeds of $407.4</w:t>
      </w:r>
      <w:r>
        <w:rPr>
          <w:rFonts w:ascii="Times New Roman" w:hAnsi="Times New Roman"/>
          <w:sz w:val="20"/>
        </w:rPr>
        <w:t xml:space="preserve"> </w:t>
      </w:r>
      <w:r>
        <w:rPr>
          <w:rFonts w:ascii="Arial;sans-serif" w:hAnsi="Arial;sans-serif"/>
          <w:b w:val="false"/>
          <w:sz w:val="20"/>
        </w:rPr>
        <w:t>million primarily from the issuance of its common stock (excluding option exercises), convertible preferred stock, common stock warrants, and convertible notes. As of June 30, 2023, the Company had $196.3</w:t>
      </w:r>
      <w:r>
        <w:rPr>
          <w:rFonts w:ascii="Times New Roman" w:hAnsi="Times New Roman"/>
          <w:sz w:val="20"/>
        </w:rPr>
        <w:t xml:space="preserve"> </w:t>
      </w:r>
      <w:r>
        <w:rPr>
          <w:rFonts w:ascii="Arial;sans-serif" w:hAnsi="Arial;sans-serif"/>
          <w:b w:val="false"/>
          <w:sz w:val="20"/>
        </w:rPr>
        <w:t>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pStyle w:val="TextBody"/>
        <w:bidi w:val="0"/>
        <w:spacing w:before="280" w:after="0"/>
        <w:jc w:val="both"/>
        <w:rPr>
          <w:rFonts w:ascii="Times New Roman" w:hAnsi="Times New Roman"/>
          <w:sz w:val="20"/>
        </w:rPr>
      </w:pPr>
      <w:r>
        <w:rPr>
          <w:rFonts w:ascii="Arial;sans-serif" w:hAnsi="Arial;sans-serif"/>
          <w:b w:val="false"/>
          <w:sz w:val="20"/>
        </w:rPr>
        <w:t>Based upon the Company’s current operating plan, it estimates that its $196.3</w:t>
      </w:r>
      <w:r>
        <w:rPr>
          <w:rFonts w:ascii="Times New Roman" w:hAnsi="Times New Roman"/>
          <w:sz w:val="20"/>
        </w:rPr>
        <w:t xml:space="preserve"> </w:t>
      </w:r>
      <w:r>
        <w:rPr>
          <w:rFonts w:ascii="Arial;sans-serif" w:hAnsi="Arial;sans-serif"/>
          <w:b w:val="false"/>
          <w:sz w:val="20"/>
        </w:rPr>
        <w:t>million of cash, cash equivalents and investments at June 30, 2023</w:t>
      </w:r>
      <w:r>
        <w:rPr>
          <w:rFonts w:ascii="Times New Roman" w:hAnsi="Times New Roman"/>
          <w:sz w:val="20"/>
        </w:rPr>
        <w:t xml:space="preserve"> </w:t>
      </w:r>
      <w:r>
        <w:rPr>
          <w:rFonts w:ascii="Arial;sans-serif" w:hAnsi="Arial;sans-serif"/>
          <w:b w:val="false"/>
          <w:sz w:val="20"/>
        </w:rPr>
        <w:t>will be sufficient to fund its operating expenses and capital expenditure requirements through at least the 12 months following the date of this report.</w:t>
      </w:r>
    </w:p>
    <w:p>
      <w:pPr>
        <w:pStyle w:val="TextBody"/>
        <w:bidi w:val="0"/>
        <w:spacing w:before="0" w:after="0"/>
        <w:jc w:val="both"/>
        <w:rPr/>
      </w:pPr>
      <w:r>
        <w:rPr/>
        <w:t> </w:t>
      </w:r>
    </w:p>
    <w:p>
      <w:pPr>
        <w:pStyle w:val="TextBody"/>
        <w:bidi w:val="0"/>
        <w:spacing w:before="80" w:after="0"/>
        <w:jc w:val="both"/>
        <w:rPr>
          <w:rFonts w:ascii="Arial;sans-serif" w:hAnsi="Arial;sans-serif"/>
          <w:b/>
          <w:sz w:val="20"/>
        </w:rPr>
      </w:pPr>
      <w:r>
        <w:rPr>
          <w:rFonts w:ascii="Arial;sans-serif" w:hAnsi="Arial;sans-serif"/>
          <w:b/>
          <w:sz w:val="20"/>
        </w:rPr>
        <w:t>2. Significant Accounting Policies</w:t>
      </w:r>
    </w:p>
    <w:p>
      <w:pPr>
        <w:pStyle w:val="TextBody"/>
        <w:bidi w:val="0"/>
        <w:spacing w:before="280" w:after="0"/>
        <w:jc w:val="both"/>
        <w:rPr>
          <w:rFonts w:ascii="Arial;sans-serif" w:hAnsi="Arial;sans-serif"/>
          <w:b/>
          <w:i/>
          <w:sz w:val="20"/>
        </w:rPr>
      </w:pPr>
      <w:r>
        <w:rPr>
          <w:rFonts w:ascii="Arial;sans-serif" w:hAnsi="Arial;sans-serif"/>
          <w:b/>
          <w:i/>
          <w:sz w:val="20"/>
        </w:rPr>
        <w:t>Basis of Presentation</w:t>
      </w:r>
    </w:p>
    <w:p>
      <w:pPr>
        <w:pStyle w:val="TextBody"/>
        <w:bidi w:val="0"/>
        <w:spacing w:before="280" w:after="0"/>
        <w:jc w:val="both"/>
        <w:rPr>
          <w:rFonts w:ascii="Arial;sans-serif" w:hAnsi="Arial;sans-serif"/>
          <w:b w:val="false"/>
          <w:sz w:val="20"/>
        </w:rPr>
      </w:pPr>
      <w:r>
        <w:rPr>
          <w:rFonts w:ascii="Arial;sans-serif" w:hAnsi="Arial;sans-serif"/>
          <w:b w:val="false"/>
          <w:sz w:val="20"/>
        </w:rPr>
        <w:t>The unaudited condensed consolidated financial statements have been prepared in conformity with U.S. generally accepted accounting principles (“U.S. GAAP”). The unaudited condensed consolidated financial statements include the operations of Athira Pharma, Inc., and its wholly owned Australian subsidiary. All intercompany balances and transactions have been eliminated upon consolidation.</w:t>
      </w:r>
    </w:p>
    <w:p>
      <w:pPr>
        <w:pStyle w:val="TextBody"/>
        <w:bidi w:val="0"/>
        <w:spacing w:before="280" w:after="0"/>
        <w:jc w:val="both"/>
        <w:rPr>
          <w:rFonts w:ascii="Arial;sans-serif" w:hAnsi="Arial;sans-serif"/>
          <w:b/>
          <w:i/>
          <w:sz w:val="20"/>
        </w:rPr>
      </w:pPr>
      <w:r>
        <w:rPr>
          <w:rFonts w:ascii="Arial;sans-serif" w:hAnsi="Arial;sans-serif"/>
          <w:b/>
          <w:i/>
          <w:sz w:val="20"/>
        </w:rPr>
        <w:t>Unaudited Interim Condensed Consolidated Financial Statements</w:t>
      </w:r>
    </w:p>
    <w:p>
      <w:pPr>
        <w:pStyle w:val="TextBody"/>
        <w:bidi w:val="0"/>
        <w:spacing w:before="280" w:after="0"/>
        <w:jc w:val="both"/>
        <w:rPr>
          <w:rFonts w:ascii="Times New Roman" w:hAnsi="Times New Roman"/>
          <w:sz w:val="20"/>
        </w:rPr>
      </w:pPr>
      <w:r>
        <w:rPr>
          <w:rFonts w:ascii="Arial;sans-serif" w:hAnsi="Arial;sans-serif"/>
          <w:b w:val="false"/>
          <w:sz w:val="20"/>
        </w:rPr>
        <w:t>The accompanying unaudited condensed consolidated balance sheet as of June 30, 2023, and unaudited condensed consolidated statements of operations and comprehensive loss, and stockholders’ equity for the three and six months ended June 30, 2023 and 2022, and the condensed consolidated statements of cash flows for the six months ended June 30, 2023 and 2022, are unaudited. The balance sheet as of December 31, 2022 was derived from the audited consolidated financial statements as of and for the year ended December 31, 2022. The unaudited interim condensed consolidated financial statements have been prepared on a basis consistent with the audited annual financial statements as of and for the year ended December 31, 2022, and, in the opinion of management, reflect all adjustments, consisting solely of normal recurring adjustments, necessary for the fair presentation of the Company’s financial position as of June 30, 2023, and the unaudited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Arial;sans-serif" w:hAnsi="Arial;sans-serif"/>
          <w:b w:val="false"/>
          <w:sz w:val="20"/>
        </w:rPr>
        <w:t>condensed consolidated results of its operations for the three and six months ended June 30, 2023 and 2022 and the unaudited condensed consolidated statements of cash flows for the six months ended June 30, 2023 and 2022. The financial data and other information disclosed in these notes related to the three and six months ended June 30, 2023 and 2022 are also unaudited. The unaudited condensed consolidated results of operations for the three and six months ended June 30, 2023 are not necessarily indicative of the results to be expected for the full year ending December 31, 2023 or any other period. These unaudited interim condensed consolidated financial statements should be read in conjunction with the Company’s audited consolidated financial statements as of and for the year ended December 31, 2022</w:t>
      </w:r>
      <w:r>
        <w:rPr>
          <w:rFonts w:ascii="Times New Roman" w:hAnsi="Times New Roman"/>
          <w:sz w:val="20"/>
        </w:rPr>
        <w:t xml:space="preserve"> </w:t>
      </w:r>
      <w:r>
        <w:rPr>
          <w:rFonts w:ascii="Arial;sans-serif" w:hAnsi="Arial;sans-serif"/>
          <w:b w:val="false"/>
          <w:sz w:val="20"/>
        </w:rPr>
        <w:t>included in its Annual Report on Form 10-K filed with the SEC on March 23, 2023.</w:t>
      </w:r>
    </w:p>
    <w:p>
      <w:pPr>
        <w:pStyle w:val="TextBody"/>
        <w:bidi w:val="0"/>
        <w:spacing w:before="280" w:after="0"/>
        <w:jc w:val="both"/>
        <w:rPr>
          <w:rFonts w:ascii="Arial;sans-serif" w:hAnsi="Arial;sans-serif"/>
          <w:b/>
          <w:i/>
          <w:sz w:val="20"/>
        </w:rPr>
      </w:pPr>
      <w:r>
        <w:rPr>
          <w:rFonts w:ascii="Arial;sans-serif" w:hAnsi="Arial;sans-serif"/>
          <w:b/>
          <w:i/>
          <w:sz w:val="20"/>
        </w:rPr>
        <w:t>Fair Value Measurements</w:t>
      </w:r>
    </w:p>
    <w:p>
      <w:pPr>
        <w:pStyle w:val="TextBody"/>
        <w:bidi w:val="0"/>
        <w:spacing w:before="280" w:after="0"/>
        <w:jc w:val="both"/>
        <w:rPr>
          <w:rFonts w:ascii="Arial;sans-serif" w:hAnsi="Arial;sans-serif"/>
          <w:b w:val="false"/>
          <w:sz w:val="20"/>
        </w:rPr>
      </w:pPr>
      <w:r>
        <w:rPr>
          <w:rFonts w:ascii="Arial;sans-serif" w:hAnsi="Arial;sans-serif"/>
          <w:b w:val="false"/>
          <w:sz w:val="20"/>
        </w:rPr>
        <w:t>The carrying amounts of certain financial instruments, including cash, cash equivalents, restricted cash, investments, accounts payable and accrued expenses approximate their fair values due to the short-term nature of those amounts.</w:t>
      </w:r>
    </w:p>
    <w:p>
      <w:pPr>
        <w:pStyle w:val="TextBody"/>
        <w:bidi w:val="0"/>
        <w:spacing w:before="280" w:after="0"/>
        <w:jc w:val="both"/>
        <w:rPr>
          <w:rFonts w:ascii="Arial;sans-serif" w:hAnsi="Arial;sans-serif"/>
          <w:b/>
          <w:i/>
          <w:sz w:val="20"/>
        </w:rPr>
      </w:pPr>
      <w:r>
        <w:rPr>
          <w:rFonts w:ascii="Arial;sans-serif" w:hAnsi="Arial;sans-serif"/>
          <w:b/>
          <w:i/>
          <w:sz w:val="20"/>
        </w:rPr>
        <w:t>Restricted Cash</w:t>
      </w:r>
    </w:p>
    <w:p>
      <w:pPr>
        <w:pStyle w:val="TextBody"/>
        <w:bidi w:val="0"/>
        <w:spacing w:before="280" w:after="280"/>
        <w:jc w:val="both"/>
        <w:rPr>
          <w:rFonts w:ascii="Arial;sans-serif" w:hAnsi="Arial;sans-serif"/>
          <w:b w:val="false"/>
          <w:sz w:val="20"/>
        </w:rPr>
      </w:pPr>
      <w:r>
        <w:rPr>
          <w:rFonts w:ascii="Arial;sans-serif" w:hAnsi="Arial;sans-serif"/>
          <w:b w:val="false"/>
          <w:sz w:val="20"/>
        </w:rPr>
        <w:t>Restricted cash consists of collateral pledged in connection with the Company's corporate credit cards. The table below reconciles the balances of cash and cash equivalents and restricted cash reported on the unaudited condensed consolidated balance sheets to the balances of cash, cash equivalents and restricted cash reported on the unaudited condensed consolidated statements of cash flows.</w:t>
      </w:r>
    </w:p>
    <w:tbl>
      <w:tblPr>
        <w:tblW w:w="6692" w:type="dxa"/>
        <w:jc w:val="left"/>
        <w:tblInd w:w="0" w:type="dxa"/>
        <w:tblLayout w:type="fixed"/>
        <w:tblCellMar>
          <w:top w:w="28" w:type="dxa"/>
          <w:left w:w="28" w:type="dxa"/>
          <w:bottom w:w="28" w:type="dxa"/>
          <w:right w:w="28" w:type="dxa"/>
        </w:tblCellMar>
      </w:tblPr>
      <w:tblGrid>
        <w:gridCol w:w="3886"/>
        <w:gridCol w:w="146"/>
        <w:gridCol w:w="211"/>
        <w:gridCol w:w="796"/>
        <w:gridCol w:w="146"/>
        <w:gridCol w:w="146"/>
        <w:gridCol w:w="273"/>
        <w:gridCol w:w="897"/>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113,628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95,966</w:t>
            </w:r>
          </w:p>
        </w:tc>
        <w:tc>
          <w:tcPr>
            <w:tcW w:w="191" w:type="dxa"/>
            <w:tcBorders/>
            <w:vAlign w:val="center"/>
          </w:tcPr>
          <w:p>
            <w:pPr>
              <w:pStyle w:val="TableContents"/>
              <w:bidi w:val="0"/>
              <w:spacing w:before="0" w:after="0"/>
              <w:ind w:left="0" w:right="0" w:hanging="0"/>
              <w:jc w:val="left"/>
              <w:rPr/>
            </w:pPr>
            <w:r>
              <w:rPr/>
              <w:t> </w:t>
            </w:r>
          </w:p>
        </w:tc>
      </w:tr>
      <w:tr>
        <w:trPr/>
        <w:tc>
          <w:tcPr>
            <w:tcW w:w="38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114,259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96,386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80" w:after="0"/>
        <w:jc w:val="both"/>
        <w:rPr>
          <w:rFonts w:ascii="Arial;sans-serif" w:hAnsi="Arial;sans-serif"/>
          <w:b/>
          <w:i/>
          <w:sz w:val="20"/>
        </w:rPr>
      </w:pPr>
      <w:r>
        <w:rPr>
          <w:rFonts w:ascii="Arial;sans-serif" w:hAnsi="Arial;sans-serif"/>
          <w:b/>
          <w:i/>
          <w:sz w:val="20"/>
        </w:rPr>
        <w:t>Grant Income</w:t>
      </w:r>
    </w:p>
    <w:p>
      <w:pPr>
        <w:pStyle w:val="TextBody"/>
        <w:bidi w:val="0"/>
        <w:spacing w:before="280" w:after="0"/>
        <w:jc w:val="both"/>
        <w:rPr>
          <w:rFonts w:ascii="Times New Roman" w:hAnsi="Times New Roman"/>
          <w:sz w:val="20"/>
        </w:rPr>
      </w:pPr>
      <w:r>
        <w:rPr>
          <w:rFonts w:ascii="Arial;sans-serif" w:hAnsi="Arial;sans-serif"/>
          <w:b w:val="false"/>
          <w:sz w:val="20"/>
        </w:rPr>
        <w:t>In December 2020, the Company accepted a grant from the National Institute on Aging (“NIA”) of the National Institutes of Health (“NIH”) to support its ACT-AD Phase 2 clinical trial for fosgonimeton (then-named ATH-1017), the Company’s lead therapeutic candidate being developed for the treatment of individuals with mild-to-moderate Alzheimer’s disease. The Company recognizes income related to the NIH grant in the accompanying unaudited condensed consolidated statements of operations and comprehensive loss as qualifying expenses under the grant agreement are incurred. As of June 30, 2023, the Company has recognized aggregate grant income of $15.2</w:t>
      </w:r>
      <w:r>
        <w:rPr>
          <w:rFonts w:ascii="Times New Roman" w:hAnsi="Times New Roman"/>
          <w:sz w:val="20"/>
        </w:rPr>
        <w:t xml:space="preserve"> </w:t>
      </w:r>
      <w:r>
        <w:rPr>
          <w:rFonts w:ascii="Arial;sans-serif" w:hAnsi="Arial;sans-serif"/>
          <w:b w:val="false"/>
          <w:sz w:val="20"/>
        </w:rPr>
        <w:t>million in connection with the NIH grant, equal to the total grant amount approved and the Company will not recognize any additional grant income in connection with the NIH grant.</w:t>
      </w:r>
    </w:p>
    <w:p>
      <w:pPr>
        <w:pStyle w:val="TextBody"/>
        <w:bidi w:val="0"/>
        <w:spacing w:before="280" w:after="0"/>
        <w:jc w:val="both"/>
        <w:rPr>
          <w:rFonts w:ascii="Times New Roman" w:hAnsi="Times New Roman"/>
          <w:sz w:val="20"/>
        </w:rPr>
      </w:pPr>
      <w:r>
        <w:rPr>
          <w:rFonts w:ascii="Arial;sans-serif" w:hAnsi="Arial;sans-serif"/>
          <w:b w:val="false"/>
          <w:sz w:val="20"/>
        </w:rPr>
        <w:t>During the three months ended June 30, 2023, the Company did not recognize any grant income. During the three months ended June 30, 2022, the Company recognized a reversal of $1.3</w:t>
      </w:r>
      <w:r>
        <w:rPr>
          <w:rFonts w:ascii="Times New Roman" w:hAnsi="Times New Roman"/>
          <w:sz w:val="20"/>
        </w:rPr>
        <w:t xml:space="preserve"> </w:t>
      </w:r>
      <w:r>
        <w:rPr>
          <w:rFonts w:ascii="Arial;sans-serif" w:hAnsi="Arial;sans-serif"/>
          <w:b w:val="false"/>
          <w:sz w:val="20"/>
        </w:rPr>
        <w:t>million of grant income previously recorded in the three months ended March 31, 2022. During the six months ended June 30, 2023 and 2022, the Company recognized grant income of $0.2</w:t>
      </w:r>
      <w:r>
        <w:rPr>
          <w:rFonts w:ascii="Times New Roman" w:hAnsi="Times New Roman"/>
          <w:sz w:val="20"/>
        </w:rPr>
        <w:t xml:space="preserve"> </w:t>
      </w:r>
      <w:r>
        <w:rPr>
          <w:rFonts w:ascii="Arial;sans-serif" w:hAnsi="Arial;sans-serif"/>
          <w:b w:val="false"/>
          <w:sz w:val="20"/>
        </w:rPr>
        <w:t>million and $1.0</w:t>
      </w:r>
      <w:r>
        <w:rPr>
          <w:rFonts w:ascii="Times New Roman" w:hAnsi="Times New Roman"/>
          <w:sz w:val="20"/>
        </w:rPr>
        <w:t xml:space="preserve"> </w:t>
      </w:r>
      <w:r>
        <w:rPr>
          <w:rFonts w:ascii="Arial;sans-serif" w:hAnsi="Arial;sans-serif"/>
          <w:b w:val="false"/>
          <w:sz w:val="20"/>
        </w:rPr>
        <w:t>million, respectively, in connection with the NIH grant. As of December 31, 2022, the Company incurred qualifying expenses in excess of cash received of approximately $1.2</w:t>
      </w:r>
      <w:r>
        <w:rPr>
          <w:rFonts w:ascii="Times New Roman" w:hAnsi="Times New Roman"/>
          <w:sz w:val="20"/>
        </w:rPr>
        <w:t xml:space="preserve"> </w:t>
      </w:r>
      <w:r>
        <w:rPr>
          <w:rFonts w:ascii="Arial;sans-serif" w:hAnsi="Arial;sans-serif"/>
          <w:b w:val="false"/>
          <w:sz w:val="20"/>
        </w:rPr>
        <w:t>million, which is included in unbilled grant receivable on the unaudited condensed consolidated balance sheets. During the six months ended June 30, 2023 and 2022, the Company received cash of $1.4</w:t>
      </w:r>
      <w:r>
        <w:rPr>
          <w:rFonts w:ascii="Times New Roman" w:hAnsi="Times New Roman"/>
          <w:sz w:val="20"/>
        </w:rPr>
        <w:t xml:space="preserve"> </w:t>
      </w:r>
      <w:r>
        <w:rPr>
          <w:rFonts w:ascii="Arial;sans-serif" w:hAnsi="Arial;sans-serif"/>
          <w:b w:val="false"/>
          <w:sz w:val="20"/>
        </w:rPr>
        <w:t>million and $4.6</w:t>
      </w:r>
      <w:r>
        <w:rPr>
          <w:rFonts w:ascii="Times New Roman" w:hAnsi="Times New Roman"/>
          <w:sz w:val="20"/>
        </w:rPr>
        <w:t xml:space="preserve"> </w:t>
      </w:r>
      <w:r>
        <w:rPr>
          <w:rFonts w:ascii="Arial;sans-serif" w:hAnsi="Arial;sans-serif"/>
          <w:b w:val="false"/>
          <w:sz w:val="20"/>
        </w:rPr>
        <w:t>million, respectively.</w:t>
      </w:r>
    </w:p>
    <w:p>
      <w:pPr>
        <w:pStyle w:val="TextBody"/>
        <w:bidi w:val="0"/>
        <w:spacing w:before="0" w:after="0"/>
        <w:jc w:val="both"/>
        <w:rPr/>
      </w:pPr>
      <w:r>
        <w:rPr/>
        <w:t> </w:t>
      </w:r>
    </w:p>
    <w:p>
      <w:pPr>
        <w:pStyle w:val="TextBody"/>
        <w:bidi w:val="0"/>
        <w:spacing w:before="80" w:after="0"/>
        <w:jc w:val="both"/>
        <w:rPr>
          <w:rFonts w:ascii="Arial;sans-serif" w:hAnsi="Arial;sans-serif"/>
          <w:b/>
          <w:i/>
          <w:sz w:val="20"/>
        </w:rPr>
      </w:pPr>
      <w:r>
        <w:rPr>
          <w:rFonts w:ascii="Arial;sans-serif" w:hAnsi="Arial;sans-serif"/>
          <w:b/>
          <w:i/>
          <w:sz w:val="20"/>
        </w:rPr>
        <w:t>Short-term and Long-term Investments</w:t>
      </w:r>
    </w:p>
    <w:p>
      <w:pPr>
        <w:pStyle w:val="TextBody"/>
        <w:bidi w:val="0"/>
        <w:spacing w:before="280" w:after="0"/>
        <w:jc w:val="both"/>
        <w:rPr>
          <w:rFonts w:ascii="Times New Roman" w:hAnsi="Times New Roman"/>
          <w:sz w:val="20"/>
        </w:rPr>
      </w:pPr>
      <w:r>
        <w:rPr>
          <w:rFonts w:ascii="Arial;sans-serif" w:hAnsi="Arial;sans-serif"/>
          <w:b w:val="false"/>
          <w:sz w:val="20"/>
        </w:rPr>
        <w:t>The Company generally invests its excess cash in investment grade short- to intermediate-term fixed income securities. Such investments are included in cash and cash equivalents, short-term investments, and long-term investments on the unaudited condensed consolidated balance sheets, classified as available-for-sale, and reported at fair value with unrealized gains and losses included in accumulated other comprehensive loss. Amortization and accretion are included in other income, net. Realized gains and losses on the sale of these securities are recognized in other income, net.</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pStyle w:val="TextBody"/>
        <w:bidi w:val="0"/>
        <w:spacing w:before="240" w:after="0"/>
        <w:jc w:val="center"/>
        <w:rPr>
          <w:rFonts w:ascii="Arial;sans-serif" w:hAnsi="Arial;sans-serif"/>
          <w:b w:val="false"/>
          <w:sz w:val="20"/>
        </w:rPr>
      </w:pPr>
      <w:r>
        <w:rPr>
          <w:rFonts w:ascii="Arial;sans-serif" w:hAnsi="Arial;sans-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i/>
          <w:sz w:val="20"/>
        </w:rPr>
      </w:pPr>
      <w:r>
        <w:rPr>
          <w:rFonts w:ascii="Arial;sans-serif" w:hAnsi="Arial;sans-serif"/>
          <w:b/>
          <w:i/>
          <w:sz w:val="20"/>
        </w:rPr>
        <w:t>Use of Estimates</w:t>
      </w:r>
    </w:p>
    <w:p>
      <w:pPr>
        <w:pStyle w:val="TextBody"/>
        <w:bidi w:val="0"/>
        <w:spacing w:before="280" w:after="0"/>
        <w:jc w:val="both"/>
        <w:rPr>
          <w:rFonts w:ascii="Arial;sans-serif" w:hAnsi="Arial;sans-serif"/>
          <w:b w:val="false"/>
          <w:sz w:val="20"/>
        </w:rPr>
      </w:pPr>
      <w:r>
        <w:rPr>
          <w:rFonts w:ascii="Arial;sans-serif" w:hAnsi="Arial;sans-serif"/>
          <w:b w:val="false"/>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pStyle w:val="TextBody"/>
        <w:bidi w:val="0"/>
        <w:spacing w:before="280" w:after="0"/>
        <w:jc w:val="both"/>
        <w:rPr>
          <w:rFonts w:ascii="Arial;sans-serif" w:hAnsi="Arial;sans-serif"/>
          <w:b/>
          <w:i/>
          <w:sz w:val="20"/>
        </w:rPr>
      </w:pPr>
      <w:r>
        <w:rPr>
          <w:rFonts w:ascii="Arial;sans-serif" w:hAnsi="Arial;sans-serif"/>
          <w:b/>
          <w:i/>
          <w:sz w:val="20"/>
        </w:rPr>
        <w:t>Research and Development Expenses</w:t>
      </w:r>
    </w:p>
    <w:p>
      <w:pPr>
        <w:pStyle w:val="TextBody"/>
        <w:bidi w:val="0"/>
        <w:spacing w:before="280" w:after="0"/>
        <w:jc w:val="both"/>
        <w:rPr>
          <w:rFonts w:ascii="Arial;sans-serif" w:hAnsi="Arial;sans-serif"/>
          <w:b w:val="false"/>
          <w:sz w:val="20"/>
        </w:rPr>
      </w:pPr>
      <w:r>
        <w:rPr>
          <w:rFonts w:ascii="Arial;sans-serif" w:hAnsi="Arial;sans-serif"/>
          <w:b w:val="false"/>
          <w:sz w:val="20"/>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80" w:after="0"/>
        <w:jc w:val="both"/>
        <w:rPr>
          <w:rFonts w:ascii="Arial;sans-serif" w:hAnsi="Arial;sans-serif"/>
          <w:b w:val="false"/>
          <w:sz w:val="20"/>
        </w:rPr>
      </w:pPr>
      <w:r>
        <w:rPr>
          <w:rFonts w:ascii="Arial;sans-serif" w:hAnsi="Arial;sans-serif"/>
          <w:b w:val="false"/>
          <w:sz w:val="20"/>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pStyle w:val="TextBody"/>
        <w:bidi w:val="0"/>
        <w:spacing w:before="280" w:after="0"/>
        <w:jc w:val="both"/>
        <w:rPr>
          <w:rFonts w:ascii="Arial;sans-serif" w:hAnsi="Arial;sans-serif"/>
          <w:b/>
          <w:i/>
          <w:sz w:val="20"/>
        </w:rPr>
      </w:pPr>
      <w:r>
        <w:rPr>
          <w:rFonts w:ascii="Arial;sans-serif" w:hAnsi="Arial;sans-serif"/>
          <w:b/>
          <w:i/>
          <w:sz w:val="20"/>
        </w:rPr>
        <w:t>General and Administrative Expenses</w:t>
      </w:r>
    </w:p>
    <w:p>
      <w:pPr>
        <w:pStyle w:val="TextBody"/>
        <w:bidi w:val="0"/>
        <w:spacing w:before="280" w:after="0"/>
        <w:jc w:val="both"/>
        <w:rPr>
          <w:rFonts w:ascii="Arial;sans-serif" w:hAnsi="Arial;sans-serif"/>
          <w:b w:val="false"/>
          <w:sz w:val="20"/>
        </w:rPr>
      </w:pPr>
      <w:r>
        <w:rPr>
          <w:rFonts w:ascii="Arial;sans-serif" w:hAnsi="Arial;sans-serif"/>
          <w:b w:val="false"/>
          <w:sz w:val="20"/>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pStyle w:val="TextBody"/>
        <w:bidi w:val="0"/>
        <w:spacing w:before="280" w:after="0"/>
        <w:jc w:val="both"/>
        <w:rPr>
          <w:rFonts w:ascii="Arial;sans-serif" w:hAnsi="Arial;sans-serif"/>
          <w:b/>
          <w:i/>
          <w:sz w:val="20"/>
        </w:rPr>
      </w:pPr>
      <w:r>
        <w:rPr>
          <w:rFonts w:ascii="Arial;sans-serif" w:hAnsi="Arial;sans-serif"/>
          <w:b/>
          <w:i/>
          <w:sz w:val="20"/>
        </w:rPr>
        <w:t>Leases</w:t>
      </w:r>
    </w:p>
    <w:p>
      <w:pPr>
        <w:pStyle w:val="TextBody"/>
        <w:bidi w:val="0"/>
        <w:spacing w:before="280" w:after="0"/>
        <w:jc w:val="both"/>
        <w:rPr>
          <w:rFonts w:ascii="Times New Roman" w:hAnsi="Times New Roman"/>
          <w:sz w:val="20"/>
        </w:rPr>
      </w:pPr>
      <w:r>
        <w:rPr>
          <w:rFonts w:ascii="Arial;sans-serif" w:hAnsi="Arial;sans-serif"/>
          <w:b w:val="false"/>
          <w:sz w:val="20"/>
        </w:rPr>
        <w:t xml:space="preserve">The Company adopted Accounting Standards Codification (“ASC”) </w:t>
      </w:r>
      <w:r>
        <w:rPr>
          <w:rFonts w:ascii="Arial;sans-serif" w:hAnsi="Arial;sans-serif"/>
          <w:b w:val="false"/>
          <w:i/>
          <w:sz w:val="20"/>
        </w:rPr>
        <w:t>Topic 842 - Leases</w:t>
      </w:r>
      <w:r>
        <w:rPr>
          <w:rFonts w:ascii="Times New Roman" w:hAnsi="Times New Roman"/>
          <w:sz w:val="20"/>
        </w:rPr>
        <w:t xml:space="preserve"> </w:t>
      </w:r>
      <w:r>
        <w:rPr>
          <w:rFonts w:ascii="Arial;sans-serif" w:hAnsi="Arial;sans-serif"/>
          <w:b w:val="false"/>
          <w:sz w:val="20"/>
        </w:rPr>
        <w:t>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pStyle w:val="TextBody"/>
        <w:bidi w:val="0"/>
        <w:spacing w:before="240" w:after="0"/>
        <w:jc w:val="both"/>
        <w:rPr>
          <w:rFonts w:ascii="Arial;sans-serif" w:hAnsi="Arial;sans-serif"/>
          <w:b w:val="false"/>
          <w:sz w:val="20"/>
        </w:rPr>
      </w:pPr>
      <w:r>
        <w:rPr>
          <w:rFonts w:ascii="Arial;sans-serif" w:hAnsi="Arial;sans-serif"/>
          <w:b w:val="false"/>
          <w:sz w:val="20"/>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pStyle w:val="TextBody"/>
        <w:bidi w:val="0"/>
        <w:spacing w:before="240" w:after="0"/>
        <w:jc w:val="both"/>
        <w:rPr>
          <w:rFonts w:ascii="Times New Roman" w:hAnsi="Times New Roman"/>
          <w:sz w:val="20"/>
        </w:rPr>
      </w:pPr>
      <w:r>
        <w:rPr>
          <w:rFonts w:ascii="Arial;sans-serif" w:hAnsi="Arial;sans-serif"/>
          <w:b w:val="false"/>
          <w:sz w:val="20"/>
        </w:rPr>
        <w:t>The Company has made a policy election regarding its real estate leases not to separate non-lease components from lease components, to the extent they are fixed. Non-lease components that are not fixed are expensed as incurred as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pStyle w:val="TextBody"/>
        <w:bidi w:val="0"/>
        <w:spacing w:before="280" w:after="0"/>
        <w:jc w:val="both"/>
        <w:rPr>
          <w:rFonts w:ascii="Arial;sans-serif" w:hAnsi="Arial;sans-serif"/>
          <w:b/>
          <w:i/>
          <w:sz w:val="20"/>
        </w:rPr>
      </w:pPr>
      <w:r>
        <w:rPr>
          <w:rFonts w:ascii="Arial;sans-serif" w:hAnsi="Arial;sans-serif"/>
          <w:b/>
          <w:i/>
          <w:sz w:val="20"/>
        </w:rPr>
        <w:t>Stock-based Compensation</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pStyle w:val="TextBody"/>
        <w:bidi w:val="0"/>
        <w:spacing w:before="240" w:after="0"/>
        <w:jc w:val="both"/>
        <w:rPr>
          <w:rFonts w:ascii="Arial;sans-serif" w:hAnsi="Arial;sans-serif"/>
          <w:b w:val="false"/>
          <w:sz w:val="20"/>
        </w:rPr>
      </w:pPr>
      <w:r>
        <w:rPr>
          <w:rFonts w:ascii="Arial;sans-serif" w:hAnsi="Arial;sans-serif"/>
          <w:b w:val="false"/>
          <w:sz w:val="20"/>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pStyle w:val="TextBody"/>
        <w:bidi w:val="0"/>
        <w:spacing w:before="280" w:after="0"/>
        <w:jc w:val="both"/>
        <w:rPr>
          <w:rFonts w:ascii="Arial;sans-serif" w:hAnsi="Arial;sans-serif"/>
          <w:b/>
          <w:i/>
          <w:sz w:val="20"/>
        </w:rPr>
      </w:pPr>
      <w:r>
        <w:rPr>
          <w:rFonts w:ascii="Arial;sans-serif" w:hAnsi="Arial;sans-serif"/>
          <w:b/>
          <w:i/>
          <w:sz w:val="20"/>
        </w:rPr>
        <w:t>Net Loss Per Share Attributable to Common Stockholders</w:t>
      </w:r>
    </w:p>
    <w:p>
      <w:pPr>
        <w:pStyle w:val="TextBody"/>
        <w:bidi w:val="0"/>
        <w:spacing w:before="280" w:after="0"/>
        <w:jc w:val="both"/>
        <w:rPr>
          <w:rFonts w:ascii="Arial;sans-serif" w:hAnsi="Arial;sans-serif"/>
          <w:b w:val="false"/>
          <w:sz w:val="20"/>
        </w:rPr>
      </w:pPr>
      <w:r>
        <w:rPr>
          <w:rFonts w:ascii="Arial;sans-serif" w:hAnsi="Arial;sans-serif"/>
          <w:b w:val="false"/>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pStyle w:val="TextBody"/>
        <w:bidi w:val="0"/>
        <w:spacing w:before="280" w:after="0"/>
        <w:jc w:val="both"/>
        <w:rPr>
          <w:rFonts w:ascii="Arial;sans-serif" w:hAnsi="Arial;sans-serif"/>
          <w:b/>
          <w:i/>
          <w:sz w:val="20"/>
        </w:rPr>
      </w:pPr>
      <w:r>
        <w:rPr>
          <w:rFonts w:ascii="Arial;sans-serif" w:hAnsi="Arial;sans-serif"/>
          <w:b/>
          <w:i/>
          <w:sz w:val="20"/>
        </w:rPr>
        <w:t>Segments</w:t>
      </w:r>
    </w:p>
    <w:p>
      <w:pPr>
        <w:pStyle w:val="TextBody"/>
        <w:bidi w:val="0"/>
        <w:spacing w:before="280" w:after="0"/>
        <w:jc w:val="both"/>
        <w:rPr>
          <w:rFonts w:ascii="Times New Roman" w:hAnsi="Times New Roman"/>
          <w:sz w:val="20"/>
        </w:rPr>
      </w:pPr>
      <w:r>
        <w:rPr>
          <w:rFonts w:ascii="Arial;sans-serif" w:hAnsi="Arial;sans-serif"/>
          <w:b w:val="false"/>
          <w:sz w:val="20"/>
        </w:rPr>
        <w:t>The Company has determined that it operates and manages one</w:t>
      </w:r>
      <w:r>
        <w:rPr>
          <w:rFonts w:ascii="Times New Roman" w:hAnsi="Times New Roman"/>
          <w:sz w:val="20"/>
        </w:rPr>
        <w:t xml:space="preserve"> </w:t>
      </w:r>
      <w:r>
        <w:rPr>
          <w:rFonts w:ascii="Arial;sans-serif" w:hAnsi="Arial;sans-serif"/>
          <w:b w:val="false"/>
          <w:sz w:val="20"/>
        </w:rPr>
        <w:t>operating segment, which is the business of developing and commercializing therapeutics. The Company’s chief operating decision maker, its chief executive officer, reviews financial information on an aggregate basis for the purpose of allocating resources.</w:t>
      </w:r>
    </w:p>
    <w:p>
      <w:pPr>
        <w:pStyle w:val="TextBody"/>
        <w:bidi w:val="0"/>
        <w:spacing w:before="280" w:after="0"/>
        <w:jc w:val="both"/>
        <w:rPr>
          <w:rFonts w:ascii="Arial;sans-serif" w:hAnsi="Arial;sans-serif"/>
          <w:b/>
          <w:i/>
          <w:sz w:val="20"/>
        </w:rPr>
      </w:pPr>
      <w:r>
        <w:rPr>
          <w:rFonts w:ascii="Arial;sans-serif" w:hAnsi="Arial;sans-serif"/>
          <w:b/>
          <w:i/>
          <w:sz w:val="20"/>
        </w:rPr>
        <w:t>Emerging Growth Company Status</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(1) no longer an emerging growth company and (2)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pStyle w:val="TextBody"/>
        <w:bidi w:val="0"/>
        <w:spacing w:before="0" w:after="0"/>
        <w:jc w:val="both"/>
        <w:rPr/>
      </w:pPr>
      <w:r>
        <w:rPr/>
        <w:t> </w:t>
      </w:r>
    </w:p>
    <w:p>
      <w:pPr>
        <w:pStyle w:val="TextBody"/>
        <w:bidi w:val="0"/>
        <w:spacing w:before="80" w:after="0"/>
        <w:jc w:val="both"/>
        <w:rPr>
          <w:rFonts w:ascii="Arial;sans-serif" w:hAnsi="Arial;sans-serif"/>
          <w:b/>
          <w:i/>
          <w:sz w:val="20"/>
        </w:rPr>
      </w:pPr>
      <w:r>
        <w:rPr>
          <w:rFonts w:ascii="Arial;sans-serif" w:hAnsi="Arial;sans-serif"/>
          <w:b/>
          <w:i/>
          <w:sz w:val="20"/>
        </w:rPr>
        <w:t>Recently Adopted Accounting Pronouncements</w:t>
      </w:r>
    </w:p>
    <w:p>
      <w:pPr>
        <w:pStyle w:val="TextBody"/>
        <w:bidi w:val="0"/>
        <w:spacing w:before="280" w:after="0"/>
        <w:jc w:val="both"/>
        <w:rPr>
          <w:rFonts w:ascii="Times New Roman" w:hAnsi="Times New Roman"/>
          <w:sz w:val="20"/>
        </w:rPr>
      </w:pPr>
      <w:r>
        <w:rPr>
          <w:rFonts w:ascii="Arial;sans-serif" w:hAnsi="Arial;sans-serif"/>
          <w:b w:val="false"/>
          <w:sz w:val="20"/>
        </w:rPr>
        <w:t xml:space="preserve">In June 2016, the Financial Accounting Standards Board (FASB) issued Accounting Standards Update (ASU) 2016-13, </w:t>
      </w:r>
      <w:r>
        <w:rPr>
          <w:rFonts w:ascii="Arial;sans-serif" w:hAnsi="Arial;sans-serif"/>
          <w:b w:val="false"/>
          <w:i/>
          <w:sz w:val="20"/>
        </w:rPr>
        <w:t xml:space="preserve">Financial Instruments: Credit Losses (Topic 326) </w:t>
      </w:r>
      <w:r>
        <w:rPr>
          <w:rFonts w:ascii="Arial;sans-serif" w:hAnsi="Arial;sans-serif"/>
          <w:b w:val="false"/>
          <w:sz w:val="20"/>
        </w:rPr>
        <w:t>as clarified in ASU 2019-04, ASU 2019-05, and ASU 2020-02. The objective of the standard is to provide information about expected credit losses on financial instruments at each reporting date and to change how other-than-temporary impairments on investment securities are recorded. The Company adopted</w:t>
      </w:r>
      <w:r>
        <w:rPr>
          <w:rFonts w:ascii="Times New Roman" w:hAnsi="Times New Roman"/>
          <w:sz w:val="20"/>
        </w:rPr>
        <w:t xml:space="preserve"> </w:t>
      </w:r>
      <w:r>
        <w:rPr>
          <w:rFonts w:ascii="Arial;sans-serif" w:hAnsi="Arial;sans-serif"/>
          <w:b w:val="false"/>
          <w:sz w:val="20"/>
        </w:rPr>
        <w:t>ASU 2016-13</w:t>
      </w:r>
      <w:r>
        <w:rPr>
          <w:rFonts w:ascii="Times New Roman" w:hAnsi="Times New Roman"/>
          <w:sz w:val="20"/>
        </w:rPr>
        <w:t xml:space="preserve"> </w:t>
      </w:r>
      <w:r>
        <w:rPr>
          <w:rFonts w:ascii="Arial;sans-serif" w:hAnsi="Arial;sans-serif"/>
          <w:b w:val="false"/>
          <w:sz w:val="20"/>
        </w:rPr>
        <w:t>effective January 1, 2023</w:t>
      </w:r>
      <w:r>
        <w:rPr>
          <w:rFonts w:ascii="Times New Roman" w:hAnsi="Times New Roman"/>
          <w:sz w:val="20"/>
        </w:rPr>
        <w:t xml:space="preserve"> </w:t>
      </w:r>
      <w:r>
        <w:rPr>
          <w:rFonts w:ascii="Arial;sans-serif" w:hAnsi="Arial;sans-serif"/>
          <w:b w:val="false"/>
          <w:sz w:val="20"/>
        </w:rPr>
        <w:t>and it did not have a material impact on its financial condition, results of operations or cash flows.</w:t>
      </w:r>
    </w:p>
    <w:p>
      <w:pPr>
        <w:pStyle w:val="TextBody"/>
        <w:bidi w:val="0"/>
        <w:spacing w:before="240" w:after="0"/>
        <w:jc w:val="center"/>
        <w:rPr>
          <w:rFonts w:ascii="Arial;sans-serif" w:hAnsi="Arial;sans-serif"/>
          <w:b w:val="false"/>
          <w:sz w:val="20"/>
        </w:rPr>
      </w:pPr>
      <w:r>
        <w:rPr>
          <w:rFonts w:ascii="Arial;sans-serif" w:hAnsi="Arial;sans-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sz w:val="20"/>
        </w:rPr>
      </w:pPr>
      <w:r>
        <w:rPr>
          <w:rFonts w:ascii="Arial;sans-serif" w:hAnsi="Arial;sans-serif"/>
          <w:b/>
          <w:sz w:val="20"/>
        </w:rPr>
        <w:t>3. Fair Value</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pStyle w:val="TextBody"/>
        <w:bidi w:val="0"/>
        <w:spacing w:before="120" w:after="0"/>
        <w:jc w:val="both"/>
        <w:rPr>
          <w:rFonts w:ascii="Times New Roman" w:hAnsi="Times New Roman"/>
          <w:sz w:val="20"/>
        </w:rPr>
      </w:pPr>
      <w:r>
        <w:rPr>
          <w:rFonts w:ascii="Arial;sans-serif" w:hAnsi="Arial;sans-serif"/>
          <w:b w:val="false"/>
          <w:i/>
          <w:sz w:val="20"/>
        </w:rPr>
        <w:t>Level 1</w:t>
      </w:r>
      <w:r>
        <w:rPr>
          <w:rFonts w:ascii="Times New Roman" w:hAnsi="Times New Roman"/>
          <w:sz w:val="20"/>
        </w:rPr>
        <w:t>—</w:t>
      </w:r>
      <w:r>
        <w:rPr>
          <w:rFonts w:ascii="Arial;sans-serif" w:hAnsi="Arial;sans-serif"/>
          <w:b w:val="false"/>
          <w:sz w:val="20"/>
        </w:rPr>
        <w:t>Unadjusted quoted prices in active markets that are accessible at the measurement date for identical, unrestricted assets or liabilities.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Arial;sans-serif" w:hAnsi="Arial;sans-serif"/>
          <w:b w:val="false"/>
          <w:i/>
          <w:sz w:val="20"/>
        </w:rPr>
        <w:t>Level 2</w:t>
      </w:r>
      <w:r>
        <w:rPr>
          <w:rFonts w:ascii="Times New Roman" w:hAnsi="Times New Roman"/>
          <w:sz w:val="20"/>
        </w:rPr>
        <w:t>—</w:t>
      </w:r>
      <w:r>
        <w:rPr>
          <w:rFonts w:ascii="Arial;sans-serif" w:hAnsi="Arial;sans-serif"/>
          <w:b w:val="false"/>
          <w:sz w:val="20"/>
        </w:rPr>
        <w:t>Quoted prices in markets that are not active or financial instruments for which all significant inputs are observable, either directly or indirectly.</w:t>
      </w:r>
    </w:p>
    <w:p>
      <w:pPr>
        <w:pStyle w:val="TextBody"/>
        <w:bidi w:val="0"/>
        <w:spacing w:before="120" w:after="0"/>
        <w:jc w:val="both"/>
        <w:rPr>
          <w:rFonts w:ascii="Times New Roman" w:hAnsi="Times New Roman"/>
          <w:sz w:val="20"/>
        </w:rPr>
      </w:pPr>
      <w:r>
        <w:rPr>
          <w:rFonts w:ascii="Arial;sans-serif" w:hAnsi="Arial;sans-serif"/>
          <w:b w:val="false"/>
          <w:i/>
          <w:sz w:val="20"/>
        </w:rPr>
        <w:t>Level 3</w:t>
      </w:r>
      <w:r>
        <w:rPr>
          <w:rFonts w:ascii="Times New Roman" w:hAnsi="Times New Roman"/>
          <w:sz w:val="20"/>
        </w:rPr>
        <w:t>—</w:t>
      </w:r>
      <w:r>
        <w:rPr>
          <w:rFonts w:ascii="Arial;sans-serif" w:hAnsi="Arial;sans-serif"/>
          <w:b w:val="false"/>
          <w:sz w:val="20"/>
        </w:rPr>
        <w:t>Inputs are generally unobservable and reflect management’s estimates of assumptions that market participants would use in pricing the asset or liability. The fair values are determined using model-based techniques, including probability-based simulation methodologies.</w:t>
      </w:r>
    </w:p>
    <w:p>
      <w:pPr>
        <w:pStyle w:val="TextBody"/>
        <w:bidi w:val="0"/>
        <w:spacing w:before="280" w:after="0"/>
        <w:jc w:val="both"/>
        <w:rPr>
          <w:rFonts w:ascii="Times New Roman" w:hAnsi="Times New Roman"/>
          <w:sz w:val="20"/>
        </w:rPr>
      </w:pPr>
      <w:r>
        <w:rPr>
          <w:rFonts w:ascii="Arial;sans-serif" w:hAnsi="Arial;sans-serif"/>
          <w:b w:val="false"/>
          <w:sz w:val="20"/>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tables reflect the Company’s financial asset balances measured at fair value on a recurring basis (in thousands):</w:t>
      </w:r>
    </w:p>
    <w:p>
      <w:pPr>
        <w:pStyle w:val="TextBody"/>
        <w:bidi w:val="0"/>
        <w:spacing w:before="0" w:after="0"/>
        <w:jc w:val="both"/>
        <w:rPr/>
      </w:pPr>
      <w:r>
        <w:rPr/>
        <w:t> </w:t>
      </w:r>
    </w:p>
    <w:tbl>
      <w:tblPr>
        <w:tblW w:w="9001" w:type="dxa"/>
        <w:jc w:val="left"/>
        <w:tblInd w:w="0" w:type="dxa"/>
        <w:tblLayout w:type="fixed"/>
        <w:tblCellMar>
          <w:top w:w="28" w:type="dxa"/>
          <w:left w:w="28" w:type="dxa"/>
          <w:bottom w:w="28" w:type="dxa"/>
          <w:right w:w="28" w:type="dxa"/>
        </w:tblCellMar>
      </w:tblPr>
      <w:tblGrid>
        <w:gridCol w:w="3091"/>
        <w:gridCol w:w="146"/>
        <w:gridCol w:w="526"/>
        <w:gridCol w:w="146"/>
        <w:gridCol w:w="217"/>
        <w:gridCol w:w="714"/>
        <w:gridCol w:w="146"/>
        <w:gridCol w:w="146"/>
        <w:gridCol w:w="358"/>
        <w:gridCol w:w="588"/>
        <w:gridCol w:w="146"/>
        <w:gridCol w:w="146"/>
        <w:gridCol w:w="288"/>
        <w:gridCol w:w="658"/>
        <w:gridCol w:w="166"/>
        <w:gridCol w:w="146"/>
        <w:gridCol w:w="211"/>
        <w:gridCol w:w="691"/>
        <w:gridCol w:w="47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93" w:type="dxa"/>
            <w:gridSpan w:val="1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Fair</w:t>
              <w:br/>
              <w:t>Value</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93,243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93,221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93,243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93,221</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Short-term investments: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17,287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17,268</w:t>
            </w:r>
          </w:p>
        </w:tc>
        <w:tc>
          <w:tcPr>
            <w:tcW w:w="471" w:type="dxa"/>
            <w:tcBorders/>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U.S. government debt and agency</w:t>
              <w:br/>
              <w:t>   securities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53,703</w:t>
            </w:r>
          </w:p>
        </w:tc>
        <w:tc>
          <w:tcPr>
            <w:tcW w:w="471" w:type="dxa"/>
            <w:tcBorders/>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1,491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short-term investments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73,272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72,462</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Long-term investments: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U.S. government debt and agency</w:t>
              <w:br/>
              <w:t>   securities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10,324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10,217</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long-term investments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10,324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10,217</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9182" w:type="dxa"/>
        <w:jc w:val="left"/>
        <w:tblInd w:w="0" w:type="dxa"/>
        <w:tblLayout w:type="fixed"/>
        <w:tblCellMar>
          <w:top w:w="28" w:type="dxa"/>
          <w:left w:w="28" w:type="dxa"/>
          <w:bottom w:w="28" w:type="dxa"/>
          <w:right w:w="28" w:type="dxa"/>
        </w:tblCellMar>
      </w:tblPr>
      <w:tblGrid>
        <w:gridCol w:w="3091"/>
        <w:gridCol w:w="146"/>
        <w:gridCol w:w="526"/>
        <w:gridCol w:w="146"/>
        <w:gridCol w:w="211"/>
        <w:gridCol w:w="796"/>
        <w:gridCol w:w="146"/>
        <w:gridCol w:w="146"/>
        <w:gridCol w:w="358"/>
        <w:gridCol w:w="588"/>
        <w:gridCol w:w="146"/>
        <w:gridCol w:w="146"/>
        <w:gridCol w:w="232"/>
        <w:gridCol w:w="714"/>
        <w:gridCol w:w="166"/>
        <w:gridCol w:w="146"/>
        <w:gridCol w:w="211"/>
        <w:gridCol w:w="796"/>
        <w:gridCol w:w="47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74" w:type="dxa"/>
            <w:gridSpan w:val="1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Fair</w:t>
              <w:br/>
              <w:t>Value</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equivalents: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Money market fund</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471" w:type="dxa"/>
            <w:tcBorders/>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78,028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78,002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78,035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78,009</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Short-term investments: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36,765</w:t>
            </w:r>
          </w:p>
        </w:tc>
        <w:tc>
          <w:tcPr>
            <w:tcW w:w="471" w:type="dxa"/>
            <w:tcBorders/>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U.S. government debt and agency</w:t>
              <w:br/>
              <w:t>   securities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65,157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64,373</w:t>
            </w:r>
          </w:p>
        </w:tc>
        <w:tc>
          <w:tcPr>
            <w:tcW w:w="471" w:type="dxa"/>
            <w:tcBorders/>
            <w:vAlign w:val="center"/>
          </w:tcPr>
          <w:p>
            <w:pPr>
              <w:pStyle w:val="TableContents"/>
              <w:bidi w:val="0"/>
              <w:spacing w:before="0" w:after="0"/>
              <w:ind w:left="0" w:right="0" w:firstLine="280"/>
              <w:jc w:val="lef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Corporate bonds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3,240</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short-term investments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105,392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104,378</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Long-term investments: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0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U.S. government debt and agency</w:t>
              <w:br/>
              <w:t>   securities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45,745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44,829</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long-term investments</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45,745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44,829</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0" w:after="0"/>
        <w:jc w:val="both"/>
        <w:rPr>
          <w:rFonts w:ascii="Arial;sans-serif" w:hAnsi="Arial;sans-serif"/>
          <w:b w:val="false"/>
          <w:sz w:val="20"/>
        </w:rPr>
      </w:pPr>
      <w:r>
        <w:rPr>
          <w:rFonts w:ascii="Arial;sans-serif" w:hAnsi="Arial;sans-serif"/>
          <w:b w:val="false"/>
          <w:sz w:val="20"/>
        </w:rPr>
        <w:t>All the commercial paper, U.S. government debt, municipal bonds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pStyle w:val="TextBody"/>
        <w:bidi w:val="0"/>
        <w:spacing w:before="80" w:after="0"/>
        <w:jc w:val="both"/>
        <w:rPr>
          <w:rFonts w:ascii="Times New Roman" w:hAnsi="Times New Roman"/>
          <w:sz w:val="20"/>
        </w:rPr>
      </w:pPr>
      <w:r>
        <w:rPr>
          <w:rFonts w:ascii="Arial;sans-serif" w:hAnsi="Arial;sans-serif"/>
          <w:b w:val="false"/>
          <w:sz w:val="20"/>
        </w:rPr>
        <w:t>As of June 30, 2023,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June 30, 2023</w:t>
      </w:r>
      <w:r>
        <w:rPr>
          <w:rFonts w:ascii="Times New Roman" w:hAnsi="Times New Roman"/>
          <w:sz w:val="20"/>
        </w:rPr>
        <w:t xml:space="preserve"> </w:t>
      </w:r>
      <w:r>
        <w:rPr>
          <w:rFonts w:ascii="Arial;sans-serif" w:hAnsi="Arial;sans-serif"/>
          <w:b w:val="false"/>
          <w:sz w:val="20"/>
        </w:rPr>
        <w:t>to be due to factors other than credit loss, such as changes in interest rates. A credit loss allowance was not recognized and the unrealized losses for available-for-sale securities were recorded in other comprehensive loss.</w:t>
      </w:r>
    </w:p>
    <w:p>
      <w:pPr>
        <w:pStyle w:val="TextBody"/>
        <w:bidi w:val="0"/>
        <w:spacing w:before="360" w:after="0"/>
        <w:jc w:val="both"/>
        <w:rPr>
          <w:rFonts w:ascii="Arial;sans-serif" w:hAnsi="Arial;sans-serif"/>
          <w:b/>
          <w:sz w:val="20"/>
        </w:rPr>
      </w:pPr>
      <w:r>
        <w:rPr>
          <w:rFonts w:ascii="Arial;sans-serif" w:hAnsi="Arial;sans-serif"/>
          <w:b/>
          <w:sz w:val="20"/>
        </w:rPr>
        <w:t>4. Property and Equipment, Net</w:t>
      </w:r>
    </w:p>
    <w:p>
      <w:pPr>
        <w:pStyle w:val="TextBody"/>
        <w:bidi w:val="0"/>
        <w:spacing w:before="120" w:after="0"/>
        <w:jc w:val="both"/>
        <w:rPr>
          <w:rFonts w:ascii="Arial;sans-serif" w:hAnsi="Arial;sans-serif"/>
          <w:b w:val="false"/>
          <w:sz w:val="20"/>
        </w:rPr>
      </w:pPr>
      <w:r>
        <w:rPr>
          <w:rFonts w:ascii="Arial;sans-serif" w:hAnsi="Arial;sans-serif"/>
          <w:b w:val="false"/>
          <w:sz w:val="20"/>
        </w:rPr>
        <w:t>Property and equipment consisted of the following (in thousands):</w:t>
      </w:r>
    </w:p>
    <w:p>
      <w:pPr>
        <w:pStyle w:val="TextBody"/>
        <w:bidi w:val="0"/>
        <w:spacing w:before="0" w:after="0"/>
        <w:jc w:val="both"/>
        <w:rPr/>
      </w:pPr>
      <w:r>
        <w:rPr/>
        <w:t> </w:t>
      </w:r>
    </w:p>
    <w:tbl>
      <w:tblPr>
        <w:tblW w:w="5887" w:type="dxa"/>
        <w:jc w:val="left"/>
        <w:tblInd w:w="0" w:type="dxa"/>
        <w:tblLayout w:type="fixed"/>
        <w:tblCellMar>
          <w:top w:w="28" w:type="dxa"/>
          <w:left w:w="28" w:type="dxa"/>
          <w:bottom w:w="28" w:type="dxa"/>
          <w:right w:w="28" w:type="dxa"/>
        </w:tblCellMar>
      </w:tblPr>
      <w:tblGrid>
        <w:gridCol w:w="2911"/>
        <w:gridCol w:w="146"/>
        <w:gridCol w:w="211"/>
        <w:gridCol w:w="646"/>
        <w:gridCol w:w="166"/>
        <w:gridCol w:w="146"/>
        <w:gridCol w:w="287"/>
        <w:gridCol w:w="883"/>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Lab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433</w:t>
            </w:r>
          </w:p>
        </w:tc>
        <w:tc>
          <w:tcPr>
            <w:tcW w:w="49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Office furniture, fixtures, and</w:t>
              <w:br/>
              <w:t>   computer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692</w:t>
            </w:r>
          </w:p>
        </w:tc>
        <w:tc>
          <w:tcPr>
            <w:tcW w:w="49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Leasehold improvement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4,296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and equipment, at cost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5,421</w:t>
            </w:r>
          </w:p>
        </w:tc>
        <w:tc>
          <w:tcPr>
            <w:tcW w:w="49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(1,368</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9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4,053</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Depreciation expense was $244,000</w:t>
      </w:r>
      <w:r>
        <w:rPr>
          <w:rFonts w:ascii="Times New Roman" w:hAnsi="Times New Roman"/>
          <w:sz w:val="20"/>
        </w:rPr>
        <w:t xml:space="preserve"> </w:t>
      </w:r>
      <w:r>
        <w:rPr>
          <w:rFonts w:ascii="Arial;sans-serif" w:hAnsi="Arial;sans-serif"/>
          <w:b w:val="false"/>
          <w:sz w:val="20"/>
        </w:rPr>
        <w:t>and $480,000</w:t>
      </w:r>
      <w:r>
        <w:rPr>
          <w:rFonts w:ascii="Times New Roman" w:hAnsi="Times New Roman"/>
          <w:sz w:val="20"/>
        </w:rPr>
        <w:t xml:space="preserve"> </w:t>
      </w:r>
      <w:r>
        <w:rPr>
          <w:rFonts w:ascii="Arial;sans-serif" w:hAnsi="Arial;sans-serif"/>
          <w:b w:val="false"/>
          <w:sz w:val="20"/>
        </w:rPr>
        <w:t>for the three and six months ended June 30, 2023, respectively. Depreciation expense was $221,000</w:t>
      </w:r>
      <w:r>
        <w:rPr>
          <w:rFonts w:ascii="Times New Roman" w:hAnsi="Times New Roman"/>
          <w:sz w:val="20"/>
        </w:rPr>
        <w:t xml:space="preserve"> </w:t>
      </w:r>
      <w:r>
        <w:rPr>
          <w:rFonts w:ascii="Arial;sans-serif" w:hAnsi="Arial;sans-serif"/>
          <w:b w:val="false"/>
          <w:sz w:val="20"/>
        </w:rPr>
        <w:t>and $375,000</w:t>
      </w:r>
      <w:r>
        <w:rPr>
          <w:rFonts w:ascii="Times New Roman" w:hAnsi="Times New Roman"/>
          <w:sz w:val="20"/>
        </w:rPr>
        <w:t xml:space="preserve"> </w:t>
      </w:r>
      <w:r>
        <w:rPr>
          <w:rFonts w:ascii="Arial;sans-serif" w:hAnsi="Arial;sans-serif"/>
          <w:b w:val="false"/>
          <w:sz w:val="20"/>
        </w:rPr>
        <w:t>for the three and six months ended June 30, 2022, respectively.</w:t>
      </w:r>
    </w:p>
    <w:p>
      <w:pPr>
        <w:pStyle w:val="TextBody"/>
        <w:bidi w:val="0"/>
        <w:spacing w:before="280" w:after="0"/>
        <w:jc w:val="both"/>
        <w:rPr>
          <w:rFonts w:ascii="Arial;sans-serif" w:hAnsi="Arial;sans-serif"/>
          <w:b/>
          <w:sz w:val="20"/>
        </w:rPr>
      </w:pPr>
      <w:r>
        <w:rPr>
          <w:rFonts w:ascii="Arial;sans-serif" w:hAnsi="Arial;sans-serif"/>
          <w:b/>
          <w:sz w:val="20"/>
        </w:rPr>
        <w:t>5. Accrued Liabilities</w:t>
      </w:r>
    </w:p>
    <w:p>
      <w:pPr>
        <w:pStyle w:val="TextBody"/>
        <w:bidi w:val="0"/>
        <w:spacing w:before="280" w:after="0"/>
        <w:jc w:val="both"/>
        <w:rPr>
          <w:rFonts w:ascii="Arial;sans-serif" w:hAnsi="Arial;sans-serif"/>
          <w:b w:val="false"/>
          <w:sz w:val="20"/>
        </w:rPr>
      </w:pPr>
      <w:r>
        <w:rPr>
          <w:rFonts w:ascii="Arial;sans-serif" w:hAnsi="Arial;sans-serif"/>
          <w:b w:val="false"/>
          <w:sz w:val="20"/>
        </w:rPr>
        <w:t>Accrued liabilities consisted of the following (in thousands):</w:t>
      </w:r>
    </w:p>
    <w:p>
      <w:pPr>
        <w:pStyle w:val="TextBody"/>
        <w:bidi w:val="0"/>
        <w:spacing w:before="0" w:after="0"/>
        <w:jc w:val="both"/>
        <w:rPr/>
      </w:pPr>
      <w:r>
        <w:rPr/>
        <w:t> </w:t>
      </w:r>
    </w:p>
    <w:tbl>
      <w:tblPr>
        <w:tblW w:w="6372" w:type="dxa"/>
        <w:jc w:val="left"/>
        <w:tblInd w:w="0" w:type="dxa"/>
        <w:tblLayout w:type="fixed"/>
        <w:tblCellMar>
          <w:top w:w="28" w:type="dxa"/>
          <w:left w:w="28" w:type="dxa"/>
          <w:bottom w:w="28" w:type="dxa"/>
          <w:right w:w="28" w:type="dxa"/>
        </w:tblCellMar>
      </w:tblPr>
      <w:tblGrid>
        <w:gridCol w:w="3391"/>
        <w:gridCol w:w="146"/>
        <w:gridCol w:w="211"/>
        <w:gridCol w:w="691"/>
        <w:gridCol w:w="146"/>
        <w:gridCol w:w="146"/>
        <w:gridCol w:w="309"/>
        <w:gridCol w:w="861"/>
        <w:gridCol w:w="47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3,843</w:t>
            </w:r>
          </w:p>
        </w:tc>
        <w:tc>
          <w:tcPr>
            <w:tcW w:w="47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Employee compensation and benefits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3,415</w:t>
            </w:r>
          </w:p>
        </w:tc>
        <w:tc>
          <w:tcPr>
            <w:tcW w:w="47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Professional services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1,346</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3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10,703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8,604</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Arial;sans-serif" w:hAnsi="Arial;sans-serif"/>
          <w:b/>
          <w:sz w:val="20"/>
        </w:rPr>
      </w:pPr>
      <w:r>
        <w:rPr>
          <w:rFonts w:ascii="Arial;sans-serif" w:hAnsi="Arial;sans-serif"/>
          <w:b/>
          <w:sz w:val="20"/>
        </w:rPr>
        <w:t>6. Significant Agreements</w:t>
      </w:r>
    </w:p>
    <w:p>
      <w:pPr>
        <w:pStyle w:val="TextBody"/>
        <w:bidi w:val="0"/>
        <w:spacing w:before="280" w:after="0"/>
        <w:jc w:val="both"/>
        <w:rPr>
          <w:rFonts w:ascii="Times New Roman" w:hAnsi="Times New Roman"/>
          <w:sz w:val="20"/>
        </w:rPr>
      </w:pPr>
      <w:r>
        <w:rPr>
          <w:rFonts w:ascii="Arial;sans-serif" w:hAnsi="Arial;sans-serif"/>
          <w:b/>
          <w:i/>
          <w:sz w:val="20"/>
        </w:rPr>
        <w:t>Washington State University (“WSU”) License Agreement</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is party to an amended and restated exclusive license agreement with sublicensing terms with Washington State University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pStyle w:val="TextBody"/>
        <w:bidi w:val="0"/>
        <w:spacing w:before="280" w:after="0"/>
        <w:jc w:val="both"/>
        <w:rPr>
          <w:rFonts w:ascii="Arial;sans-serif" w:hAnsi="Arial;sans-serif"/>
          <w:b w:val="false"/>
          <w:sz w:val="20"/>
        </w:rPr>
      </w:pPr>
      <w:r>
        <w:rPr>
          <w:rFonts w:ascii="Arial;sans-serif" w:hAnsi="Arial;sans-serif"/>
          <w:b w:val="false"/>
          <w:sz w:val="20"/>
        </w:rPr>
        <w:t>To keep in good standing, the agreement requires the Company to meet certain development milestones and pay annual maintenance fees. All contractual requirements have been met as of June 30, 2023.</w:t>
      </w:r>
    </w:p>
    <w:p>
      <w:pPr>
        <w:pStyle w:val="TextBody"/>
        <w:bidi w:val="0"/>
        <w:spacing w:before="240" w:after="0"/>
        <w:jc w:val="center"/>
        <w:rPr>
          <w:rFonts w:ascii="Arial;sans-serif" w:hAnsi="Arial;sans-serif"/>
          <w:b w:val="false"/>
          <w:sz w:val="20"/>
        </w:rPr>
      </w:pPr>
      <w:r>
        <w:rPr>
          <w:rFonts w:ascii="Arial;sans-serif" w:hAnsi="Arial;sans-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Arial;sans-serif" w:hAnsi="Arial;sans-serif"/>
          <w:b w:val="false"/>
          <w:sz w:val="20"/>
        </w:rPr>
        <w:t>During the year ended December 31, 2020, the Phase 2 clinical trial milestone had been reached and a payment of $50,000</w:t>
      </w:r>
      <w:r>
        <w:rPr>
          <w:rFonts w:ascii="Times New Roman" w:hAnsi="Times New Roman"/>
          <w:sz w:val="20"/>
        </w:rPr>
        <w:t xml:space="preserve"> </w:t>
      </w:r>
      <w:r>
        <w:rPr>
          <w:rFonts w:ascii="Arial;sans-serif" w:hAnsi="Arial;sans-serif"/>
          <w:b w:val="false"/>
          <w:sz w:val="20"/>
        </w:rPr>
        <w:t>to WSU was recorded.</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may also be obligated to pay the following if the related milestones are reached:</w:t>
      </w:r>
    </w:p>
    <w:p>
      <w:pPr>
        <w:pStyle w:val="TextBody"/>
        <w:bidi w:val="0"/>
        <w:spacing w:before="120" w:after="0"/>
        <w:jc w:val="both"/>
        <w:rPr/>
      </w:pPr>
      <w:r>
        <w:rPr/>
        <w:t>•</w:t>
      </w:r>
    </w:p>
    <w:p>
      <w:pPr>
        <w:pStyle w:val="TextBody"/>
        <w:bidi w:val="0"/>
        <w:spacing w:before="120" w:after="0"/>
        <w:jc w:val="both"/>
        <w:rPr>
          <w:rFonts w:ascii="Arial;sans-serif" w:hAnsi="Arial;sans-serif"/>
          <w:sz w:val="20"/>
        </w:rPr>
      </w:pPr>
      <w:r>
        <w:rPr>
          <w:rFonts w:ascii="Arial;sans-serif" w:hAnsi="Arial;sans-serif"/>
          <w:b w:val="false"/>
          <w:sz w:val="20"/>
        </w:rPr>
        <w:t>$300,000</w:t>
      </w:r>
      <w:r>
        <w:rPr>
          <w:rFonts w:ascii="Arial;sans-serif" w:hAnsi="Arial;sans-serif"/>
          <w:sz w:val="20"/>
        </w:rPr>
        <w:t xml:space="preserve"> – </w:t>
      </w:r>
      <w:r>
        <w:rPr>
          <w:rFonts w:ascii="Arial;sans-serif" w:hAnsi="Arial;sans-serif"/>
          <w:b w:val="false"/>
          <w:sz w:val="20"/>
        </w:rPr>
        <w:t>At initiation of the first Phase 3 clinical trial in the United States, European Union or Japan for the first licensed product; and</w:t>
      </w:r>
    </w:p>
    <w:p>
      <w:pPr>
        <w:pStyle w:val="TextBody"/>
        <w:bidi w:val="0"/>
        <w:spacing w:before="120" w:after="0"/>
        <w:jc w:val="both"/>
        <w:rPr/>
      </w:pPr>
      <w:r>
        <w:rPr/>
        <w:t>•</w:t>
      </w:r>
    </w:p>
    <w:p>
      <w:pPr>
        <w:pStyle w:val="TextBody"/>
        <w:bidi w:val="0"/>
        <w:spacing w:before="120" w:after="283"/>
        <w:jc w:val="both"/>
        <w:rPr>
          <w:rFonts w:ascii="Arial;sans-serif" w:hAnsi="Arial;sans-serif"/>
          <w:sz w:val="20"/>
        </w:rPr>
      </w:pPr>
      <w:r>
        <w:rPr>
          <w:rFonts w:ascii="Arial;sans-serif" w:hAnsi="Arial;sans-serif"/>
          <w:b w:val="false"/>
          <w:sz w:val="20"/>
        </w:rPr>
        <w:t>$600,000</w:t>
      </w:r>
      <w:r>
        <w:rPr>
          <w:rFonts w:ascii="Arial;sans-serif" w:hAnsi="Arial;sans-serif"/>
          <w:sz w:val="20"/>
        </w:rPr>
        <w:t xml:space="preserve"> – </w:t>
      </w:r>
      <w:r>
        <w:rPr>
          <w:rFonts w:ascii="Arial;sans-serif" w:hAnsi="Arial;sans-serif"/>
          <w:b w:val="false"/>
          <w:sz w:val="20"/>
        </w:rPr>
        <w:t>Upon receipt of marketing approval in the United States, European Union or Japan for the first licensed product.</w:t>
      </w:r>
    </w:p>
    <w:p>
      <w:pPr>
        <w:pStyle w:val="TextBody"/>
        <w:bidi w:val="0"/>
        <w:spacing w:before="280" w:after="0"/>
        <w:jc w:val="both"/>
        <w:rPr>
          <w:rFonts w:ascii="Times New Roman" w:hAnsi="Times New Roman"/>
          <w:sz w:val="20"/>
        </w:rPr>
      </w:pPr>
      <w:r>
        <w:rPr>
          <w:rFonts w:ascii="Arial;sans-serif" w:hAnsi="Arial;sans-serif"/>
          <w:b w:val="false"/>
          <w:sz w:val="20"/>
        </w:rPr>
        <w:t>Under the terms of the agreement, the Company will pay a royalty in the mid-single digits of net sales, with the first $100,000</w:t>
      </w:r>
      <w:r>
        <w:rPr>
          <w:rFonts w:ascii="Times New Roman" w:hAnsi="Times New Roman"/>
          <w:sz w:val="20"/>
        </w:rPr>
        <w:t xml:space="preserve"> </w:t>
      </w:r>
      <w:r>
        <w:rPr>
          <w:rFonts w:ascii="Arial;sans-serif" w:hAnsi="Arial;sans-serif"/>
          <w:b w:val="false"/>
          <w:sz w:val="20"/>
        </w:rPr>
        <w:t>of net sales being exempt from royalty payment, and annual minimum royalty payments of $25,000</w:t>
      </w:r>
      <w:r>
        <w:rPr>
          <w:rFonts w:ascii="Times New Roman" w:hAnsi="Times New Roman"/>
          <w:sz w:val="20"/>
        </w:rPr>
        <w:t xml:space="preserve"> </w:t>
      </w:r>
      <w:r>
        <w:rPr>
          <w:rFonts w:ascii="Arial;sans-serif" w:hAnsi="Arial;sans-serif"/>
          <w:b w:val="false"/>
          <w:sz w:val="20"/>
        </w:rPr>
        <w:t>beginning after the first commercial sale of a licensed product. As of</w:t>
      </w:r>
      <w:r>
        <w:rPr>
          <w:rFonts w:ascii="Times New Roman" w:hAnsi="Times New Roman"/>
          <w:sz w:val="20"/>
        </w:rPr>
        <w:t xml:space="preserve"> </w:t>
      </w:r>
      <w:r>
        <w:rPr>
          <w:rFonts w:ascii="Arial;sans-serif" w:hAnsi="Arial;sans-serif"/>
          <w:b w:val="false"/>
          <w:sz w:val="20"/>
        </w:rPr>
        <w:t>June 30, 2023, no</w:t>
      </w:r>
      <w:r>
        <w:rPr>
          <w:rFonts w:ascii="Times New Roman" w:hAnsi="Times New Roman"/>
          <w:sz w:val="20"/>
        </w:rPr>
        <w:t xml:space="preserve"> </w:t>
      </w:r>
      <w:r>
        <w:rPr>
          <w:rFonts w:ascii="Arial;sans-serif" w:hAnsi="Arial;sans-serif"/>
          <w:b w:val="false"/>
          <w:sz w:val="20"/>
        </w:rPr>
        <w:t>sales of any licensed products had occurred and the Company had not incurred a royalty obligation under this agreement.</w:t>
      </w:r>
    </w:p>
    <w:p>
      <w:pPr>
        <w:pStyle w:val="TextBody"/>
        <w:bidi w:val="0"/>
        <w:spacing w:before="280" w:after="0"/>
        <w:jc w:val="both"/>
        <w:rPr>
          <w:rFonts w:ascii="Arial;sans-serif" w:hAnsi="Arial;sans-serif"/>
          <w:b w:val="false"/>
          <w:sz w:val="20"/>
        </w:rPr>
      </w:pPr>
      <w:r>
        <w:rPr>
          <w:rFonts w:ascii="Arial;sans-serif" w:hAnsi="Arial;sans-serif"/>
          <w:b w:val="false"/>
          <w:sz w:val="20"/>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June 30, 2023, the Company has not entered into or incurred any liability from a sublicense agreement.</w:t>
      </w:r>
    </w:p>
    <w:p>
      <w:pPr>
        <w:pStyle w:val="TextBody"/>
        <w:bidi w:val="0"/>
        <w:spacing w:before="160" w:after="0"/>
        <w:jc w:val="both"/>
        <w:rPr>
          <w:rFonts w:ascii="Arial;sans-serif" w:hAnsi="Arial;sans-serif"/>
          <w:b/>
          <w:sz w:val="20"/>
        </w:rPr>
      </w:pPr>
      <w:r>
        <w:rPr>
          <w:rFonts w:ascii="Arial;sans-serif" w:hAnsi="Arial;sans-serif"/>
          <w:b/>
          <w:sz w:val="20"/>
        </w:rPr>
        <w:t>7. Commitments and Contingencies</w:t>
      </w:r>
    </w:p>
    <w:p>
      <w:pPr>
        <w:pStyle w:val="TextBody"/>
        <w:bidi w:val="0"/>
        <w:spacing w:before="280" w:after="0"/>
        <w:jc w:val="both"/>
        <w:rPr>
          <w:rFonts w:ascii="Arial;sans-serif" w:hAnsi="Arial;sans-serif"/>
          <w:b/>
          <w:i/>
          <w:sz w:val="20"/>
        </w:rPr>
      </w:pPr>
      <w:r>
        <w:rPr>
          <w:rFonts w:ascii="Arial;sans-serif" w:hAnsi="Arial;sans-serif"/>
          <w:b/>
          <w:i/>
          <w:sz w:val="20"/>
        </w:rPr>
        <w:t>Legal Proceedings</w:t>
      </w:r>
    </w:p>
    <w:p>
      <w:pPr>
        <w:pStyle w:val="TextBody"/>
        <w:bidi w:val="0"/>
        <w:spacing w:before="280" w:after="0"/>
        <w:jc w:val="both"/>
        <w:rPr>
          <w:rFonts w:ascii="Arial;sans-serif" w:hAnsi="Arial;sans-serif"/>
          <w:b w:val="false"/>
          <w:sz w:val="20"/>
        </w:rPr>
      </w:pPr>
      <w:r>
        <w:rPr>
          <w:rFonts w:ascii="Arial;sans-serif" w:hAnsi="Arial;sans-serif"/>
          <w:b w:val="false"/>
          <w:sz w:val="20"/>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The following is a brief description of the more significant legal proceedings.</w:t>
      </w:r>
    </w:p>
    <w:p>
      <w:pPr>
        <w:pStyle w:val="TextBody"/>
        <w:bidi w:val="0"/>
        <w:spacing w:before="280" w:after="0"/>
        <w:jc w:val="both"/>
        <w:rPr>
          <w:rFonts w:ascii="Arial;sans-serif" w:hAnsi="Arial;sans-serif"/>
          <w:b/>
          <w:sz w:val="20"/>
        </w:rPr>
      </w:pPr>
      <w:r>
        <w:rPr>
          <w:rFonts w:ascii="Arial;sans-serif" w:hAnsi="Arial;sans-serif"/>
          <w:b/>
          <w:sz w:val="20"/>
        </w:rPr>
        <w:t>Securities Class Actions</w:t>
      </w:r>
    </w:p>
    <w:p>
      <w:pPr>
        <w:pStyle w:val="TextBody"/>
        <w:bidi w:val="0"/>
        <w:spacing w:before="280" w:after="0"/>
        <w:jc w:val="both"/>
        <w:rPr>
          <w:rFonts w:ascii="Times New Roman" w:hAnsi="Times New Roman"/>
          <w:sz w:val="20"/>
        </w:rPr>
      </w:pPr>
      <w:r>
        <w:rPr>
          <w:rFonts w:ascii="Arial;sans-serif" w:hAnsi="Arial;sans-serif"/>
          <w:b w:val="false"/>
          <w:sz w:val="20"/>
        </w:rPr>
        <w:t>On June 25, 2021, plaintiffs Fan Wang and Hang Gao</w:t>
      </w:r>
      <w:r>
        <w:rPr>
          <w:rFonts w:ascii="Times New Roman" w:hAnsi="Times New Roman"/>
          <w:sz w:val="20"/>
        </w:rPr>
        <w:t xml:space="preserve"> </w:t>
      </w:r>
      <w:r>
        <w:rPr>
          <w:rFonts w:ascii="Arial;sans-serif" w:hAnsi="Arial;sans-serif"/>
          <w:b w:val="false"/>
          <w:sz w:val="20"/>
        </w:rPr>
        <w:t xml:space="preserve">filed a putative securities class action lawsuit in the U.S. District Court for the Western District of Washington against the Company and the Company’s former chief executive officer Dr. Leen Kawas, captioned </w:t>
      </w:r>
      <w:r>
        <w:rPr>
          <w:rFonts w:ascii="Arial;sans-serif" w:hAnsi="Arial;sans-serif"/>
          <w:b w:val="false"/>
          <w:i/>
          <w:sz w:val="20"/>
        </w:rPr>
        <w:t>Wang v. Athira Pharma, Inc., et al.</w:t>
      </w:r>
      <w:r>
        <w:rPr>
          <w:rFonts w:ascii="Arial;sans-serif" w:hAnsi="Arial;sans-serif"/>
          <w:b w:val="false"/>
          <w:sz w:val="20"/>
        </w:rPr>
        <w:t xml:space="preserve">, No. 2:21-cv-00861. Plaintiffs Wang and Gao assert claims under Sections 10(b) and 20(a) of the Securities Exchange Act of 1934 ("Exchange Act") and SEC Rule 10b-5, alleging that the defendants made materially false and misleading statements and omitted material adverse facts regarding the Company’s business. Specifically, the </w:t>
      </w:r>
      <w:r>
        <w:rPr>
          <w:rFonts w:ascii="Arial;sans-serif" w:hAnsi="Arial;sans-serif"/>
          <w:b w:val="false"/>
          <w:i/>
          <w:sz w:val="20"/>
        </w:rPr>
        <w:t xml:space="preserve">Wang </w:t>
      </w:r>
      <w:r>
        <w:rPr>
          <w:rFonts w:ascii="Arial;sans-serif" w:hAnsi="Arial;sans-serif"/>
          <w:b w:val="false"/>
          <w:sz w:val="20"/>
        </w:rPr>
        <w:t xml:space="preserve">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sans-serif" w:hAnsi="Arial;sans-serif"/>
          <w:b w:val="false"/>
          <w:i/>
          <w:sz w:val="20"/>
        </w:rPr>
        <w:t xml:space="preserve">Wang </w:t>
      </w:r>
      <w:r>
        <w:rPr>
          <w:rFonts w:ascii="Arial;sans-serif" w:hAnsi="Arial;sans-serif"/>
          <w:b w:val="false"/>
          <w:sz w:val="20"/>
        </w:rPr>
        <w:t>plaintiffs seek unspecified compensatory and punitive damages, and reasonable costs and expenses, including attorneys’ fees.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80" w:after="0"/>
        <w:jc w:val="both"/>
        <w:rPr>
          <w:rFonts w:ascii="Times New Roman" w:hAnsi="Times New Roman"/>
          <w:sz w:val="20"/>
        </w:rPr>
      </w:pPr>
      <w:r>
        <w:rPr>
          <w:rFonts w:ascii="Arial;sans-serif" w:hAnsi="Arial;sans-serif"/>
          <w:b w:val="false"/>
          <w:sz w:val="20"/>
        </w:rPr>
        <w:t>That same day, on June 25, 2021, plaintiff Harshdeep Jawandha</w:t>
      </w:r>
      <w:r>
        <w:rPr>
          <w:rFonts w:ascii="Times New Roman" w:hAnsi="Times New Roman"/>
          <w:sz w:val="20"/>
        </w:rPr>
        <w:t xml:space="preserve"> </w:t>
      </w:r>
      <w:r>
        <w:rPr>
          <w:rFonts w:ascii="Arial;sans-serif" w:hAnsi="Arial;sans-serif"/>
          <w:b w:val="false"/>
          <w:sz w:val="20"/>
        </w:rPr>
        <w:t xml:space="preserve">filed a putative securities class action lawsuit in the U.S. District Court for the Western District of Washington against the Company, Dr. Kawas, the Company’s then chief financial officer, certain members of the Company’s board of directors at the time of the Company’s initial public offering ("IPO"), as well as the IPO underwriters, captioned </w:t>
      </w:r>
      <w:r>
        <w:rPr>
          <w:rFonts w:ascii="Arial;sans-serif" w:hAnsi="Arial;sans-serif"/>
          <w:b w:val="false"/>
          <w:i/>
          <w:sz w:val="20"/>
        </w:rPr>
        <w:t>Jawandha v. Athira Pharma, Inc., et al.</w:t>
      </w:r>
      <w:r>
        <w:rPr>
          <w:rFonts w:ascii="Arial;sans-serif" w:hAnsi="Arial;sans-serif"/>
          <w:b w:val="false"/>
          <w:sz w:val="20"/>
        </w:rPr>
        <w:t xml:space="preserve">, No. 2:21-cv-00862. The </w:t>
      </w:r>
      <w:r>
        <w:rPr>
          <w:rFonts w:ascii="Arial;sans-serif" w:hAnsi="Arial;sans-serif"/>
          <w:b w:val="false"/>
          <w:i/>
          <w:sz w:val="20"/>
        </w:rPr>
        <w:t xml:space="preserve">Jawandha </w:t>
      </w:r>
      <w:r>
        <w:rPr>
          <w:rFonts w:ascii="Arial;sans-serif" w:hAnsi="Arial;sans-serif"/>
          <w:b w:val="false"/>
          <w:sz w:val="20"/>
        </w:rPr>
        <w:t xml:space="preserve">complaint asserts violations of Sections 11 and 15 of the Securities Act of 1933 ("Securities Act"), 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w:t>
      </w:r>
      <w:r>
        <w:rPr>
          <w:rFonts w:ascii="Arial;sans-serif" w:hAnsi="Arial;sans-serif"/>
          <w:b w:val="false"/>
          <w:i/>
          <w:sz w:val="20"/>
        </w:rPr>
        <w:t xml:space="preserve">Jawandha </w:t>
      </w:r>
      <w:r>
        <w:rPr>
          <w:rFonts w:ascii="Arial;sans-serif" w:hAnsi="Arial;sans-serif"/>
          <w:b w:val="false"/>
          <w:sz w:val="20"/>
        </w:rPr>
        <w:t>plaintiff seeks unspecified compensatory damages, and reasonable costs and expenses, including attorneys’ fees.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80" w:after="0"/>
        <w:jc w:val="both"/>
        <w:rPr>
          <w:rFonts w:ascii="Times New Roman" w:hAnsi="Times New Roman"/>
          <w:sz w:val="20"/>
        </w:rPr>
      </w:pPr>
      <w:r>
        <w:rPr>
          <w:rFonts w:ascii="Arial;sans-serif" w:hAnsi="Arial;sans-serif"/>
          <w:b w:val="false"/>
          <w:sz w:val="20"/>
        </w:rPr>
        <w:t>Also on June 25, 2021, plaintiffs Timothy Slyne and Tai Slyne</w:t>
      </w:r>
      <w:r>
        <w:rPr>
          <w:rFonts w:ascii="Times New Roman" w:hAnsi="Times New Roman"/>
          <w:sz w:val="20"/>
        </w:rPr>
        <w:t xml:space="preserve"> </w:t>
      </w:r>
      <w:r>
        <w:rPr>
          <w:rFonts w:ascii="Arial;sans-serif" w:hAnsi="Arial;sans-serif"/>
          <w:b w:val="false"/>
          <w:sz w:val="20"/>
        </w:rPr>
        <w:t xml:space="preserve">filed a putative securities class action lawsuit in the U.S. District Court for the Western District of Washington against the Company, Dr. Kawas, the Company’s then chief financial officer, and the same members of the Company’s board of directors and underwriters as in the </w:t>
      </w:r>
      <w:r>
        <w:rPr>
          <w:rFonts w:ascii="Arial;sans-serif" w:hAnsi="Arial;sans-serif"/>
          <w:b w:val="false"/>
          <w:i/>
          <w:sz w:val="20"/>
        </w:rPr>
        <w:t xml:space="preserve">Jawandha </w:t>
      </w:r>
      <w:r>
        <w:rPr>
          <w:rFonts w:ascii="Arial;sans-serif" w:hAnsi="Arial;sans-serif"/>
          <w:b w:val="false"/>
          <w:sz w:val="20"/>
        </w:rPr>
        <w:t xml:space="preserve">complaint, captioned </w:t>
      </w:r>
      <w:r>
        <w:rPr>
          <w:rFonts w:ascii="Arial;sans-serif" w:hAnsi="Arial;sans-serif"/>
          <w:b w:val="false"/>
          <w:i/>
          <w:sz w:val="20"/>
        </w:rPr>
        <w:t>Slyne v. Athira Pharma, Inc. et al.</w:t>
      </w:r>
      <w:r>
        <w:rPr>
          <w:rFonts w:ascii="Arial;sans-serif" w:hAnsi="Arial;sans-serif"/>
          <w:b w:val="false"/>
          <w:sz w:val="20"/>
        </w:rPr>
        <w:t xml:space="preserve">, No. 2:21-cv-00864. The </w:t>
      </w:r>
      <w:r>
        <w:rPr>
          <w:rFonts w:ascii="Arial;sans-serif" w:hAnsi="Arial;sans-serif"/>
          <w:b w:val="false"/>
          <w:i/>
          <w:sz w:val="20"/>
        </w:rPr>
        <w:t xml:space="preserve">Slyne </w:t>
      </w:r>
      <w:r>
        <w:rPr>
          <w:rFonts w:ascii="Arial;sans-serif" w:hAnsi="Arial;sans-serif"/>
          <w:b w:val="false"/>
          <w:sz w:val="20"/>
        </w:rPr>
        <w:t>complaint asserts violations of Sections 11 and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0" w:after="0"/>
        <w:jc w:val="both"/>
        <w:rPr>
          <w:rFonts w:ascii="Times New Roman" w:hAnsi="Times New Roman"/>
          <w:sz w:val="20"/>
        </w:rPr>
      </w:pPr>
      <w:r>
        <w:rPr>
          <w:rFonts w:ascii="Arial;sans-serif" w:hAnsi="Arial;sans-serif"/>
          <w:b w:val="false"/>
          <w:sz w:val="20"/>
        </w:rPr>
        <w:t xml:space="preserve">15 of the Securities Act, alleging that purported issues with Dr. Kawas’s doctoral research at WSU should have been disclosed in the Company’s IPO registration statement. The </w:t>
      </w:r>
      <w:r>
        <w:rPr>
          <w:rFonts w:ascii="Arial;sans-serif" w:hAnsi="Arial;sans-serif"/>
          <w:b w:val="false"/>
          <w:i/>
          <w:sz w:val="20"/>
        </w:rPr>
        <w:t>Slyne</w:t>
      </w:r>
      <w:r>
        <w:rPr>
          <w:rFonts w:ascii="Times New Roman" w:hAnsi="Times New Roman"/>
          <w:sz w:val="20"/>
        </w:rPr>
        <w:t xml:space="preserve"> </w:t>
      </w:r>
      <w:r>
        <w:rPr>
          <w:rFonts w:ascii="Arial;sans-serif" w:hAnsi="Arial;sans-serif"/>
          <w:b w:val="false"/>
          <w:sz w:val="20"/>
        </w:rPr>
        <w:t>plaintiffs</w:t>
      </w:r>
      <w:r>
        <w:rPr>
          <w:rFonts w:ascii="Times New Roman" w:hAnsi="Times New Roman"/>
          <w:sz w:val="20"/>
        </w:rPr>
        <w:t xml:space="preserve"> </w:t>
      </w:r>
      <w:r>
        <w:rPr>
          <w:rFonts w:ascii="Arial;sans-serif" w:hAnsi="Arial;sans-serif"/>
          <w:b w:val="false"/>
          <w:sz w:val="20"/>
        </w:rPr>
        <w:t>seek unspecified compensatory damages, reasonable costs and expenses, including attorneys’ fees, and injunctive and other equitable relief.</w:t>
      </w:r>
    </w:p>
    <w:p>
      <w:pPr>
        <w:pStyle w:val="TextBody"/>
        <w:bidi w:val="0"/>
        <w:spacing w:before="280" w:after="0"/>
        <w:jc w:val="both"/>
        <w:rPr>
          <w:rFonts w:ascii="Arial;sans-serif" w:hAnsi="Arial;sans-serif"/>
          <w:b w:val="false"/>
          <w:sz w:val="20"/>
        </w:rPr>
      </w:pPr>
      <w:r>
        <w:rPr>
          <w:rFonts w:ascii="Arial;sans-serif" w:hAnsi="Arial;sans-serif"/>
          <w:b w:val="false"/>
          <w:sz w:val="20"/>
        </w:rPr>
        <w:t>On August 9, 2021, the court issued an order consolidating the three cases. On October 5, 2021, the district court issued an order appointing lead plaintiffs and approved their selection of lead and liaison counsel.</w:t>
      </w:r>
    </w:p>
    <w:p>
      <w:pPr>
        <w:pStyle w:val="TextBody"/>
        <w:bidi w:val="0"/>
        <w:spacing w:before="280" w:after="0"/>
        <w:jc w:val="both"/>
        <w:rPr>
          <w:rFonts w:ascii="Arial;sans-serif" w:hAnsi="Arial;sans-serif"/>
          <w:b w:val="false"/>
          <w:sz w:val="20"/>
        </w:rPr>
      </w:pPr>
      <w:r>
        <w:rPr>
          <w:rFonts w:ascii="Arial;sans-serif" w:hAnsi="Arial;sans-serif"/>
          <w:b w:val="false"/>
          <w:sz w:val="20"/>
        </w:rPr>
        <w:t>On January 7, 2022, lead plaintiffs filed a consolidated amended complaint, which asserts violations of Sections 10(b) and 20(a) of the Exchange Act and SEC Rule 10b-5 and Sections 11, 12, and 15 of the Securities Act. The consolidated amended complaint is brought against the Company, Dr. Kawas, the Company’s then chief financial officer, certain members of the Company's board of directors at the time of the Company's IPO and secondary public offering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pStyle w:val="TextBody"/>
        <w:bidi w:val="0"/>
        <w:spacing w:before="280" w:after="0"/>
        <w:jc w:val="both"/>
        <w:rPr>
          <w:rFonts w:ascii="Times New Roman" w:hAnsi="Times New Roman"/>
          <w:sz w:val="20"/>
        </w:rPr>
      </w:pPr>
      <w:r>
        <w:rPr>
          <w:rFonts w:ascii="Arial;sans-serif" w:hAnsi="Arial;sans-serif"/>
          <w:b w:val="false"/>
          <w:sz w:val="20"/>
        </w:rPr>
        <w:t>On August 12, 2022, defendant Dr. Kawas</w:t>
      </w:r>
      <w:r>
        <w:rPr>
          <w:rFonts w:ascii="Times New Roman" w:hAnsi="Times New Roman"/>
          <w:sz w:val="20"/>
        </w:rPr>
        <w:t xml:space="preserve"> </w:t>
      </w:r>
      <w:r>
        <w:rPr>
          <w:rFonts w:ascii="Arial;sans-serif" w:hAnsi="Arial;sans-serif"/>
          <w:b w:val="false"/>
          <w:sz w:val="20"/>
        </w:rPr>
        <w:t>filed a motion for partial reconsideration of the court’s July 29, 2022 order.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the Company and Dr. Kawas filed their individual answers to the consolidated amended complaint. In mid-November 2022, the parties began conducting fact discovery.</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On March 10, 2023, following a mediation and the parties’ agreement in principle to settle the securities class action,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w:t>
      </w:r>
    </w:p>
    <w:p>
      <w:pPr>
        <w:pStyle w:val="TextBody"/>
        <w:bidi w:val="0"/>
        <w:spacing w:before="280" w:after="0"/>
        <w:jc w:val="both"/>
        <w:rPr>
          <w:rFonts w:ascii="Times New Roman" w:hAnsi="Times New Roman"/>
          <w:sz w:val="20"/>
        </w:rPr>
      </w:pPr>
      <w:r>
        <w:rPr>
          <w:rFonts w:ascii="Arial;sans-serif" w:hAnsi="Arial;sans-serif"/>
          <w:b w:val="false"/>
          <w:sz w:val="20"/>
        </w:rPr>
        <w:t>As a result of the foregoing, the Company recorded a legal settlement expense of $10.0</w:t>
      </w:r>
      <w:r>
        <w:rPr>
          <w:rFonts w:ascii="Times New Roman" w:hAnsi="Times New Roman"/>
          <w:sz w:val="20"/>
        </w:rPr>
        <w:t xml:space="preserve"> </w:t>
      </w:r>
      <w:r>
        <w:rPr>
          <w:rFonts w:ascii="Arial;sans-serif" w:hAnsi="Arial;sans-serif"/>
          <w:b w:val="false"/>
          <w:sz w:val="20"/>
        </w:rPr>
        <w:t>million in operating expenses in the fourth quarter of 2022 and an accrued liability of $10.0</w:t>
      </w:r>
      <w:r>
        <w:rPr>
          <w:rFonts w:ascii="Times New Roman" w:hAnsi="Times New Roman"/>
          <w:sz w:val="20"/>
        </w:rPr>
        <w:t xml:space="preserve"> </w:t>
      </w:r>
      <w:r>
        <w:rPr>
          <w:rFonts w:ascii="Arial;sans-serif" w:hAnsi="Arial;sans-serif"/>
          <w:b w:val="false"/>
          <w:sz w:val="20"/>
        </w:rPr>
        <w:t>million on the accompanying unaudited condensed consolidated balance sheets.</w:t>
      </w:r>
    </w:p>
    <w:p>
      <w:pPr>
        <w:pStyle w:val="TextBody"/>
        <w:bidi w:val="0"/>
        <w:spacing w:before="240" w:after="0"/>
        <w:jc w:val="center"/>
        <w:rPr>
          <w:rFonts w:ascii="Arial;sans-serif" w:hAnsi="Arial;sans-serif"/>
          <w:b w:val="false"/>
          <w:sz w:val="20"/>
        </w:rPr>
      </w:pPr>
      <w:r>
        <w:rPr>
          <w:rFonts w:ascii="Arial;sans-serif" w:hAnsi="Arial;sans-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sz w:val="20"/>
        </w:rPr>
      </w:pPr>
      <w:r>
        <w:rPr>
          <w:rFonts w:ascii="Arial;sans-serif" w:hAnsi="Arial;sans-serif"/>
          <w:b/>
          <w:sz w:val="20"/>
        </w:rPr>
        <w:t>Shareholder Derivative Actions</w:t>
      </w:r>
    </w:p>
    <w:p>
      <w:pPr>
        <w:pStyle w:val="TextBody"/>
        <w:bidi w:val="0"/>
        <w:spacing w:before="280" w:after="0"/>
        <w:jc w:val="both"/>
        <w:rPr>
          <w:rFonts w:ascii="Times New Roman" w:hAnsi="Times New Roman"/>
          <w:sz w:val="20"/>
        </w:rPr>
      </w:pPr>
      <w:r>
        <w:rPr>
          <w:rFonts w:ascii="Arial;sans-serif" w:hAnsi="Arial;sans-serif"/>
          <w:b w:val="false"/>
          <w:sz w:val="20"/>
        </w:rPr>
        <w:t xml:space="preserve">On April 14, 2022, a shareholder derivative action was filed by plaintiff Stephen Bushansky in the U.S. District Court for the Western District of Washington against certain current and former members of the Company’s board of directors, captioned </w:t>
      </w:r>
      <w:r>
        <w:rPr>
          <w:rFonts w:ascii="Arial;sans-serif" w:hAnsi="Arial;sans-serif"/>
          <w:b w:val="false"/>
          <w:i/>
          <w:sz w:val="20"/>
        </w:rPr>
        <w:t>Bushansky v. Kawas et al.</w:t>
      </w:r>
      <w:r>
        <w:rPr>
          <w:rFonts w:ascii="Arial;sans-serif" w:hAnsi="Arial;sans-serif"/>
          <w:b w:val="false"/>
          <w:sz w:val="20"/>
        </w:rPr>
        <w:t>, No. 2:22-cv-497. Plaintiff purports to bring the action derivatively on behalf of the Company, which is a nominal defendant to the action. The derivative complaint alleges that the Company’s board of directors breached its fiduciary duties by failing to prevent alleged misstatements in the Company’s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pStyle w:val="TextBody"/>
        <w:bidi w:val="0"/>
        <w:spacing w:before="280" w:after="0"/>
        <w:jc w:val="both"/>
        <w:rPr>
          <w:rFonts w:ascii="Times New Roman" w:hAnsi="Times New Roman"/>
          <w:sz w:val="20"/>
        </w:rPr>
      </w:pPr>
      <w:r>
        <w:rPr>
          <w:rFonts w:ascii="Arial;sans-serif" w:hAnsi="Arial;sans-serif"/>
          <w:b w:val="false"/>
          <w:sz w:val="20"/>
        </w:rPr>
        <w:t xml:space="preserve">On May 6, 2022, a second shareholder derivative action was filed by plaintiff Thomas Houlihan in the U.S. District Court for the Western District of Washington against certain current and former directors and officers of the Company, captioned </w:t>
      </w:r>
      <w:r>
        <w:rPr>
          <w:rFonts w:ascii="Arial;sans-serif" w:hAnsi="Arial;sans-serif"/>
          <w:b w:val="false"/>
          <w:i/>
          <w:sz w:val="20"/>
        </w:rPr>
        <w:t>Houlihan v. Kawas et al</w:t>
      </w:r>
      <w:r>
        <w:rPr>
          <w:rFonts w:ascii="Arial;sans-serif" w:hAnsi="Arial;sans-serif"/>
          <w:b w:val="false"/>
          <w:sz w:val="20"/>
        </w:rPr>
        <w:t>., No. 2:22-cv-620. Plaintiff purports to bring the action derivatively on behalf of the Company, which is a nominal defendant to the action. The derivative complaint alleges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pStyle w:val="TextBody"/>
        <w:bidi w:val="0"/>
        <w:spacing w:before="280" w:after="0"/>
        <w:jc w:val="both"/>
        <w:rPr>
          <w:rFonts w:ascii="Arial;sans-serif" w:hAnsi="Arial;sans-serif"/>
          <w:b w:val="false"/>
          <w:sz w:val="20"/>
        </w:rPr>
      </w:pPr>
      <w:r>
        <w:rPr>
          <w:rFonts w:ascii="Arial;sans-serif" w:hAnsi="Arial;sans-serif"/>
          <w:b w:val="false"/>
          <w:sz w:val="20"/>
        </w:rPr>
        <w:t>On May 26, 2022, the court issued an order consolidating the cases and staying them until further order of the court. The Company believes it has adequate reserves related to this matter as of the balance sheet date.</w:t>
      </w:r>
    </w:p>
    <w:p>
      <w:pPr>
        <w:pStyle w:val="TextBody"/>
        <w:bidi w:val="0"/>
        <w:spacing w:before="280" w:after="0"/>
        <w:jc w:val="both"/>
        <w:rPr>
          <w:rFonts w:ascii="Arial;sans-serif" w:hAnsi="Arial;sans-serif"/>
          <w:b/>
          <w:sz w:val="20"/>
        </w:rPr>
      </w:pPr>
      <w:r>
        <w:rPr>
          <w:rFonts w:ascii="Arial;sans-serif" w:hAnsi="Arial;sans-serif"/>
          <w:b/>
          <w:sz w:val="20"/>
        </w:rPr>
        <w:t>Government Investigations</w:t>
      </w:r>
    </w:p>
    <w:p>
      <w:pPr>
        <w:pStyle w:val="TextBody"/>
        <w:bidi w:val="0"/>
        <w:spacing w:before="280" w:after="0"/>
        <w:jc w:val="both"/>
        <w:rPr>
          <w:rFonts w:ascii="Times New Roman" w:hAnsi="Times New Roman"/>
          <w:sz w:val="20"/>
        </w:rPr>
      </w:pPr>
      <w:r>
        <w:rPr>
          <w:rFonts w:ascii="Arial;sans-serif" w:hAnsi="Arial;sans-serif"/>
          <w:b w:val="false"/>
          <w:sz w:val="20"/>
        </w:rPr>
        <w:t>In November 2022, the Company received a Civil Investigative Demand from the Civil Division of the Department of Justice ("the Demand"). The Demand seeks documents and information relating to our relationship with WSU, certain of our grant applications in 2016 and 2019 with the National Institutes of Health ("NIH"), and our receipt of a NIH grant in 2020. The Company is cooperating with the Department of Justice with respect to the Demand</w:t>
      </w:r>
      <w:r>
        <w:rPr>
          <w:rFonts w:ascii="Arial;sans-serif" w:hAnsi="Arial;sans-serif"/>
          <w:b/>
          <w:sz w:val="20"/>
        </w:rPr>
        <w:t>.</w:t>
      </w:r>
    </w:p>
    <w:p>
      <w:pPr>
        <w:pStyle w:val="TextBody"/>
        <w:bidi w:val="0"/>
        <w:spacing w:before="280" w:after="0"/>
        <w:jc w:val="both"/>
        <w:rPr>
          <w:rFonts w:ascii="Times New Roman" w:hAnsi="Times New Roman"/>
          <w:sz w:val="20"/>
        </w:rPr>
      </w:pPr>
      <w:r>
        <w:rPr>
          <w:rFonts w:ascii="Arial;sans-serif" w:hAnsi="Arial;sans-serif"/>
          <w:b w:val="false"/>
          <w:sz w:val="20"/>
        </w:rPr>
        <w:t>In February 2023, the Securities and Exchange Commission ("SEC"), sent the Company a subpoena seeking documents and information relating to, among other things, the Company's former chief executive officer's alterations of images in certain research papers. The Company is cooperating with the SEC with respect to the subpoena</w:t>
      </w:r>
      <w:r>
        <w:rPr>
          <w:rFonts w:ascii="Arial;sans-serif" w:hAnsi="Arial;sans-serif"/>
          <w:b/>
          <w:sz w:val="20"/>
        </w:rPr>
        <w:t>.</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cannot predict the outcome of these lawsuits or government investigations. Failure by the Company to obtain a favorable resolution of these actions could have a material adverse effect on our business, results of operations and financial condition.</w:t>
      </w:r>
    </w:p>
    <w:p>
      <w:pPr>
        <w:pStyle w:val="TextBody"/>
        <w:bidi w:val="0"/>
        <w:spacing w:before="280" w:after="0"/>
        <w:jc w:val="both"/>
        <w:rPr>
          <w:rFonts w:ascii="Times New Roman" w:hAnsi="Times New Roman"/>
          <w:sz w:val="20"/>
        </w:rPr>
      </w:pPr>
      <w:r>
        <w:rPr>
          <w:rFonts w:ascii="Arial;sans-serif" w:hAnsi="Arial;sans-serif"/>
          <w:b/>
          <w:i/>
          <w:sz w:val="20"/>
        </w:rPr>
        <w:t>Operating Leases</w:t>
      </w:r>
      <w:r>
        <w:rPr>
          <w:rFonts w:ascii="Times New Roman" w:hAnsi="Times New Roman"/>
          <w:sz w:val="20"/>
        </w:rPr>
        <w:t xml:space="preserve"> </w:t>
      </w:r>
    </w:p>
    <w:p>
      <w:pPr>
        <w:pStyle w:val="TextBody"/>
        <w:bidi w:val="0"/>
        <w:spacing w:before="160" w:after="0"/>
        <w:jc w:val="both"/>
        <w:rPr>
          <w:rFonts w:ascii="Times New Roman" w:hAnsi="Times New Roman"/>
          <w:sz w:val="20"/>
        </w:rPr>
      </w:pPr>
      <w:r>
        <w:rPr>
          <w:rFonts w:ascii="Arial;sans-serif" w:hAnsi="Arial;sans-serif"/>
          <w:b w:val="false"/>
          <w:sz w:val="20"/>
        </w:rPr>
        <w:t>The Company has operating leases for laboratory and office facilities in Bothell, Washington that expire in August 2027. The initial terms of the leases range from 6.3</w:t>
      </w:r>
      <w:r>
        <w:rPr>
          <w:rFonts w:ascii="Times New Roman" w:hAnsi="Times New Roman"/>
          <w:sz w:val="20"/>
        </w:rPr>
        <w:t xml:space="preserve"> </w:t>
      </w:r>
      <w:r>
        <w:rPr>
          <w:rFonts w:ascii="Arial;sans-serif" w:hAnsi="Arial;sans-serif"/>
          <w:b w:val="false"/>
          <w:sz w:val="20"/>
        </w:rPr>
        <w:t>to 7</w:t>
      </w:r>
      <w:r>
        <w:rPr>
          <w:rFonts w:ascii="Times New Roman" w:hAnsi="Times New Roman"/>
          <w:sz w:val="20"/>
        </w:rPr>
        <w:t xml:space="preserve"> </w:t>
      </w:r>
      <w:r>
        <w:rPr>
          <w:rFonts w:ascii="Arial;sans-serif" w:hAnsi="Arial;sans-serif"/>
          <w:b w:val="false"/>
          <w:sz w:val="20"/>
        </w:rPr>
        <w:t>years and the Company has options to extend</w:t>
      </w:r>
      <w:r>
        <w:rPr>
          <w:rFonts w:ascii="Times New Roman" w:hAnsi="Times New Roman"/>
          <w:sz w:val="20"/>
        </w:rPr>
        <w:t xml:space="preserve"> </w:t>
      </w:r>
      <w:r>
        <w:rPr>
          <w:rFonts w:ascii="Arial;sans-serif" w:hAnsi="Arial;sans-serif"/>
          <w:b w:val="false"/>
          <w:sz w:val="20"/>
        </w:rPr>
        <w:t>the leases for an additional five years</w:t>
      </w:r>
      <w:r>
        <w:rPr>
          <w:rFonts w:ascii="Times New Roman" w:hAnsi="Times New Roman"/>
          <w:sz w:val="20"/>
        </w:rPr>
        <w:t xml:space="preserve"> </w:t>
      </w:r>
      <w:r>
        <w:rPr>
          <w:rFonts w:ascii="Arial;sans-serif" w:hAnsi="Arial;sans-serif"/>
          <w:b w:val="false"/>
          <w:sz w:val="20"/>
        </w:rPr>
        <w:t>that it is not reasonably certain to exercise. As of June 30, 2023, the Company was not party to any finance leases.</w:t>
      </w:r>
    </w:p>
    <w:p>
      <w:pPr>
        <w:pStyle w:val="TextBody"/>
        <w:bidi w:val="0"/>
        <w:spacing w:before="240" w:after="0"/>
        <w:jc w:val="center"/>
        <w:rPr>
          <w:rFonts w:ascii="Arial;sans-serif" w:hAnsi="Arial;sans-serif"/>
          <w:b w:val="false"/>
          <w:sz w:val="20"/>
        </w:rPr>
      </w:pPr>
      <w:r>
        <w:rPr>
          <w:rFonts w:ascii="Arial;sans-serif" w:hAnsi="Arial;sans-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table reconciles the Company’s undiscounted operating lease cash flows to its operating lease liability (in thousands):</w:t>
      </w:r>
    </w:p>
    <w:p>
      <w:pPr>
        <w:pStyle w:val="TextBody"/>
        <w:bidi w:val="0"/>
        <w:spacing w:before="0" w:after="0"/>
        <w:jc w:val="both"/>
        <w:rPr/>
      </w:pPr>
      <w:r>
        <w:rPr/>
        <w:t> </w:t>
      </w:r>
    </w:p>
    <w:tbl>
      <w:tblPr>
        <w:tblW w:w="5440" w:type="dxa"/>
        <w:jc w:val="left"/>
        <w:tblInd w:w="0" w:type="dxa"/>
        <w:tblLayout w:type="fixed"/>
        <w:tblCellMar>
          <w:top w:w="28" w:type="dxa"/>
          <w:left w:w="28" w:type="dxa"/>
          <w:bottom w:w="28" w:type="dxa"/>
          <w:right w:w="28" w:type="dxa"/>
        </w:tblCellMar>
      </w:tblPr>
      <w:tblGrid>
        <w:gridCol w:w="4006"/>
        <w:gridCol w:w="146"/>
        <w:gridCol w:w="211"/>
        <w:gridCol w:w="586"/>
        <w:gridCol w:w="4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Remaining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w:t>
            </w:r>
          </w:p>
        </w:tc>
        <w:tc>
          <w:tcPr>
            <w:tcW w:w="491" w:type="dxa"/>
            <w:tcBorders/>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480</w:t>
            </w:r>
          </w:p>
        </w:tc>
        <w:tc>
          <w:tcPr>
            <w:tcW w:w="491" w:type="dxa"/>
            <w:tcBorders/>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494</w:t>
            </w:r>
          </w:p>
        </w:tc>
        <w:tc>
          <w:tcPr>
            <w:tcW w:w="491" w:type="dxa"/>
            <w:tcBorders/>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509</w:t>
            </w:r>
          </w:p>
        </w:tc>
        <w:tc>
          <w:tcPr>
            <w:tcW w:w="491" w:type="dxa"/>
            <w:tcBorders/>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undiscounted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2,065</w:t>
            </w:r>
          </w:p>
        </w:tc>
        <w:tc>
          <w:tcPr>
            <w:tcW w:w="491" w:type="dxa"/>
            <w:tcBorders/>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Present value adjustment for minimum lease</w:t>
              <w:br/>
              <w:t>   commitments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00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Net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1,754</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80" w:after="0"/>
        <w:jc w:val="both"/>
        <w:rPr>
          <w:rFonts w:ascii="Arial;sans-serif" w:hAnsi="Arial;sans-serif"/>
          <w:b w:val="false"/>
          <w:sz w:val="20"/>
        </w:rPr>
      </w:pPr>
      <w:r>
        <w:rPr>
          <w:rFonts w:ascii="Arial;sans-serif" w:hAnsi="Arial;sans-serif"/>
          <w:b w:val="false"/>
          <w:sz w:val="20"/>
        </w:rPr>
        <w:t>The weighted average remaining lease term and the weighted average discount rate used to determine the operating lease liability were as follows:</w:t>
      </w:r>
    </w:p>
    <w:p>
      <w:pPr>
        <w:pStyle w:val="TextBody"/>
        <w:bidi w:val="0"/>
        <w:spacing w:before="0" w:after="0"/>
        <w:jc w:val="both"/>
        <w:rPr/>
      </w:pPr>
      <w:r>
        <w:rPr/>
        <w:t> </w:t>
      </w:r>
    </w:p>
    <w:tbl>
      <w:tblPr>
        <w:tblW w:w="5458" w:type="dxa"/>
        <w:jc w:val="left"/>
        <w:tblInd w:w="0" w:type="dxa"/>
        <w:tblLayout w:type="fixed"/>
        <w:tblCellMar>
          <w:top w:w="28" w:type="dxa"/>
          <w:left w:w="28" w:type="dxa"/>
          <w:bottom w:w="28" w:type="dxa"/>
          <w:right w:w="28" w:type="dxa"/>
        </w:tblCellMar>
      </w:tblPr>
      <w:tblGrid>
        <w:gridCol w:w="4216"/>
        <w:gridCol w:w="146"/>
        <w:gridCol w:w="214"/>
        <w:gridCol w:w="551"/>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b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 average remaining lease term (years)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w:t>
            </w:r>
          </w:p>
        </w:tc>
        <w:tc>
          <w:tcPr>
            <w:tcW w:w="33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8.1</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both"/>
        <w:rPr/>
      </w:pPr>
      <w:r>
        <w:rPr/>
        <w:t> </w:t>
      </w:r>
    </w:p>
    <w:p>
      <w:pPr>
        <w:pStyle w:val="TextBody"/>
        <w:bidi w:val="0"/>
        <w:spacing w:before="80" w:after="0"/>
        <w:jc w:val="both"/>
        <w:rPr>
          <w:rFonts w:ascii="Arial;sans-serif" w:hAnsi="Arial;sans-serif"/>
          <w:b w:val="false"/>
          <w:sz w:val="20"/>
        </w:rPr>
      </w:pPr>
      <w:r>
        <w:rPr>
          <w:rFonts w:ascii="Arial;sans-serif" w:hAnsi="Arial;sans-serif"/>
          <w:b w:val="false"/>
          <w:sz w:val="20"/>
        </w:rPr>
        <w:t>Operating lease expense and variable lease expense consisted of the following (in thousands):</w:t>
      </w:r>
    </w:p>
    <w:p>
      <w:pPr>
        <w:pStyle w:val="TextBody"/>
        <w:bidi w:val="0"/>
        <w:spacing w:before="80" w:after="0"/>
        <w:jc w:val="both"/>
        <w:rPr/>
      </w:pPr>
      <w:r>
        <w:rPr/>
        <w:t> </w:t>
      </w:r>
    </w:p>
    <w:tbl>
      <w:tblPr>
        <w:tblW w:w="7674" w:type="dxa"/>
        <w:jc w:val="left"/>
        <w:tblInd w:w="0" w:type="dxa"/>
        <w:tblLayout w:type="fixed"/>
        <w:tblCellMar>
          <w:top w:w="28" w:type="dxa"/>
          <w:left w:w="28" w:type="dxa"/>
          <w:bottom w:w="28" w:type="dxa"/>
          <w:right w:w="28" w:type="dxa"/>
        </w:tblCellMar>
      </w:tblPr>
      <w:tblGrid>
        <w:gridCol w:w="2281"/>
        <w:gridCol w:w="146"/>
        <w:gridCol w:w="247"/>
        <w:gridCol w:w="811"/>
        <w:gridCol w:w="171"/>
        <w:gridCol w:w="171"/>
        <w:gridCol w:w="247"/>
        <w:gridCol w:w="811"/>
        <w:gridCol w:w="146"/>
        <w:gridCol w:w="146"/>
        <w:gridCol w:w="211"/>
        <w:gridCol w:w="796"/>
        <w:gridCol w:w="146"/>
        <w:gridCol w:w="146"/>
        <w:gridCol w:w="211"/>
        <w:gridCol w:w="79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1" w:type="dxa"/>
            <w:tcBorders/>
            <w:vAlign w:val="center"/>
          </w:tcPr>
          <w:p>
            <w:pPr>
              <w:pStyle w:val="TableContents"/>
              <w:bidi w:val="0"/>
              <w:spacing w:before="0" w:after="0"/>
              <w:ind w:left="0" w:right="0" w:hanging="0"/>
              <w:jc w:val="center"/>
              <w:rPr/>
            </w:pPr>
            <w:r>
              <w:rPr/>
              <w:t> </w:t>
            </w:r>
          </w:p>
        </w:tc>
        <w:tc>
          <w:tcPr>
            <w:tcW w:w="10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 expense</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88,000</w:t>
            </w:r>
          </w:p>
        </w:tc>
        <w:tc>
          <w:tcPr>
            <w:tcW w:w="171"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177,000</w:t>
            </w:r>
          </w:p>
        </w:tc>
        <w:tc>
          <w:tcPr>
            <w:tcW w:w="191"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Variable lease expense</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42,000</w:t>
            </w:r>
          </w:p>
        </w:tc>
        <w:tc>
          <w:tcPr>
            <w:tcW w:w="171"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1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85,000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both"/>
        <w:rPr>
          <w:rFonts w:ascii="Arial;sans-serif" w:hAnsi="Arial;sans-serif"/>
          <w:b/>
          <w:sz w:val="20"/>
        </w:rPr>
      </w:pPr>
      <w:r>
        <w:rPr>
          <w:rFonts w:ascii="Arial;sans-serif" w:hAnsi="Arial;sans-serif"/>
          <w:b/>
          <w:sz w:val="20"/>
        </w:rPr>
        <w:t>8. Common Stock</w:t>
      </w:r>
    </w:p>
    <w:p>
      <w:pPr>
        <w:pStyle w:val="TextBody"/>
        <w:bidi w:val="0"/>
        <w:spacing w:before="280" w:after="0"/>
        <w:jc w:val="both"/>
        <w:rPr>
          <w:rFonts w:ascii="Arial;sans-serif" w:hAnsi="Arial;sans-serif"/>
          <w:b w:val="false"/>
          <w:sz w:val="20"/>
        </w:rPr>
      </w:pPr>
      <w:r>
        <w:rPr>
          <w:rFonts w:ascii="Arial;sans-serif" w:hAnsi="Arial;sans-serif"/>
          <w:b w:val="false"/>
          <w:sz w:val="20"/>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pStyle w:val="TextBody"/>
        <w:bidi w:val="0"/>
        <w:spacing w:before="280" w:after="0"/>
        <w:jc w:val="both"/>
        <w:rPr>
          <w:rFonts w:ascii="Arial;sans-serif" w:hAnsi="Arial;sans-serif"/>
          <w:b w:val="false"/>
          <w:sz w:val="20"/>
        </w:rPr>
      </w:pPr>
      <w:r>
        <w:rPr>
          <w:rFonts w:ascii="Arial;sans-serif" w:hAnsi="Arial;sans-serif"/>
          <w:b w:val="false"/>
          <w:sz w:val="20"/>
        </w:rPr>
        <w:t>The Company has reserved the following shares of common stock for future issuance, on an as-converted basis, as follows:</w:t>
      </w:r>
    </w:p>
    <w:p>
      <w:pPr>
        <w:pStyle w:val="TextBody"/>
        <w:bidi w:val="0"/>
        <w:spacing w:before="0" w:after="0"/>
        <w:jc w:val="both"/>
        <w:rPr/>
      </w:pPr>
      <w:r>
        <w:rPr/>
        <w:t> </w:t>
      </w:r>
    </w:p>
    <w:tbl>
      <w:tblPr>
        <w:tblW w:w="7702" w:type="dxa"/>
        <w:jc w:val="left"/>
        <w:tblInd w:w="0" w:type="dxa"/>
        <w:tblLayout w:type="fixed"/>
        <w:tblCellMar>
          <w:top w:w="28" w:type="dxa"/>
          <w:left w:w="28" w:type="dxa"/>
          <w:bottom w:w="28" w:type="dxa"/>
          <w:right w:w="28" w:type="dxa"/>
        </w:tblCellMar>
      </w:tblPr>
      <w:tblGrid>
        <w:gridCol w:w="4411"/>
        <w:gridCol w:w="146"/>
        <w:gridCol w:w="146"/>
        <w:gridCol w:w="1066"/>
        <w:gridCol w:w="146"/>
        <w:gridCol w:w="146"/>
        <w:gridCol w:w="154"/>
        <w:gridCol w:w="1016"/>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Shares issuable upon the exercise of outstanding</w:t>
              <w:br/>
              <w:t>   common stock options and the vesting of</w:t>
              <w:br/>
              <w:t>   outstanding common restricted stock</w:t>
              <w:br/>
              <w:t>   units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7,676,606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4,269,861</w:t>
            </w:r>
          </w:p>
        </w:tc>
        <w:tc>
          <w:tcPr>
            <w:tcW w:w="47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Shares available for future grant under the 2020</w:t>
              <w:br/>
              <w:t>   Equity Incentive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2,659,883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4,253,854</w:t>
            </w:r>
          </w:p>
        </w:tc>
        <w:tc>
          <w:tcPr>
            <w:tcW w:w="47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Shares available for future grant under the</w:t>
              <w:br/>
              <w:t>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1,199,313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916,640</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441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11,535,802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9,440,355</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80" w:after="0"/>
        <w:jc w:val="both"/>
        <w:rPr>
          <w:rFonts w:ascii="Times New Roman" w:hAnsi="Times New Roman"/>
          <w:sz w:val="20"/>
        </w:rPr>
      </w:pPr>
      <w:r>
        <w:rPr>
          <w:rFonts w:ascii="Arial;sans-serif" w:hAnsi="Arial;sans-serif"/>
          <w:b w:val="false"/>
          <w:sz w:val="20"/>
        </w:rPr>
        <w:t>The Company’s 2020 Equity Incentive Plan (“2020 Plan”) provides for annual increases in the number of shares that may be issued under the 2020 Plan on January 1, 2021 and each subsequent January 1, thereafter, by a number of shares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0" w:after="0"/>
        <w:jc w:val="both"/>
        <w:rPr>
          <w:rFonts w:ascii="Times New Roman" w:hAnsi="Times New Roman"/>
          <w:sz w:val="20"/>
        </w:rPr>
      </w:pPr>
      <w:r>
        <w:rPr>
          <w:rFonts w:ascii="Arial;sans-serif" w:hAnsi="Arial;sans-serif"/>
          <w:b w:val="false"/>
          <w:sz w:val="20"/>
        </w:rPr>
        <w:t>equal to the least of (1) 3,230,000</w:t>
      </w:r>
      <w:r>
        <w:rPr>
          <w:rFonts w:ascii="Times New Roman" w:hAnsi="Times New Roman"/>
          <w:sz w:val="20"/>
        </w:rPr>
        <w:t xml:space="preserve"> </w:t>
      </w:r>
      <w:r>
        <w:rPr>
          <w:rFonts w:ascii="Arial;sans-serif" w:hAnsi="Arial;sans-serif"/>
          <w:b w:val="false"/>
          <w:sz w:val="20"/>
        </w:rPr>
        <w:t>shares, (2) 5% of the number of shares of common stock issued and outstanding on the immediately preceding December 31, or 3) an amount determined by the Company’s board of directors.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80" w:after="0"/>
        <w:jc w:val="both"/>
        <w:rPr>
          <w:rFonts w:ascii="Times New Roman" w:hAnsi="Times New Roman"/>
          <w:sz w:val="20"/>
        </w:rPr>
      </w:pPr>
      <w:r>
        <w:rPr>
          <w:rFonts w:ascii="Arial;sans-serif" w:hAnsi="Arial;sans-serif"/>
          <w:b w:val="false"/>
          <w:sz w:val="20"/>
        </w:rPr>
        <w:t>The Company’s 2020 Employee Stock Purchase Plan (“ESPP”) provides for annual increases in the number of shares that may be issued under the ESPP on January 1, 2021 and each subsequent January 1, thereafter, by a number of shares equal to the least of (1) 646,000</w:t>
      </w:r>
      <w:r>
        <w:rPr>
          <w:rFonts w:ascii="Times New Roman" w:hAnsi="Times New Roman"/>
          <w:sz w:val="20"/>
        </w:rPr>
        <w:t xml:space="preserve"> </w:t>
      </w:r>
      <w:r>
        <w:rPr>
          <w:rFonts w:ascii="Arial;sans-serif" w:hAnsi="Arial;sans-serif"/>
          <w:b w:val="false"/>
          <w:sz w:val="20"/>
        </w:rPr>
        <w:t>shares, (2) 1% of the number of shares of common stock issued and outstanding on the immediately preceding December 31, and (3) an amount determined by the Company’s board of directors.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80" w:after="0"/>
        <w:jc w:val="both"/>
        <w:rPr>
          <w:rFonts w:ascii="Times New Roman" w:hAnsi="Times New Roman"/>
          <w:sz w:val="20"/>
        </w:rPr>
      </w:pPr>
      <w:r>
        <w:rPr>
          <w:rFonts w:ascii="Arial;sans-serif" w:hAnsi="Arial;sans-serif"/>
          <w:b w:val="false"/>
          <w:sz w:val="20"/>
        </w:rPr>
        <w:t>Effective January 1, 2023, the Company’s 2020 Plan and ESPP reserves increased by 1,893,869</w:t>
      </w:r>
      <w:r>
        <w:rPr>
          <w:rFonts w:ascii="Times New Roman" w:hAnsi="Times New Roman"/>
          <w:sz w:val="20"/>
        </w:rPr>
        <w:t xml:space="preserve"> </w:t>
      </w:r>
      <w:r>
        <w:rPr>
          <w:rFonts w:ascii="Arial;sans-serif" w:hAnsi="Arial;sans-serif"/>
          <w:b w:val="false"/>
          <w:sz w:val="20"/>
        </w:rPr>
        <w:t>shares and 378,774</w:t>
      </w:r>
      <w:r>
        <w:rPr>
          <w:rFonts w:ascii="Times New Roman" w:hAnsi="Times New Roman"/>
          <w:sz w:val="20"/>
        </w:rPr>
        <w:t xml:space="preserve"> </w:t>
      </w:r>
      <w:r>
        <w:rPr>
          <w:rFonts w:ascii="Arial;sans-serif" w:hAnsi="Arial;sans-serif"/>
          <w:b w:val="false"/>
          <w:sz w:val="20"/>
        </w:rPr>
        <w:t>shares, respectively.</w:t>
      </w:r>
    </w:p>
    <w:p>
      <w:pPr>
        <w:pStyle w:val="TextBody"/>
        <w:bidi w:val="0"/>
        <w:spacing w:before="0" w:after="0"/>
        <w:jc w:val="both"/>
        <w:rPr/>
      </w:pPr>
      <w:r>
        <w:rPr/>
        <w:t> </w:t>
      </w:r>
    </w:p>
    <w:p>
      <w:pPr>
        <w:pStyle w:val="TextBody"/>
        <w:bidi w:val="0"/>
        <w:spacing w:before="0" w:after="0"/>
        <w:jc w:val="both"/>
        <w:rPr>
          <w:rFonts w:ascii="Arial;sans-serif" w:hAnsi="Arial;sans-serif"/>
          <w:b/>
          <w:sz w:val="20"/>
        </w:rPr>
      </w:pPr>
      <w:r>
        <w:rPr>
          <w:rFonts w:ascii="Arial;sans-serif" w:hAnsi="Arial;sans-serif"/>
          <w:b/>
          <w:sz w:val="20"/>
        </w:rPr>
        <w:t>9. Stock-based Compensation</w:t>
      </w:r>
    </w:p>
    <w:p>
      <w:pPr>
        <w:pStyle w:val="TextBody"/>
        <w:bidi w:val="0"/>
        <w:spacing w:before="280" w:after="0"/>
        <w:jc w:val="both"/>
        <w:rPr>
          <w:rFonts w:ascii="Arial;sans-serif" w:hAnsi="Arial;sans-serif"/>
          <w:b w:val="false"/>
          <w:sz w:val="20"/>
        </w:rPr>
      </w:pPr>
      <w:r>
        <w:rPr>
          <w:rFonts w:ascii="Arial;sans-serif" w:hAnsi="Arial;sans-serif"/>
          <w:b w:val="false"/>
          <w:sz w:val="20"/>
        </w:rPr>
        <w:t>Stock</w:t>
        <w:noBreakHyphen/>
        <w:t>based compensation expense recognized was as follows (in thousands):</w:t>
      </w:r>
    </w:p>
    <w:p>
      <w:pPr>
        <w:pStyle w:val="TextBody"/>
        <w:bidi w:val="0"/>
        <w:spacing w:before="0" w:after="0"/>
        <w:jc w:val="both"/>
        <w:rPr/>
      </w:pPr>
      <w:r>
        <w:rPr/>
        <w:t> </w:t>
      </w:r>
    </w:p>
    <w:tbl>
      <w:tblPr>
        <w:tblW w:w="9366" w:type="dxa"/>
        <w:jc w:val="left"/>
        <w:tblInd w:w="0" w:type="dxa"/>
        <w:tblLayout w:type="fixed"/>
        <w:tblCellMar>
          <w:top w:w="28" w:type="dxa"/>
          <w:left w:w="28" w:type="dxa"/>
          <w:bottom w:w="28" w:type="dxa"/>
          <w:right w:w="28" w:type="dxa"/>
        </w:tblCellMar>
      </w:tblPr>
      <w:tblGrid>
        <w:gridCol w:w="3751"/>
        <w:gridCol w:w="146"/>
        <w:gridCol w:w="275"/>
        <w:gridCol w:w="764"/>
        <w:gridCol w:w="190"/>
        <w:gridCol w:w="190"/>
        <w:gridCol w:w="275"/>
        <w:gridCol w:w="764"/>
        <w:gridCol w:w="146"/>
        <w:gridCol w:w="146"/>
        <w:gridCol w:w="251"/>
        <w:gridCol w:w="699"/>
        <w:gridCol w:w="174"/>
        <w:gridCol w:w="174"/>
        <w:gridCol w:w="251"/>
        <w:gridCol w:w="699"/>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0" w:type="dxa"/>
            <w:tcBorders/>
            <w:vAlign w:val="center"/>
          </w:tcPr>
          <w:p>
            <w:pPr>
              <w:pStyle w:val="TableContents"/>
              <w:bidi w:val="0"/>
              <w:spacing w:before="0" w:after="0"/>
              <w:ind w:left="0" w:right="0" w:hanging="0"/>
              <w:jc w:val="left"/>
              <w:rPr/>
            </w:pPr>
            <w:r>
              <w:rPr/>
              <w:t> </w:t>
            </w:r>
          </w:p>
        </w:tc>
        <w:tc>
          <w:tcPr>
            <w:tcW w:w="10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vAlign w:val="center"/>
          </w:tcPr>
          <w:p>
            <w:pPr>
              <w:pStyle w:val="TableContents"/>
              <w:bidi w:val="0"/>
              <w:spacing w:before="0" w:after="0"/>
              <w:ind w:left="0" w:right="0" w:hanging="0"/>
              <w:jc w:val="left"/>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1,287</w:t>
            </w:r>
          </w:p>
        </w:tc>
        <w:tc>
          <w:tcPr>
            <w:tcW w:w="190"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2,284</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1,756</w:t>
            </w:r>
          </w:p>
        </w:tc>
        <w:tc>
          <w:tcPr>
            <w:tcW w:w="47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1,832</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3,617</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4,070</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75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3,119</w:t>
            </w:r>
          </w:p>
        </w:tc>
        <w:tc>
          <w:tcPr>
            <w:tcW w:w="1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5,901</w:t>
            </w:r>
          </w:p>
        </w:tc>
        <w:tc>
          <w:tcPr>
            <w:tcW w:w="1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5,826</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Arial;sans-serif" w:hAnsi="Arial;sans-serif"/>
          <w:b/>
          <w:i/>
          <w:sz w:val="20"/>
        </w:rPr>
      </w:pPr>
      <w:r>
        <w:rPr>
          <w:rFonts w:ascii="Arial;sans-serif" w:hAnsi="Arial;sans-serif"/>
          <w:b/>
          <w:i/>
          <w:sz w:val="20"/>
        </w:rPr>
        <w:t>Valuation Assumptions</w:t>
      </w:r>
    </w:p>
    <w:p>
      <w:pPr>
        <w:pStyle w:val="TextBody"/>
        <w:bidi w:val="0"/>
        <w:spacing w:before="280" w:after="0"/>
        <w:jc w:val="both"/>
        <w:rPr>
          <w:rFonts w:ascii="Times New Roman" w:hAnsi="Times New Roman"/>
          <w:sz w:val="20"/>
        </w:rPr>
      </w:pPr>
      <w:r>
        <w:rPr>
          <w:rFonts w:ascii="Arial;sans-serif" w:hAnsi="Arial;sans-serif"/>
          <w:b w:val="false"/>
          <w:sz w:val="20"/>
        </w:rPr>
        <w:t>The fair value of stock options was determined using the Black-Scholes option-pricing model and the assumptions below. Each of these inputs is subjective and generally required significant judgment.</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sz w:val="24"/>
        </w:rPr>
      </w:pPr>
      <w:r>
        <w:rPr>
          <w:rFonts w:ascii="Arial;sans-serif" w:hAnsi="Arial;sans-serif"/>
          <w:b w:val="false"/>
          <w:i/>
          <w:sz w:val="20"/>
        </w:rPr>
        <w:t>Fair Value of Common Stock</w:t>
      </w:r>
      <w:r>
        <w:rPr>
          <w:rFonts w:ascii="Arial;sans-serif" w:hAnsi="Arial;sans-serif"/>
          <w:sz w:val="24"/>
        </w:rPr>
        <w:t>—</w:t>
      </w:r>
      <w:r>
        <w:rPr>
          <w:rFonts w:ascii="Arial;sans-serif" w:hAnsi="Arial;sans-serif"/>
          <w:b w:val="false"/>
          <w:sz w:val="20"/>
        </w:rPr>
        <w:t>The fair value of each share of common stock is based on the closing price of the Company’s common stock on the date of grant, or other relevant determination date, as reported on The Nasdaq Global Select Market.</w:t>
      </w:r>
    </w:p>
    <w:p>
      <w:pPr>
        <w:pStyle w:val="TextBody"/>
        <w:bidi w:val="0"/>
        <w:spacing w:before="120" w:after="0"/>
        <w:jc w:val="both"/>
        <w:rPr/>
      </w:pPr>
      <w:r>
        <w:rPr/>
        <w:t>•</w:t>
      </w:r>
    </w:p>
    <w:p>
      <w:pPr>
        <w:pStyle w:val="TextBody"/>
        <w:bidi w:val="0"/>
        <w:spacing w:before="120" w:after="0"/>
        <w:jc w:val="both"/>
        <w:rPr>
          <w:rFonts w:ascii="Arial;sans-serif" w:hAnsi="Arial;sans-serif"/>
          <w:sz w:val="24"/>
        </w:rPr>
      </w:pPr>
      <w:r>
        <w:rPr>
          <w:rFonts w:ascii="Arial;sans-serif" w:hAnsi="Arial;sans-serif"/>
          <w:b w:val="false"/>
          <w:i/>
          <w:sz w:val="20"/>
        </w:rPr>
        <w:t>Risk-Free Interest Rate</w:t>
      </w:r>
      <w:r>
        <w:rPr>
          <w:rFonts w:ascii="Arial;sans-serif" w:hAnsi="Arial;sans-serif"/>
          <w:sz w:val="24"/>
        </w:rPr>
        <w:t>—</w:t>
      </w:r>
      <w:r>
        <w:rPr>
          <w:rFonts w:ascii="Arial;sans-serif" w:hAnsi="Arial;sans-serif"/>
          <w:b w:val="false"/>
          <w:sz w:val="20"/>
        </w:rPr>
        <w:t xml:space="preserve">The risk-free interest rate is based on the U.S. Treasury zero coupon issues in effect at the time of grant for periods corresponding with the expected term of the option. </w:t>
      </w:r>
    </w:p>
    <w:p>
      <w:pPr>
        <w:pStyle w:val="TextBody"/>
        <w:bidi w:val="0"/>
        <w:spacing w:before="120" w:after="0"/>
        <w:jc w:val="both"/>
        <w:rPr/>
      </w:pPr>
      <w:r>
        <w:rPr/>
        <w:t>•</w:t>
      </w:r>
    </w:p>
    <w:p>
      <w:pPr>
        <w:pStyle w:val="TextBody"/>
        <w:bidi w:val="0"/>
        <w:spacing w:before="120" w:after="0"/>
        <w:jc w:val="both"/>
        <w:rPr>
          <w:rFonts w:ascii="Arial;sans-serif" w:hAnsi="Arial;sans-serif"/>
          <w:sz w:val="24"/>
        </w:rPr>
      </w:pPr>
      <w:r>
        <w:rPr>
          <w:rFonts w:ascii="Arial;sans-serif" w:hAnsi="Arial;sans-serif"/>
          <w:b w:val="false"/>
          <w:i/>
          <w:sz w:val="20"/>
        </w:rPr>
        <w:t>Expected Volatility</w:t>
      </w:r>
      <w:r>
        <w:rPr>
          <w:rFonts w:ascii="Arial;sans-serif" w:hAnsi="Arial;sans-serif"/>
          <w:sz w:val="24"/>
        </w:rPr>
        <w:t>—</w:t>
      </w:r>
      <w:r>
        <w:rPr>
          <w:rFonts w:ascii="Arial;sans-serif" w:hAnsi="Arial;sans-serif"/>
          <w:b w:val="false"/>
          <w:sz w:val="20"/>
        </w:rPr>
        <w:t xml:space="preserve">Because the Company was previously privately held and did not have any 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 </w:t>
      </w:r>
    </w:p>
    <w:p>
      <w:pPr>
        <w:pStyle w:val="TextBody"/>
        <w:bidi w:val="0"/>
        <w:spacing w:before="120" w:after="0"/>
        <w:jc w:val="both"/>
        <w:rPr/>
      </w:pPr>
      <w:r>
        <w:rPr/>
        <w:t>•</w:t>
      </w:r>
    </w:p>
    <w:p>
      <w:pPr>
        <w:pStyle w:val="TextBody"/>
        <w:bidi w:val="0"/>
        <w:spacing w:before="120" w:after="0"/>
        <w:jc w:val="both"/>
        <w:rPr>
          <w:rFonts w:ascii="Arial;sans-serif" w:hAnsi="Arial;sans-serif"/>
          <w:sz w:val="24"/>
        </w:rPr>
      </w:pPr>
      <w:r>
        <w:rPr>
          <w:rFonts w:ascii="Arial;sans-serif" w:hAnsi="Arial;sans-serif"/>
          <w:b w:val="false"/>
          <w:i/>
          <w:sz w:val="20"/>
        </w:rPr>
        <w:t>Expected Term</w:t>
      </w:r>
      <w:r>
        <w:rPr>
          <w:rFonts w:ascii="Arial;sans-serif" w:hAnsi="Arial;sans-serif"/>
          <w:sz w:val="24"/>
        </w:rPr>
        <w:t>—</w:t>
      </w:r>
      <w:r>
        <w:rPr>
          <w:rFonts w:ascii="Arial;sans-serif" w:hAnsi="Arial;sans-serif"/>
          <w:b w:val="false"/>
          <w:sz w:val="20"/>
        </w:rPr>
        <w:t xml:space="preserve">The expected term represents the period that the stock-based awards are expected to be outstanding and is determined using the simplified method (based on the midpoint between the vesting date and the end of the contractual term) as the Company has limited history of relevant stock option exercise activity. </w:t>
      </w:r>
    </w:p>
    <w:p>
      <w:pPr>
        <w:pStyle w:val="TextBody"/>
        <w:bidi w:val="0"/>
        <w:spacing w:before="120" w:after="0"/>
        <w:jc w:val="both"/>
        <w:rPr/>
      </w:pPr>
      <w:r>
        <w:rPr/>
        <w:t>•</w:t>
      </w:r>
    </w:p>
    <w:p>
      <w:pPr>
        <w:pStyle w:val="TextBody"/>
        <w:bidi w:val="0"/>
        <w:spacing w:before="120" w:after="283"/>
        <w:jc w:val="both"/>
        <w:rPr>
          <w:rFonts w:ascii="Arial;sans-serif" w:hAnsi="Arial;sans-serif"/>
          <w:sz w:val="24"/>
        </w:rPr>
      </w:pPr>
      <w:r>
        <w:rPr>
          <w:rFonts w:ascii="Arial;sans-serif" w:hAnsi="Arial;sans-serif"/>
          <w:b w:val="false"/>
          <w:i/>
          <w:sz w:val="20"/>
        </w:rPr>
        <w:t>Expected Dividend Yield</w:t>
      </w:r>
      <w:r>
        <w:rPr>
          <w:rFonts w:ascii="Arial;sans-serif" w:hAnsi="Arial;sans-serif"/>
          <w:sz w:val="24"/>
        </w:rPr>
        <w:t>—</w:t>
      </w:r>
      <w:r>
        <w:rPr>
          <w:rFonts w:ascii="Arial;sans-serif" w:hAnsi="Arial;sans-serif"/>
          <w:b w:val="false"/>
          <w:sz w:val="20"/>
        </w:rPr>
        <w:t>The Company has never paid dividends on its common stock and has no plans to pay dividends going forward. Therefore, it used an expected dividend yield of zero.</w:t>
      </w:r>
    </w:p>
    <w:p>
      <w:pPr>
        <w:pStyle w:val="TextBody"/>
        <w:bidi w:val="0"/>
        <w:spacing w:before="280" w:after="0"/>
        <w:jc w:val="both"/>
        <w:rPr>
          <w:rFonts w:ascii="Times New Roman" w:hAnsi="Times New Roman"/>
          <w:sz w:val="20"/>
        </w:rPr>
      </w:pPr>
      <w:r>
        <w:rPr>
          <w:rFonts w:ascii="Arial;sans-serif" w:hAnsi="Arial;sans-serif"/>
          <w:b w:val="false"/>
          <w:sz w:val="20"/>
        </w:rPr>
        <w:t>The fair value of each stock option was estimated using the Black</w:t>
        <w:noBreakHyphen/>
        <w:t>Scholes option</w:t>
        <w:noBreakHyphen/>
        <w:t>pricing model with the following weighted-average assumptions:</w:t>
      </w:r>
      <w:r>
        <w:rPr>
          <w:rFonts w:ascii="Times New Roman" w:hAnsi="Times New Roman"/>
          <w:sz w:val="20"/>
        </w:rPr>
        <w:t xml:space="preserve"> </w:t>
      </w:r>
    </w:p>
    <w:p>
      <w:pPr>
        <w:pStyle w:val="TextBody"/>
        <w:bidi w:val="0"/>
        <w:spacing w:before="0" w:after="0"/>
        <w:jc w:val="both"/>
        <w:rPr/>
      </w:pPr>
      <w:r>
        <w:rPr/>
        <w:t> </w:t>
      </w:r>
    </w:p>
    <w:tbl>
      <w:tblPr>
        <w:tblW w:w="4991" w:type="dxa"/>
        <w:jc w:val="left"/>
        <w:tblInd w:w="0" w:type="dxa"/>
        <w:tblLayout w:type="fixed"/>
        <w:tblCellMar>
          <w:top w:w="28" w:type="dxa"/>
          <w:left w:w="28" w:type="dxa"/>
          <w:bottom w:w="28" w:type="dxa"/>
          <w:right w:w="28" w:type="dxa"/>
        </w:tblCellMar>
      </w:tblPr>
      <w:tblGrid>
        <w:gridCol w:w="2266"/>
        <w:gridCol w:w="146"/>
        <w:gridCol w:w="173"/>
        <w:gridCol w:w="695"/>
        <w:gridCol w:w="339"/>
        <w:gridCol w:w="173"/>
        <w:gridCol w:w="173"/>
        <w:gridCol w:w="695"/>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left"/>
              <w:rPr/>
            </w:pPr>
            <w:r>
              <w:rPr/>
              <w:t> </w:t>
            </w:r>
          </w:p>
        </w:tc>
        <w:tc>
          <w:tcPr>
            <w:tcW w:w="8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3.52</w:t>
            </w:r>
          </w:p>
        </w:tc>
        <w:tc>
          <w:tcPr>
            <w:tcW w:w="33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99.09</w:t>
            </w:r>
          </w:p>
        </w:tc>
        <w:tc>
          <w:tcPr>
            <w:tcW w:w="33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92.78</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5.83</w:t>
            </w:r>
          </w:p>
        </w:tc>
        <w:tc>
          <w:tcPr>
            <w:tcW w:w="339"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6.01</w:t>
            </w:r>
          </w:p>
        </w:tc>
        <w:tc>
          <w:tcPr>
            <w:tcW w:w="33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The grant date fair value of restricted stock units is based upon the fair market value of the Company’s common stock based on its closing price as reported on the date of grant on the Nasdaq Global Select Market.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Arial;sans-serif" w:hAnsi="Arial;sans-serif"/>
          <w:b w:val="false"/>
          <w:sz w:val="20"/>
        </w:rPr>
        <w:t>The fair value of options granted during the six months ended June 30, 2023 and 2022</w:t>
      </w:r>
      <w:r>
        <w:rPr>
          <w:rFonts w:ascii="Times New Roman" w:hAnsi="Times New Roman"/>
          <w:sz w:val="20"/>
        </w:rPr>
        <w:t xml:space="preserve"> </w:t>
      </w:r>
      <w:r>
        <w:rPr>
          <w:rFonts w:ascii="Arial;sans-serif" w:hAnsi="Arial;sans-serif"/>
          <w:b w:val="false"/>
          <w:sz w:val="20"/>
        </w:rPr>
        <w:t>was $9.5</w:t>
      </w:r>
      <w:r>
        <w:rPr>
          <w:rFonts w:ascii="Times New Roman" w:hAnsi="Times New Roman"/>
          <w:sz w:val="20"/>
        </w:rPr>
        <w:t xml:space="preserve"> </w:t>
      </w:r>
      <w:r>
        <w:rPr>
          <w:rFonts w:ascii="Arial;sans-serif" w:hAnsi="Arial;sans-serif"/>
          <w:b w:val="false"/>
          <w:sz w:val="20"/>
        </w:rPr>
        <w:t>million and $15.7</w:t>
      </w:r>
      <w:r>
        <w:rPr>
          <w:rFonts w:ascii="Times New Roman" w:hAnsi="Times New Roman"/>
          <w:sz w:val="20"/>
        </w:rPr>
        <w:t xml:space="preserve"> </w:t>
      </w:r>
      <w:r>
        <w:rPr>
          <w:rFonts w:ascii="Arial;sans-serif" w:hAnsi="Arial;sans-serif"/>
          <w:b w:val="false"/>
          <w:sz w:val="20"/>
        </w:rPr>
        <w:t>million, respectively. The fair value of restricted stock units granted during the six months ended June 30, 2023 and 2022</w:t>
      </w:r>
      <w:r>
        <w:rPr>
          <w:rFonts w:ascii="Times New Roman" w:hAnsi="Times New Roman"/>
          <w:sz w:val="20"/>
        </w:rPr>
        <w:t xml:space="preserve"> </w:t>
      </w:r>
      <w:r>
        <w:rPr>
          <w:rFonts w:ascii="Arial;sans-serif" w:hAnsi="Arial;sans-serif"/>
          <w:b w:val="false"/>
          <w:sz w:val="20"/>
        </w:rPr>
        <w:t>was $0.4</w:t>
      </w:r>
      <w:r>
        <w:rPr>
          <w:rFonts w:ascii="Times New Roman" w:hAnsi="Times New Roman"/>
          <w:sz w:val="20"/>
        </w:rPr>
        <w:t xml:space="preserve"> </w:t>
      </w:r>
      <w:r>
        <w:rPr>
          <w:rFonts w:ascii="Arial;sans-serif" w:hAnsi="Arial;sans-serif"/>
          <w:b w:val="false"/>
          <w:sz w:val="20"/>
        </w:rPr>
        <w:t>million and $0.1</w:t>
      </w:r>
      <w:r>
        <w:rPr>
          <w:rFonts w:ascii="Times New Roman" w:hAnsi="Times New Roman"/>
          <w:sz w:val="20"/>
        </w:rPr>
        <w:t xml:space="preserve"> </w:t>
      </w:r>
      <w:r>
        <w:rPr>
          <w:rFonts w:ascii="Arial;sans-serif" w:hAnsi="Arial;sans-serif"/>
          <w:b w:val="false"/>
          <w:sz w:val="20"/>
        </w:rPr>
        <w:t>million, respectively.</w:t>
      </w:r>
    </w:p>
    <w:p>
      <w:pPr>
        <w:pStyle w:val="TextBody"/>
        <w:bidi w:val="0"/>
        <w:spacing w:before="240" w:after="0"/>
        <w:jc w:val="both"/>
        <w:rPr>
          <w:rFonts w:ascii="Arial;sans-serif" w:hAnsi="Arial;sans-serif"/>
          <w:b/>
          <w:i/>
          <w:sz w:val="20"/>
        </w:rPr>
      </w:pPr>
      <w:r>
        <w:rPr>
          <w:rFonts w:ascii="Arial;sans-serif" w:hAnsi="Arial;sans-serif"/>
          <w:b/>
          <w:i/>
          <w:sz w:val="20"/>
        </w:rPr>
        <w:t>Stock Option and Restricted Stock Unit Activity</w:t>
      </w:r>
    </w:p>
    <w:p>
      <w:pPr>
        <w:pStyle w:val="TextBody"/>
        <w:bidi w:val="0"/>
        <w:spacing w:before="280" w:after="0"/>
        <w:jc w:val="both"/>
        <w:rPr>
          <w:rFonts w:ascii="Arial;sans-serif" w:hAnsi="Arial;sans-serif"/>
          <w:b w:val="false"/>
          <w:sz w:val="20"/>
        </w:rPr>
      </w:pPr>
      <w:r>
        <w:rPr>
          <w:rFonts w:ascii="Arial;sans-serif" w:hAnsi="Arial;sans-serif"/>
          <w:b w:val="false"/>
          <w:sz w:val="20"/>
        </w:rPr>
        <w:t>Changes in shares available for grant under the 2020 Plan during the six months ended June 30, 2023 were as follows:</w:t>
      </w:r>
    </w:p>
    <w:p>
      <w:pPr>
        <w:pStyle w:val="TextBody"/>
        <w:bidi w:val="0"/>
        <w:spacing w:before="0" w:after="0"/>
        <w:jc w:val="both"/>
        <w:rPr/>
      </w:pPr>
      <w:r>
        <w:rPr/>
        <w:t> </w:t>
      </w:r>
    </w:p>
    <w:tbl>
      <w:tblPr>
        <w:tblW w:w="5845" w:type="dxa"/>
        <w:jc w:val="left"/>
        <w:tblInd w:w="0" w:type="dxa"/>
        <w:tblLayout w:type="fixed"/>
        <w:tblCellMar>
          <w:top w:w="28" w:type="dxa"/>
          <w:left w:w="28" w:type="dxa"/>
          <w:bottom w:w="28" w:type="dxa"/>
          <w:right w:w="28" w:type="dxa"/>
        </w:tblCellMar>
      </w:tblPr>
      <w:tblGrid>
        <w:gridCol w:w="4321"/>
        <w:gridCol w:w="146"/>
        <w:gridCol w:w="146"/>
        <w:gridCol w:w="102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br/>
              <w:t xml:space="preserve">Available </w:t>
              <w:br/>
              <w:t>for Grant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Shares available for grant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4,253,854</w:t>
            </w:r>
          </w:p>
        </w:tc>
        <w:tc>
          <w:tcPr>
            <w:tcW w:w="21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2020 Plan reserve increase on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1,893,869</w:t>
            </w:r>
          </w:p>
        </w:tc>
        <w:tc>
          <w:tcPr>
            <w:tcW w:w="21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Options and restricted stock units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(3,733,183</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 xml:space="preserve">Options and restricted stock units forfeited, </w:t>
              <w:br/>
              <w:t>   cancelled, or expired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245,343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Shares available for grant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2,659,883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Arial;sans-serif" w:hAnsi="Arial;sans-serif"/>
          <w:b w:val="false"/>
          <w:sz w:val="20"/>
        </w:rPr>
      </w:pPr>
      <w:r>
        <w:rPr>
          <w:rFonts w:ascii="Arial;sans-serif" w:hAnsi="Arial;sans-serif"/>
          <w:b w:val="false"/>
          <w:sz w:val="20"/>
        </w:rPr>
        <w:t>A summary of stock option activity under the 2020 Plan for the six months ended June 30, 2023 was as follows:</w:t>
      </w:r>
    </w:p>
    <w:p>
      <w:pPr>
        <w:pStyle w:val="TextBody"/>
        <w:bidi w:val="0"/>
        <w:spacing w:before="0" w:after="0"/>
        <w:jc w:val="both"/>
        <w:rPr/>
      </w:pPr>
      <w:r>
        <w:rPr/>
        <w:t> </w:t>
      </w:r>
    </w:p>
    <w:tbl>
      <w:tblPr>
        <w:tblW w:w="8118" w:type="dxa"/>
        <w:jc w:val="left"/>
        <w:tblInd w:w="0" w:type="dxa"/>
        <w:tblLayout w:type="fixed"/>
        <w:tblCellMar>
          <w:top w:w="28" w:type="dxa"/>
          <w:left w:w="28" w:type="dxa"/>
          <w:bottom w:w="28" w:type="dxa"/>
          <w:right w:w="28" w:type="dxa"/>
        </w:tblCellMar>
      </w:tblPr>
      <w:tblGrid>
        <w:gridCol w:w="2806"/>
        <w:gridCol w:w="146"/>
        <w:gridCol w:w="146"/>
        <w:gridCol w:w="961"/>
        <w:gridCol w:w="166"/>
        <w:gridCol w:w="146"/>
        <w:gridCol w:w="242"/>
        <w:gridCol w:w="674"/>
        <w:gridCol w:w="146"/>
        <w:gridCol w:w="146"/>
        <w:gridCol w:w="241"/>
        <w:gridCol w:w="795"/>
        <w:gridCol w:w="146"/>
        <w:gridCol w:w="146"/>
        <w:gridCol w:w="339"/>
        <w:gridCol w:w="68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br/>
              <w:t>Average</w:t>
              <w:br/>
              <w:t>Exercise</w:t>
              <w:br/>
              <w:t>price</w:t>
              <w:b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br/>
              <w:t>Average</w:t>
              <w:br/>
              <w:t>Remaining</w:t>
              <w:br/>
              <w:t>Contractual</w:t>
              <w:br/>
              <w:t xml:space="preserve">Term </w:t>
              <w:b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Aggregate</w:t>
              <w:br/>
              <w:t>Intrinsic</w:t>
              <w:br/>
              <w:t>Value</w:t>
              <w:br/>
              <w:t>(in</w:t>
              <w:br/>
              <w:t>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4,033,522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827</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3,597,183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(81,095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Forfeited/expired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(223,176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7,326,434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705</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Expected to vest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5,213,485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181</w:t>
            </w:r>
          </w:p>
        </w:tc>
        <w:tc>
          <w:tcPr>
            <w:tcW w:w="191"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Options exercisable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2,112,949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8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524</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Arial;sans-serif" w:hAnsi="Arial;sans-serif"/>
          <w:b w:val="false"/>
          <w:sz w:val="20"/>
        </w:rPr>
        <w:t>The total fair value of options granted that vested during the six months ended June 30, 2023 and 2022</w:t>
      </w:r>
      <w:r>
        <w:rPr>
          <w:rFonts w:ascii="Times New Roman" w:hAnsi="Times New Roman"/>
          <w:sz w:val="20"/>
        </w:rPr>
        <w:t xml:space="preserve"> </w:t>
      </w:r>
      <w:r>
        <w:rPr>
          <w:rFonts w:ascii="Arial;sans-serif" w:hAnsi="Arial;sans-serif"/>
          <w:b w:val="false"/>
          <w:sz w:val="20"/>
        </w:rPr>
        <w:t>was $6.1</w:t>
      </w:r>
      <w:r>
        <w:rPr>
          <w:rFonts w:ascii="Times New Roman" w:hAnsi="Times New Roman"/>
          <w:sz w:val="20"/>
        </w:rPr>
        <w:t xml:space="preserve"> </w:t>
      </w:r>
      <w:r>
        <w:rPr>
          <w:rFonts w:ascii="Arial;sans-serif" w:hAnsi="Arial;sans-serif"/>
          <w:b w:val="false"/>
          <w:sz w:val="20"/>
        </w:rPr>
        <w:t>million and $4.3</w:t>
      </w:r>
      <w:r>
        <w:rPr>
          <w:rFonts w:ascii="Times New Roman" w:hAnsi="Times New Roman"/>
          <w:sz w:val="20"/>
        </w:rPr>
        <w:t xml:space="preserve"> </w:t>
      </w:r>
      <w:r>
        <w:rPr>
          <w:rFonts w:ascii="Arial;sans-serif" w:hAnsi="Arial;sans-serif"/>
          <w:b w:val="false"/>
          <w:sz w:val="20"/>
        </w:rPr>
        <w:t>million, respectively.</w:t>
      </w:r>
    </w:p>
    <w:p>
      <w:pPr>
        <w:pStyle w:val="TextBody"/>
        <w:bidi w:val="0"/>
        <w:spacing w:before="280" w:after="0"/>
        <w:jc w:val="both"/>
        <w:rPr>
          <w:rFonts w:ascii="Times New Roman" w:hAnsi="Times New Roman"/>
          <w:sz w:val="20"/>
        </w:rPr>
      </w:pPr>
      <w:r>
        <w:rPr>
          <w:rFonts w:ascii="Arial;sans-serif" w:hAnsi="Arial;sans-serif"/>
          <w:b w:val="false"/>
          <w:sz w:val="20"/>
        </w:rPr>
        <w:t>The aggregate intrinsic value in the table above is calculated as the difference between the exercise price of the underlying options and the estimated fair value of the Company’s common stock underlying all options that were in-the-money at June 30, 2023. The aggregate intrinsic value of options exercised was $0.2</w:t>
      </w:r>
      <w:r>
        <w:rPr>
          <w:rFonts w:ascii="Times New Roman" w:hAnsi="Times New Roman"/>
          <w:sz w:val="20"/>
        </w:rPr>
        <w:t xml:space="preserve"> </w:t>
      </w:r>
      <w:r>
        <w:rPr>
          <w:rFonts w:ascii="Arial;sans-serif" w:hAnsi="Arial;sans-serif"/>
          <w:b w:val="false"/>
          <w:sz w:val="20"/>
        </w:rPr>
        <w:t>million and $3.0</w:t>
      </w:r>
      <w:r>
        <w:rPr>
          <w:rFonts w:ascii="Times New Roman" w:hAnsi="Times New Roman"/>
          <w:sz w:val="20"/>
        </w:rPr>
        <w:t xml:space="preserve"> </w:t>
      </w:r>
      <w:r>
        <w:rPr>
          <w:rFonts w:ascii="Arial;sans-serif" w:hAnsi="Arial;sans-serif"/>
          <w:b w:val="false"/>
          <w:sz w:val="20"/>
        </w:rPr>
        <w:t>million during the six months ended June 30, 2023 and 2022, respectively, determined as of the date of option exercise. As of June 30, 2023, there was $22.3</w:t>
      </w:r>
      <w:r>
        <w:rPr>
          <w:rFonts w:ascii="Times New Roman" w:hAnsi="Times New Roman"/>
          <w:sz w:val="20"/>
        </w:rPr>
        <w:t xml:space="preserve"> </w:t>
      </w:r>
      <w:r>
        <w:rPr>
          <w:rFonts w:ascii="Arial;sans-serif" w:hAnsi="Arial;sans-serif"/>
          <w:b w:val="false"/>
          <w:sz w:val="20"/>
        </w:rPr>
        <w:t>million of total unrecognized compensation cost related to unvested stock options. The Company expects to recognize this cost over a remaining weighted-average period of 2.4 years. The Company utilizes newly issued shares to satisfy option exercises.</w:t>
      </w:r>
    </w:p>
    <w:p>
      <w:pPr>
        <w:pStyle w:val="TextBody"/>
        <w:bidi w:val="0"/>
        <w:spacing w:before="240" w:after="0"/>
        <w:jc w:val="center"/>
        <w:rPr>
          <w:rFonts w:ascii="Arial;sans-serif" w:hAnsi="Arial;sans-serif"/>
          <w:b w:val="false"/>
          <w:sz w:val="20"/>
        </w:rPr>
      </w:pPr>
      <w:r>
        <w:rPr>
          <w:rFonts w:ascii="Arial;sans-serif" w:hAnsi="Arial;sans-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Stock options outstanding and exercisable under the 2020 Plan consisted of the following at June 30, 2023:</w:t>
      </w:r>
    </w:p>
    <w:p>
      <w:pPr>
        <w:pStyle w:val="TextBody"/>
        <w:bidi w:val="0"/>
        <w:spacing w:before="0" w:after="0"/>
        <w:jc w:val="both"/>
        <w:rPr/>
      </w:pPr>
      <w:r>
        <w:rPr/>
        <w:t> </w:t>
      </w:r>
    </w:p>
    <w:tbl>
      <w:tblPr>
        <w:tblW w:w="4598" w:type="dxa"/>
        <w:jc w:val="left"/>
        <w:tblInd w:w="0" w:type="dxa"/>
        <w:tblLayout w:type="fixed"/>
        <w:tblCellMar>
          <w:top w:w="28" w:type="dxa"/>
          <w:left w:w="28" w:type="dxa"/>
          <w:bottom w:w="28" w:type="dxa"/>
          <w:right w:w="28" w:type="dxa"/>
        </w:tblCellMar>
      </w:tblPr>
      <w:tblGrid>
        <w:gridCol w:w="1471"/>
        <w:gridCol w:w="146"/>
        <w:gridCol w:w="146"/>
        <w:gridCol w:w="965"/>
        <w:gridCol w:w="146"/>
        <w:gridCol w:w="146"/>
        <w:gridCol w:w="146"/>
        <w:gridCol w:w="961"/>
        <w:gridCol w:w="47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4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10" w:type="dxa"/>
            <w:gridSpan w:val="6"/>
            <w:tcBorders/>
            <w:vAlign w:val="center"/>
          </w:tcPr>
          <w:p>
            <w:pPr>
              <w:pStyle w:val="TableContents"/>
              <w:bidi w:val="0"/>
              <w:spacing w:before="0" w:after="0"/>
              <w:ind w:left="0" w:right="0" w:hanging="0"/>
              <w:jc w:val="center"/>
              <w:rPr/>
            </w:pPr>
            <w:r>
              <w:rPr/>
              <w:t> </w:t>
            </w:r>
          </w:p>
        </w:tc>
        <w:tc>
          <w:tcPr>
            <w:tcW w:w="471" w:type="dxa"/>
            <w:tcBorders/>
            <w:vAlign w:val="center"/>
          </w:tcPr>
          <w:p>
            <w:pPr>
              <w:pStyle w:val="TableContents"/>
              <w:bidi w:val="0"/>
              <w:spacing w:before="0" w:after="0"/>
              <w:ind w:left="0" w:right="0" w:hanging="0"/>
              <w:jc w:val="center"/>
              <w:rPr/>
            </w:pPr>
            <w:r>
              <w:rPr/>
              <w:t> </w:t>
            </w:r>
          </w:p>
        </w:tc>
      </w:tr>
      <w:tr>
        <w:trPr/>
        <w:tc>
          <w:tcPr>
            <w:tcW w:w="1471" w:type="dxa"/>
            <w:tcBorders/>
            <w:vAlign w:val="center"/>
          </w:tcPr>
          <w:p>
            <w:pPr>
              <w:pStyle w:val="TableContents"/>
              <w:bidi w:val="0"/>
              <w:spacing w:before="0" w:after="0"/>
              <w:ind w:left="0" w:right="0" w:hanging="0"/>
              <w:jc w:val="left"/>
              <w:rPr>
                <w:rFonts w:ascii="Arial;sans-serif" w:hAnsi="Arial;sans-serif"/>
                <w:b/>
                <w:sz w:val="16"/>
                <w:u w:val="single"/>
              </w:rPr>
            </w:pPr>
            <w:r>
              <w:rPr>
                <w:rFonts w:ascii="Arial;sans-serif" w:hAnsi="Arial;sans-serif"/>
                <w:b/>
                <w:sz w:val="16"/>
                <w:u w:val="single"/>
              </w:rPr>
              <w:t>Exercise Price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b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br/>
              <w:t>Exercisable</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7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0.16</w:t>
            </w:r>
            <w:r>
              <w:rPr>
                <w:rFonts w:ascii="Times New Roman" w:hAnsi="Times New Roman"/>
                <w:sz w:val="20"/>
              </w:rPr>
              <w:t> </w:t>
            </w:r>
            <w:r>
              <w:rPr>
                <w:rFonts w:ascii="Arial;sans-serif" w:hAnsi="Arial;sans-serif"/>
                <w:b w:val="false"/>
                <w:sz w:val="20"/>
              </w:rPr>
              <w:t>to 4.22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4,001,495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587,653</w:t>
            </w:r>
          </w:p>
        </w:tc>
        <w:tc>
          <w:tcPr>
            <w:tcW w:w="471" w:type="dxa"/>
            <w:tcBorders/>
            <w:vAlign w:val="center"/>
          </w:tcPr>
          <w:p>
            <w:pPr>
              <w:pStyle w:val="TableContents"/>
              <w:bidi w:val="0"/>
              <w:spacing w:before="0" w:after="0"/>
              <w:ind w:left="0" w:right="0" w:hanging="0"/>
              <w:jc w:val="left"/>
              <w:rPr/>
            </w:pPr>
            <w:r>
              <w:rPr/>
              <w:t> </w:t>
            </w:r>
          </w:p>
        </w:tc>
      </w:tr>
      <w:tr>
        <w:trPr/>
        <w:tc>
          <w:tcPr>
            <w:tcW w:w="147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8.93</w:t>
            </w:r>
            <w:r>
              <w:rPr>
                <w:rFonts w:ascii="Times New Roman" w:hAnsi="Times New Roman"/>
                <w:sz w:val="20"/>
              </w:rPr>
              <w:t> </w:t>
            </w:r>
            <w:r>
              <w:rPr>
                <w:rFonts w:ascii="Arial;sans-serif" w:hAnsi="Arial;sans-serif"/>
                <w:b w:val="false"/>
                <w:sz w:val="20"/>
              </w:rPr>
              <w:t>to 19.94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2,955,654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1,328,944</w:t>
            </w:r>
          </w:p>
        </w:tc>
        <w:tc>
          <w:tcPr>
            <w:tcW w:w="471" w:type="dxa"/>
            <w:tcBorders/>
            <w:vAlign w:val="center"/>
          </w:tcPr>
          <w:p>
            <w:pPr>
              <w:pStyle w:val="TableContents"/>
              <w:bidi w:val="0"/>
              <w:spacing w:before="0" w:after="0"/>
              <w:ind w:left="0" w:right="0" w:hanging="0"/>
              <w:jc w:val="left"/>
              <w:rPr/>
            </w:pPr>
            <w:r>
              <w:rPr/>
              <w:t> </w:t>
            </w:r>
          </w:p>
        </w:tc>
      </w:tr>
      <w:tr>
        <w:trPr/>
        <w:tc>
          <w:tcPr>
            <w:tcW w:w="1471"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20.55</w:t>
            </w:r>
            <w:r>
              <w:rPr>
                <w:rFonts w:ascii="Times New Roman" w:hAnsi="Times New Roman"/>
                <w:sz w:val="20"/>
              </w:rPr>
              <w:t> </w:t>
            </w:r>
            <w:r>
              <w:rPr>
                <w:rFonts w:ascii="Arial;sans-serif" w:hAnsi="Arial;sans-serif"/>
                <w:b w:val="false"/>
                <w:sz w:val="20"/>
              </w:rPr>
              <w:t>to 29.41</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369,285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196,352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14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7,326,434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2,112,949</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80" w:after="0"/>
        <w:jc w:val="both"/>
        <w:rPr>
          <w:rFonts w:ascii="Arial;sans-serif" w:hAnsi="Arial;sans-serif"/>
          <w:b w:val="false"/>
          <w:sz w:val="20"/>
        </w:rPr>
      </w:pPr>
      <w:r>
        <w:rPr>
          <w:rFonts w:ascii="Arial;sans-serif" w:hAnsi="Arial;sans-serif"/>
          <w:b w:val="false"/>
          <w:sz w:val="20"/>
        </w:rPr>
        <w:t>A summary of restricted stock unit ("RSU"), activity for the six months ended June 30, 2023 is as follows:</w:t>
      </w:r>
    </w:p>
    <w:p>
      <w:pPr>
        <w:pStyle w:val="TextBody"/>
        <w:bidi w:val="0"/>
        <w:spacing w:before="0" w:after="0"/>
        <w:jc w:val="both"/>
        <w:rPr/>
      </w:pPr>
      <w:r>
        <w:rPr/>
        <w:t> </w:t>
      </w:r>
    </w:p>
    <w:tbl>
      <w:tblPr>
        <w:tblW w:w="5646" w:type="dxa"/>
        <w:jc w:val="left"/>
        <w:tblInd w:w="0" w:type="dxa"/>
        <w:tblLayout w:type="fixed"/>
        <w:tblCellMar>
          <w:top w:w="28" w:type="dxa"/>
          <w:left w:w="28" w:type="dxa"/>
          <w:bottom w:w="28" w:type="dxa"/>
          <w:right w:w="28" w:type="dxa"/>
        </w:tblCellMar>
      </w:tblPr>
      <w:tblGrid>
        <w:gridCol w:w="3091"/>
        <w:gridCol w:w="146"/>
        <w:gridCol w:w="146"/>
        <w:gridCol w:w="800"/>
        <w:gridCol w:w="166"/>
        <w:gridCol w:w="146"/>
        <w:gridCol w:w="253"/>
        <w:gridCol w:w="707"/>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w:t>
              <w:br/>
              <w:t>Equivalent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br/>
              <w:t>Average</w:t>
              <w:br/>
              <w:t>Grant Date</w:t>
              <w:b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Non-vested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15.16</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136,000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3.30</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(22,167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7.46</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Non-vested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350,172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11.04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80" w:after="0"/>
        <w:jc w:val="both"/>
        <w:rPr/>
      </w:pPr>
      <w:r>
        <w:rPr/>
        <w:t> </w:t>
      </w:r>
    </w:p>
    <w:p>
      <w:pPr>
        <w:pStyle w:val="TextBody"/>
        <w:bidi w:val="0"/>
        <w:spacing w:before="280" w:after="0"/>
        <w:jc w:val="both"/>
        <w:rPr>
          <w:rFonts w:ascii="Arial;sans-serif" w:hAnsi="Arial;sans-serif"/>
          <w:b/>
          <w:sz w:val="20"/>
        </w:rPr>
      </w:pPr>
      <w:r>
        <w:rPr>
          <w:rFonts w:ascii="Arial;sans-serif" w:hAnsi="Arial;sans-serif"/>
          <w:b/>
          <w:sz w:val="20"/>
        </w:rPr>
        <w:t>10. Net Loss Per Share Attributable to Common Stockholders</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outstanding shares of potentially dilutive securities were excluded from the computation of the diluted net loss per share attributable to common stockholders for the periods presented because their effect would have been anti-dilutive:</w:t>
      </w:r>
    </w:p>
    <w:p>
      <w:pPr>
        <w:pStyle w:val="TextBody"/>
        <w:bidi w:val="0"/>
        <w:spacing w:before="0" w:after="0"/>
        <w:jc w:val="both"/>
        <w:rPr/>
      </w:pPr>
      <w:r>
        <w:rPr/>
        <w:t> </w:t>
      </w:r>
    </w:p>
    <w:tbl>
      <w:tblPr>
        <w:tblW w:w="6874" w:type="dxa"/>
        <w:jc w:val="left"/>
        <w:tblInd w:w="0" w:type="dxa"/>
        <w:tblLayout w:type="fixed"/>
        <w:tblCellMar>
          <w:top w:w="28" w:type="dxa"/>
          <w:left w:w="28" w:type="dxa"/>
          <w:bottom w:w="28" w:type="dxa"/>
          <w:right w:w="28" w:type="dxa"/>
        </w:tblCellMar>
      </w:tblPr>
      <w:tblGrid>
        <w:gridCol w:w="3751"/>
        <w:gridCol w:w="146"/>
        <w:gridCol w:w="146"/>
        <w:gridCol w:w="961"/>
        <w:gridCol w:w="146"/>
        <w:gridCol w:w="146"/>
        <w:gridCol w:w="146"/>
        <w:gridCol w:w="961"/>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Stock options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7,326,434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3,839,003</w:t>
            </w:r>
          </w:p>
        </w:tc>
        <w:tc>
          <w:tcPr>
            <w:tcW w:w="47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Non-vested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350,172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239,839</w:t>
            </w:r>
          </w:p>
        </w:tc>
        <w:tc>
          <w:tcPr>
            <w:tcW w:w="471" w:type="dxa"/>
            <w:tcBorders/>
            <w:vAlign w:val="center"/>
          </w:tcPr>
          <w:p>
            <w:pPr>
              <w:pStyle w:val="TableContents"/>
              <w:bidi w:val="0"/>
              <w:spacing w:before="0" w:after="0"/>
              <w:ind w:left="0" w:right="0" w:hanging="0"/>
              <w:jc w:val="left"/>
              <w:rPr/>
            </w:pPr>
            <w:r>
              <w:rPr/>
              <w:t> </w:t>
            </w:r>
          </w:p>
        </w:tc>
      </w:tr>
      <w:tr>
        <w:trPr/>
        <w:tc>
          <w:tcPr>
            <w:tcW w:w="3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4,836</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375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7,680,079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4,083,678</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9" w:name="item_2_managements_discussion_analysis_f"/>
      <w:bookmarkEnd w:id="9"/>
      <w:r>
        <w:rPr>
          <w:rFonts w:ascii="Arial;sans-serif" w:hAnsi="Arial;sans-serif"/>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280" w:after="0"/>
        <w:jc w:val="both"/>
        <w:rPr>
          <w:rFonts w:ascii="Arial;sans-serif" w:hAnsi="Arial;sans-serif"/>
          <w:b w:val="false"/>
          <w:i/>
          <w:sz w:val="20"/>
        </w:rPr>
      </w:pPr>
      <w:r>
        <w:rPr>
          <w:rFonts w:ascii="Arial;sans-serif" w:hAnsi="Arial;sans-serif"/>
          <w:b w:val="false"/>
          <w:i/>
          <w:sz w:val="20"/>
        </w:rPr>
        <w:t>You should read the following Management’s Discussion and Analysis of Financial Condition and Results of Operations in conjunction with our unaudited condensed consolidated financial statements and notes thereto included in Part I, Item 1 of this report and with our audited financial statements and related notes thereto and Management’s Discussion and Analysis of Financial Condition and Results of Operations included in our Annual Report on Form 10-K, filed with the Securities and Exchange Commission, or the SEC, on March 23, 2023.</w:t>
      </w:r>
    </w:p>
    <w:p>
      <w:pPr>
        <w:pStyle w:val="TextBody"/>
        <w:bidi w:val="0"/>
        <w:spacing w:before="280" w:after="0"/>
        <w:jc w:val="both"/>
        <w:rPr>
          <w:rFonts w:ascii="Arial;sans-serif" w:hAnsi="Arial;sans-serif"/>
          <w:b/>
          <w:sz w:val="20"/>
        </w:rPr>
      </w:pPr>
      <w:r>
        <w:rPr>
          <w:rFonts w:ascii="Arial;sans-serif" w:hAnsi="Arial;sans-serif"/>
          <w:b/>
          <w:sz w:val="20"/>
        </w:rPr>
        <w:t>Special Note Regarding Forward-Looking Statements</w:t>
      </w:r>
    </w:p>
    <w:p>
      <w:pPr>
        <w:pStyle w:val="TextBody"/>
        <w:bidi w:val="0"/>
        <w:spacing w:before="280" w:after="0"/>
        <w:jc w:val="both"/>
        <w:rPr>
          <w:rFonts w:ascii="Arial;sans-serif" w:hAnsi="Arial;sans-serif"/>
          <w:b w:val="false"/>
          <w:sz w:val="20"/>
        </w:rPr>
      </w:pPr>
      <w:r>
        <w:rPr>
          <w:rFonts w:ascii="Arial;sans-serif" w:hAnsi="Arial;sans-serif"/>
          <w:b w:val="false"/>
          <w:sz w:val="20"/>
        </w:rPr>
        <w:t>This report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pStyle w:val="TextBody"/>
        <w:bidi w:val="0"/>
        <w:spacing w:before="280" w:after="0"/>
        <w:jc w:val="both"/>
        <w:rPr>
          <w:rFonts w:ascii="Arial;sans-serif" w:hAnsi="Arial;sans-serif"/>
          <w:b w:val="false"/>
          <w:sz w:val="20"/>
        </w:rPr>
      </w:pPr>
      <w:r>
        <w:rPr>
          <w:rFonts w:ascii="Arial;sans-serif" w:hAnsi="Arial;sans-serif"/>
          <w:b w:val="false"/>
          <w:sz w:val="20"/>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financial performance;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sufficiency of our existing cash, cash equivalents and investments to fund our future operating expenses and capital expenditure requirements;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obtain funding for our operations, including funding necessary to develop and commercialize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ability of our nonclinical studies and clinical trials to demonstrate safety and efficacy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success, cost and timing of our development activities, nonclinical studies and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rate and degree of market acceptance of our product candidates;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timing or likelihood of regulatory filings and approvals;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potential learnings from our ACT-AD trial and LIFT-AD independent unblinded interim efficacy and futility analysis and their ability to inform and improve future clinical development plans;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potential of LIFT-AD to show clinical benefits of fosgonimeton following the September 2022 and May 2023 protocol amendments;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timing and focus of our future clinical trials, and the reporting of data from those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plans relating to commercializing our product candidates, if approved;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plans and ability to establish sales, marketing and distribution infrastructure to commercialize any product candidates for which we obtain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attract and retain key managerial, scientific and clinical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contract with third-party suppliers and manufacturers and their ability to perform adequately;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accuracy of our estimates regarding expenses, future revenue, capital requirements and needs for additional financing;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the pricing and reimbursement of our product candidates, if approved; </w:t>
      </w:r>
    </w:p>
    <w:p>
      <w:pPr>
        <w:pStyle w:val="TextBody"/>
        <w:bidi w:val="0"/>
        <w:spacing w:before="240" w:after="0"/>
        <w:jc w:val="center"/>
        <w:rPr>
          <w:rFonts w:ascii="Arial;sans-serif" w:hAnsi="Arial;sans-serif"/>
          <w:b w:val="false"/>
          <w:sz w:val="20"/>
        </w:rPr>
      </w:pPr>
      <w:r>
        <w:rPr>
          <w:rFonts w:ascii="Arial;sans-serif" w:hAnsi="Arial;sans-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reliance on third parties to conduct clinical trials of our product candidates, and for the manufacture of our product candidates for nonclinical studies and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success of competing therapies that are or may become available;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beneficial characteristics, safety and efficacy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regulatory developments in the United States and other jurisdictions;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obtain and maintain regulatory approval of our product candidates in the United States and other jurisdictions, and any related restrictions, limitations or warnings in the label of any approved product candidate;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future agreements with third parties in connection with the commercialization of our product candidates;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plans, capacity and capability relating to the further development and manufacturing of our product candidates, including additional indications for which we may pursue regulatory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plans and ability to obtain or protect intellectual property rights, including extensions of existing patent terms where available;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scope of protection we are able to establish and maintain for intellectual property rights covering our product candidates and technology;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outcome of legal proceedings which have been or may in the future be instituted against us and certain of our directors and officers, including the legal proceedings discussed in Part II, Item 1 — "Legal Proceedings,” and elsewhere in this report;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actions by activist stockholders, which have in the past been, and may in the future be, disruptive and could cause uncertainty about the strategic direction of our business;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size and growth potential of the markets for our product candidates, if approved for commercial use, and our ability to serve those markets;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potential benefits of any strategic collaboration agreements we may enter into;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our expectations regarding the time during which we will be an emerging growth company under the JOBS Act.</w:t>
      </w:r>
    </w:p>
    <w:p>
      <w:pPr>
        <w:pStyle w:val="TextBody"/>
        <w:bidi w:val="0"/>
        <w:spacing w:before="280" w:after="0"/>
        <w:jc w:val="both"/>
        <w:rPr>
          <w:rFonts w:ascii="Arial;sans-serif" w:hAnsi="Arial;sans-serif"/>
          <w:b w:val="false"/>
          <w:sz w:val="20"/>
        </w:rPr>
      </w:pPr>
      <w:r>
        <w:rPr>
          <w:rFonts w:ascii="Arial;sans-serif" w:hAnsi="Arial;sans-serif"/>
          <w:b w:val="false"/>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80" w:after="0"/>
        <w:jc w:val="both"/>
        <w:rPr>
          <w:rFonts w:ascii="Arial;sans-serif" w:hAnsi="Arial;sans-serif"/>
          <w:b w:val="false"/>
          <w:sz w:val="20"/>
        </w:rPr>
      </w:pPr>
      <w:r>
        <w:rPr>
          <w:rFonts w:ascii="Arial;sans-serif" w:hAnsi="Arial;sans-serif"/>
          <w:b w:val="false"/>
          <w:sz w:val="20"/>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280" w:after="0"/>
        <w:jc w:val="both"/>
        <w:rPr>
          <w:rFonts w:ascii="Arial;sans-serif" w:hAnsi="Arial;sans-serif"/>
          <w:b w:val="false"/>
          <w:sz w:val="20"/>
        </w:rPr>
      </w:pPr>
      <w:r>
        <w:rPr>
          <w:rFonts w:ascii="Arial;sans-serif" w:hAnsi="Arial;sans-serif"/>
          <w:b w:val="false"/>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bidi w:val="0"/>
        <w:spacing w:before="280" w:after="0"/>
        <w:jc w:val="both"/>
        <w:rPr>
          <w:rFonts w:ascii="Arial;sans-serif" w:hAnsi="Arial;sans-serif"/>
          <w:b w:val="false"/>
          <w:sz w:val="20"/>
        </w:rPr>
      </w:pPr>
      <w:r>
        <w:rPr>
          <w:rFonts w:ascii="Arial;sans-serif" w:hAnsi="Arial;sans-serif"/>
          <w:b w:val="false"/>
          <w:sz w:val="20"/>
        </w:rPr>
        <w:t>In this report, “we,” “our,” “us,” “Athira,” and “the Company” refer to Athira Pharma, Inc. and our wholly-owned subsidiary.</w:t>
      </w:r>
    </w:p>
    <w:p>
      <w:pPr>
        <w:pStyle w:val="TextBody"/>
        <w:bidi w:val="0"/>
        <w:spacing w:before="280" w:after="0"/>
        <w:jc w:val="both"/>
        <w:rPr>
          <w:rFonts w:ascii="Arial;sans-serif" w:hAnsi="Arial;sans-serif"/>
          <w:b/>
          <w:sz w:val="20"/>
        </w:rPr>
      </w:pPr>
      <w:r>
        <w:rPr>
          <w:rFonts w:ascii="Arial;sans-serif" w:hAnsi="Arial;sans-serif"/>
          <w:b/>
          <w:sz w:val="20"/>
        </w:rPr>
        <w:t>Overview</w:t>
      </w:r>
    </w:p>
    <w:p>
      <w:pPr>
        <w:pStyle w:val="TextBody"/>
        <w:bidi w:val="0"/>
        <w:spacing w:before="280" w:after="0"/>
        <w:jc w:val="both"/>
        <w:rPr>
          <w:rFonts w:ascii="Times New Roman" w:hAnsi="Times New Roman"/>
          <w:sz w:val="20"/>
        </w:rPr>
      </w:pPr>
      <w:r>
        <w:rPr>
          <w:rFonts w:ascii="Arial;sans-serif" w:hAnsi="Arial;sans-serif"/>
          <w:b w:val="false"/>
          <w:sz w:val="20"/>
        </w:rPr>
        <w:t>We are a late clinical-stage biopharmaceutical company focused on developing small molecules engineered to restore neuronal health and slow neurodegeneration. Our approach is designed to target the hepatocyte growth factor, or HGF,</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Arial;sans-serif" w:hAnsi="Arial;sans-serif"/>
          <w:b w:val="false"/>
          <w:sz w:val="20"/>
        </w:rPr>
        <w:t>and its receptor, MET neurotrophic system, or HGF/MET system, that is critical to normal brain function and may play a key role in maintaining the health and functioning of neuronal networks. We believe that by acting on the HGF/MET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HGF/MET system in either the central nervous system, or CNS, by crossing the blood brain barrier, or BBB, or the peripheral nervous system, or PNS.</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Our lead candidate, fosgonimeton, is a subcutaneously administered, small molecule positive modulator of the HGF/MET system for CNS disorders. The effects of fosgonimeton in its primary target indication, AD, are currently being evaluated in multiple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ACT-AD*, was a randomized, double-blind, placebo-controlled, parallel-group 26-week exploratory Phase 2 clinical trial in mild-to-moderate AD, with event-related potential, or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acetylcholinesterase inhibitors, or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 related serious adverse events or deaths observed.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LIFT-AD, a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Global Statistical Test, or GST, which is a composite score that combines the scores from cognition (Alzheimer's Disease Assessment Scale-Cognitive Subscale, or ADAS-Cog11), and function (Alzheimer’s Disease Cooperative Study-Activities of Daily Living, or ADCS-ADL23). Guided by the results from the completed exploratory ACT-AD Phase 2 trial, in September 2022, we proactively amended LIFT-AD to focus on participants not on background AChEIs. In October 2022, we announced that following an unblinded interim efficacy and futility analysis, an independent data monitoring committee recommended continuation of the LIFT-AD trial. The committee also determined that, with the additional enrollment of fewer than 150 participants for a total enrollment of less than 300 participants without background AChEIs, the amended trial will be well powered for the primary endpoint given the preliminary effect size observed. In May 2023, we further amended LIFT-AD to focus on 40 mg dosing, which we have selected for further development and potential dose for regulatory approval of fosgonimeton in this indication. This selection was based on a review of the totality of the preclinical and clinical data, biomarker results, observations from the open label extension study and in consultation with independent regulatory and biostatistical consultants based on patients treated with 40 mg fosgonimeton without concomitant AChEIs. The LIFT-AD study will now focus enrollment and the primary analysis on 40 mg dosing and will discontinue enrollment of the 70 mg arm going forward. We expect to report topline LIFT-AD results in the second half of 2024. In July 2023, we completed an end of Phase 2 meeting with the U.S. Food and Drug Administration, or FDA, to gain alignment on our plans for the continued clinical development of fosgonimeton as a treatment for mild-to-moderate AD. During this meeting we provided an update and discussed with the FDA the ongoing LIFT-AD trial, including use of the 40 mg dose, concomitant AChEIs use, biomarker analyses including NfL, and the statistical analysis plan. The FDA noted the importance of showing effects on both cognition (ADAS-Cog11) and function (ADCS-ADL23) in the trial population. The FDA is open to ongoing dialogue with us regarding the LIFT-AD trial once completed as well as other aspects of our program to develop fosgonimeton as a potential treatment for mild-to-moderate AD.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In July 2021, we announced that we are enrolling participants into a 26-week open-label extension trial* for our LIFT-AD and ACT-AD clinical trials, allowing us to collect up to a total of one year of safety data with fosgonimeton. In May 2022, we announced that we extended the 26-week open-label extension trial for our LIFT-AD and ACT-AD clinical trials for an additional 12 months, enabling eligible participants who have completed either trial and elect to participate in the ongoing open label extension to receive up to 18 months of open-label treatment with fosgonimeton. In May 2023, we amended the open-label extension trial to further extend the trial by an additional 12 months. Following this additional extension, eligible participants who have completed the </w:t>
      </w:r>
    </w:p>
    <w:p>
      <w:pPr>
        <w:pStyle w:val="TextBody"/>
        <w:bidi w:val="0"/>
        <w:spacing w:before="240" w:after="0"/>
        <w:jc w:val="center"/>
        <w:rPr>
          <w:rFonts w:ascii="Arial;sans-serif" w:hAnsi="Arial;sans-serif"/>
          <w:b w:val="false"/>
          <w:sz w:val="20"/>
        </w:rPr>
      </w:pPr>
      <w:r>
        <w:rPr>
          <w:rFonts w:ascii="Arial;sans-serif" w:hAnsi="Arial;sans-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283"/>
        <w:jc w:val="both"/>
        <w:rPr>
          <w:rFonts w:ascii="Arial;sans-serif" w:hAnsi="Arial;sans-serif"/>
          <w:b w:val="false"/>
          <w:sz w:val="20"/>
        </w:rPr>
      </w:pPr>
      <w:r>
        <w:rPr>
          <w:rFonts w:ascii="Arial;sans-serif" w:hAnsi="Arial;sans-serif"/>
          <w:b w:val="false"/>
          <w:sz w:val="20"/>
        </w:rPr>
        <w:t>LIFT-AD or ACT-AD trials and elect to participate in the ongoing open-label extension may now receive up to 30 months of open-label treatment, which allows us to collect up to 36 months total of long-term exposure data.</w:t>
      </w:r>
    </w:p>
    <w:p>
      <w:pPr>
        <w:pStyle w:val="TextBody"/>
        <w:bidi w:val="0"/>
        <w:spacing w:before="240" w:after="0"/>
        <w:jc w:val="both"/>
        <w:rPr>
          <w:rFonts w:ascii="Arial;sans-serif" w:hAnsi="Arial;sans-serif"/>
          <w:b w:val="false"/>
          <w:i/>
          <w:sz w:val="20"/>
        </w:rPr>
      </w:pPr>
      <w:r>
        <w:rPr>
          <w:rFonts w:ascii="Arial;sans-serif" w:hAnsi="Arial;sans-serif"/>
          <w:b w:val="false"/>
          <w:i/>
          <w:sz w:val="20"/>
        </w:rPr>
        <w:t>*The ACT-AD trial and the related open-label extension for ACT-AD participants was and are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figure illustrates the current development stage of our ATH compounds and early discovery and development programs. Our pipeline consists of both BBB permeable and peripherally restricted drug candidates for CNS, PNS and other indications. In addition, we are exploring the use of our ATH compounds in additional indications in the CNS and PNS as we aim to improve neuronal health in multiple neurodegenerative diseases. Our drug discovery efforts are focused on designing and testing new early compounds to enhance the HGF/MET system for a variety of clinical applications.</w:t>
      </w:r>
    </w:p>
    <w:p>
      <w:pPr>
        <w:pStyle w:val="TextBody"/>
        <w:bidi w:val="0"/>
        <w:spacing w:before="0" w:after="0"/>
        <w:jc w:val="both"/>
        <w:rPr/>
      </w:pPr>
      <w:r>
        <w:rPr/>
        <w:t> </w:t>
      </w:r>
    </w:p>
    <w:p>
      <w:pPr>
        <w:pStyle w:val="TextBody"/>
        <w:bidi w:val="0"/>
        <w:spacing w:before="0" w:after="0"/>
        <w:jc w:val="center"/>
        <w:rPr/>
      </w:pPr>
      <w:r>
        <w:rPr/>
        <w:drawing>
          <wp:inline distT="0" distB="0" distL="0" distR="0">
            <wp:extent cx="6858000" cy="2924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924175"/>
                    </a:xfrm>
                    <a:prstGeom prst="rect">
                      <a:avLst/>
                    </a:prstGeom>
                  </pic:spPr>
                </pic:pic>
              </a:graphicData>
            </a:graphic>
          </wp:inline>
        </w:drawing>
      </w: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We constantly strive to grow and optimize our portfolio through in-house discovery and plan on additional external business development activities enabled by our innovative internal research and development capabilities.</w:t>
      </w:r>
    </w:p>
    <w:p>
      <w:pPr>
        <w:pStyle w:val="TextBody"/>
        <w:bidi w:val="0"/>
        <w:spacing w:before="280" w:after="0"/>
        <w:jc w:val="both"/>
        <w:rPr>
          <w:rFonts w:ascii="Times New Roman" w:hAnsi="Times New Roman"/>
          <w:sz w:val="20"/>
        </w:rPr>
      </w:pPr>
      <w:r>
        <w:rPr>
          <w:rFonts w:ascii="Arial;sans-serif" w:hAnsi="Arial;sans-serif"/>
          <w:b w:val="false"/>
          <w:sz w:val="20"/>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fosgonimeton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pStyle w:val="TextBody"/>
        <w:bidi w:val="0"/>
        <w:spacing w:before="240" w:after="0"/>
        <w:jc w:val="center"/>
        <w:rPr>
          <w:rFonts w:ascii="Arial;sans-serif" w:hAnsi="Arial;sans-serif"/>
          <w:b w:val="false"/>
          <w:sz w:val="20"/>
        </w:rPr>
      </w:pPr>
      <w:r>
        <w:rPr>
          <w:rFonts w:ascii="Arial;sans-serif" w:hAnsi="Arial;sans-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pStyle w:val="TextBody"/>
        <w:bidi w:val="0"/>
        <w:spacing w:before="280" w:after="0"/>
        <w:jc w:val="both"/>
        <w:rPr>
          <w:rFonts w:ascii="Times New Roman" w:hAnsi="Times New Roman"/>
          <w:sz w:val="20"/>
        </w:rPr>
      </w:pPr>
      <w:r>
        <w:rPr>
          <w:rFonts w:ascii="Arial;sans-serif" w:hAnsi="Arial;sans-serif"/>
          <w:b w:val="false"/>
          <w:sz w:val="20"/>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June 30, 2023,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$57.4 million and $45.3 million for the six months ended June 30, 2023 and 2022, respectively. As of June 30, 2023, we had an accumulated deficit of $249.0 million and cash, cash equivalents and investments of $196.3 million.</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We expect to continue to incur increasing operating losses for the foreseeable future as we: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continue to advance fosgonimeton and our other product candidates through preclinical studies and clinical trials, and further extend the open label extension of the ACT-AD and LIFT-AD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expand our pipeline of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continue to grow our discovery organization and invest in the ATH platform;</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ramp up manufacturing activities;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attract, hire and retain additional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 maintain, expand and protect our intellectual property portfolio;</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operate as a public company;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expand our laboratory and office facilities;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implement and maintain operational, financial and management information systems;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seek regulatory approval for any product candidates that successfully complete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establish a sales, marketing and distribution infrastructure to commercialize any product candidate for which we may obtain marketing approval;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incur legal expenses associated with ongoing litigation, as further described in “Part II, Item 1—Legal Proceedings,” and elsewhere in this report.</w:t>
      </w:r>
    </w:p>
    <w:p>
      <w:pPr>
        <w:pStyle w:val="TextBody"/>
        <w:bidi w:val="0"/>
        <w:spacing w:before="280" w:after="0"/>
        <w:jc w:val="both"/>
        <w:rPr>
          <w:rFonts w:ascii="Times New Roman" w:hAnsi="Times New Roman"/>
          <w:sz w:val="20"/>
        </w:rPr>
      </w:pPr>
      <w:r>
        <w:rPr>
          <w:rFonts w:ascii="Arial;sans-serif" w:hAnsi="Arial;sans-serif"/>
          <w:b w:val="false"/>
          <w:sz w:val="20"/>
        </w:rPr>
        <w:t>Our net losses may fluctuate significantly from quarter-to-quarter and year-to-year, depending on the timing of our clinical trials and our expenditures on other research and development activities.</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pStyle w:val="TextBody"/>
        <w:bidi w:val="0"/>
        <w:spacing w:before="240" w:after="0"/>
        <w:jc w:val="center"/>
        <w:rPr>
          <w:rFonts w:ascii="Arial;sans-serif" w:hAnsi="Arial;sans-serif"/>
          <w:b w:val="false"/>
          <w:sz w:val="20"/>
        </w:rPr>
      </w:pPr>
      <w:r>
        <w:rPr>
          <w:rFonts w:ascii="Arial;sans-serif" w:hAnsi="Arial;sans-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i/>
          <w:sz w:val="20"/>
        </w:rPr>
      </w:pPr>
      <w:r>
        <w:rPr>
          <w:rFonts w:ascii="Arial;sans-serif" w:hAnsi="Arial;sans-serif"/>
          <w:b/>
          <w:i/>
          <w:sz w:val="20"/>
        </w:rPr>
        <w:t>Our Collaboration and Grant Agreements</w:t>
      </w:r>
    </w:p>
    <w:p>
      <w:pPr>
        <w:pStyle w:val="TextBody"/>
        <w:bidi w:val="0"/>
        <w:spacing w:before="280" w:after="0"/>
        <w:jc w:val="both"/>
        <w:rPr>
          <w:rFonts w:ascii="Arial;sans-serif" w:hAnsi="Arial;sans-serif"/>
          <w:b w:val="false"/>
          <w:sz w:val="20"/>
        </w:rPr>
      </w:pPr>
      <w:r>
        <w:rPr>
          <w:rFonts w:ascii="Arial;sans-serif" w:hAnsi="Arial;sans-serif"/>
          <w:b w:val="false"/>
          <w:sz w:val="20"/>
        </w:rPr>
        <w:t>We are party to certain collaboration and grant agreements, as described in the section titled “Part I, Item 1 – Business—Our Collaboration and Grant Agreements” in our Annual Report on Form 10-K filed with the SEC on March 23, 2023.</w:t>
      </w:r>
    </w:p>
    <w:p>
      <w:pPr>
        <w:pStyle w:val="TextBody"/>
        <w:bidi w:val="0"/>
        <w:spacing w:before="280" w:after="0"/>
        <w:jc w:val="both"/>
        <w:rPr>
          <w:rFonts w:ascii="Arial;sans-serif" w:hAnsi="Arial;sans-serif"/>
          <w:b/>
          <w:sz w:val="20"/>
        </w:rPr>
      </w:pPr>
      <w:r>
        <w:rPr>
          <w:rFonts w:ascii="Arial;sans-serif" w:hAnsi="Arial;sans-serif"/>
          <w:b/>
          <w:sz w:val="20"/>
        </w:rPr>
        <w:t>Components of Operating Results</w:t>
      </w:r>
    </w:p>
    <w:p>
      <w:pPr>
        <w:pStyle w:val="TextBody"/>
        <w:bidi w:val="0"/>
        <w:spacing w:before="280" w:after="0"/>
        <w:jc w:val="both"/>
        <w:rPr>
          <w:rFonts w:ascii="Arial;sans-serif" w:hAnsi="Arial;sans-serif"/>
          <w:b/>
          <w:i/>
          <w:sz w:val="20"/>
        </w:rPr>
      </w:pPr>
      <w:r>
        <w:rPr>
          <w:rFonts w:ascii="Arial;sans-serif" w:hAnsi="Arial;sans-serif"/>
          <w:b/>
          <w:i/>
          <w:sz w:val="20"/>
        </w:rPr>
        <w:t>Operating Expenses</w:t>
      </w:r>
    </w:p>
    <w:p>
      <w:pPr>
        <w:pStyle w:val="TextBody"/>
        <w:bidi w:val="0"/>
        <w:spacing w:before="280" w:after="0"/>
        <w:jc w:val="both"/>
        <w:rPr>
          <w:rFonts w:ascii="Times New Roman" w:hAnsi="Times New Roman"/>
          <w:sz w:val="20"/>
        </w:rPr>
      </w:pPr>
      <w:r>
        <w:rPr>
          <w:rFonts w:ascii="Arial;sans-serif" w:hAnsi="Arial;sans-serif"/>
          <w:b w:val="false"/>
          <w:i/>
          <w:sz w:val="20"/>
        </w:rPr>
        <w:t>Research and Development</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80" w:after="0"/>
        <w:jc w:val="both"/>
        <w:rPr>
          <w:rFonts w:ascii="Times New Roman" w:hAnsi="Times New Roman"/>
          <w:sz w:val="20"/>
        </w:rPr>
      </w:pPr>
      <w:r>
        <w:rPr>
          <w:rFonts w:ascii="Arial;sans-serif" w:hAnsi="Arial;sans-serif"/>
          <w:b w:val="false"/>
          <w:sz w:val="20"/>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for the foreseeable future as we continue to invest in research and development activities related to developing our product candidates, as our product candidates advance into later stages of development, as we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have seen, and expect to continue to see, our research and development expenses increase as we conduct our clinical trials for fosgonimeton, including open-label extensions for those trials. Additionally, we may experience an overall increase in research and development expenses as a result of inflation.</w:t>
      </w:r>
    </w:p>
    <w:p>
      <w:pPr>
        <w:pStyle w:val="TextBody"/>
        <w:bidi w:val="0"/>
        <w:spacing w:before="280" w:after="0"/>
        <w:jc w:val="both"/>
        <w:rPr>
          <w:rFonts w:ascii="Times New Roman" w:hAnsi="Times New Roman"/>
          <w:sz w:val="20"/>
        </w:rPr>
      </w:pPr>
      <w:r>
        <w:rPr>
          <w:rFonts w:ascii="Arial;sans-serif" w:hAnsi="Arial;sans-serif"/>
          <w:b w:val="false"/>
          <w:sz w:val="20"/>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number and scope of preclinical and IND-enabling studies;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phases of development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progress and results of our research and development activities;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per subject trial costs;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number of trials required for regulatory approval, in particular with respect to fosgonimeton for the treatment of mild-to-moderate AD (including any potential confirmatory or Phase 3 registrational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further extension of the open label extension of the ACT-AD and LIFT-AD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number of sites included in the trials;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countries in which the trials are conducted;</w:t>
      </w:r>
    </w:p>
    <w:p>
      <w:pPr>
        <w:pStyle w:val="TextBody"/>
        <w:bidi w:val="0"/>
        <w:spacing w:before="240" w:after="0"/>
        <w:jc w:val="center"/>
        <w:rPr>
          <w:rFonts w:ascii="Arial;sans-serif" w:hAnsi="Arial;sans-serif"/>
          <w:b w:val="false"/>
          <w:sz w:val="20"/>
        </w:rPr>
      </w:pPr>
      <w:r>
        <w:rPr>
          <w:rFonts w:ascii="Arial;sans-serif" w:hAnsi="Arial;sans-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length of time required to enroll eligible subjects and initiate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number of subjects that participate in the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drop-out and discontinuation rate of subjects;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potential additional safety monitoring requested by regulatory agencies;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duration of subject participation in the trials and follow-up;</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 and timing of manufacturing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receipt of regulatory approvals from applicable regulatory authorities;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timing, receipt and terms of any marketing approvals from applicable regulatory authorities;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hiring and retention of research and development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degree to which we obtain, maintain, defend and enforce our intellectual property rights;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impact of health epidemics, including COVID-19, on timelines and clinical operations, which may lead to increased costs;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extent to which we establish collaboration, licensing or similar arrangements and the performance of any related third parties.</w:t>
      </w:r>
    </w:p>
    <w:p>
      <w:pPr>
        <w:pStyle w:val="TextBody"/>
        <w:bidi w:val="0"/>
        <w:spacing w:before="280" w:after="0"/>
        <w:jc w:val="both"/>
        <w:rPr>
          <w:rFonts w:ascii="Times New Roman" w:hAnsi="Times New Roman"/>
          <w:sz w:val="20"/>
        </w:rPr>
      </w:pPr>
      <w:r>
        <w:rPr>
          <w:rFonts w:ascii="Arial;sans-serif" w:hAnsi="Arial;sans-serif"/>
          <w:b w:val="false"/>
          <w:sz w:val="20"/>
        </w:rPr>
        <w:t>A change in the outcome of any of these variables with respect to the development of any of our product candidates could significantly change the costs and timing associated with the development of that product candidate.</w:t>
      </w:r>
      <w:r>
        <w:rPr>
          <w:rFonts w:ascii="Times New Roman" w:hAnsi="Times New Roman"/>
          <w:sz w:val="20"/>
        </w:rPr>
        <w:t xml:space="preserve"> </w:t>
      </w:r>
    </w:p>
    <w:p>
      <w:pPr>
        <w:pStyle w:val="TextBody"/>
        <w:bidi w:val="0"/>
        <w:spacing w:before="280" w:after="0"/>
        <w:jc w:val="both"/>
        <w:rPr>
          <w:rFonts w:ascii="Arial;sans-serif" w:hAnsi="Arial;sans-serif"/>
          <w:b w:val="false"/>
          <w:i/>
          <w:sz w:val="20"/>
        </w:rPr>
      </w:pPr>
      <w:r>
        <w:rPr>
          <w:rFonts w:ascii="Arial;sans-serif" w:hAnsi="Arial;sans-serif"/>
          <w:b w:val="false"/>
          <w:i/>
          <w:sz w:val="20"/>
        </w:rPr>
        <w:t>General and Administrative</w:t>
      </w:r>
    </w:p>
    <w:p>
      <w:pPr>
        <w:pStyle w:val="TextBody"/>
        <w:bidi w:val="0"/>
        <w:spacing w:before="280" w:after="0"/>
        <w:jc w:val="both"/>
        <w:rPr>
          <w:rFonts w:ascii="Arial;sans-serif" w:hAnsi="Arial;sans-serif"/>
          <w:b w:val="false"/>
          <w:sz w:val="20"/>
        </w:rPr>
      </w:pPr>
      <w:r>
        <w:rPr>
          <w:rFonts w:ascii="Arial;sans-serif" w:hAnsi="Arial;sans-serif"/>
          <w:b w:val="false"/>
          <w:sz w:val="20"/>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pStyle w:val="TextBody"/>
        <w:bidi w:val="0"/>
        <w:spacing w:before="280" w:after="0"/>
        <w:jc w:val="both"/>
        <w:rPr>
          <w:rFonts w:ascii="Arial;sans-serif" w:hAnsi="Arial;sans-serif"/>
          <w:b w:val="false"/>
          <w:sz w:val="20"/>
        </w:rPr>
      </w:pPr>
      <w:r>
        <w:rPr>
          <w:rFonts w:ascii="Arial;sans-serif" w:hAnsi="Arial;sans-serif"/>
          <w:b w:val="false"/>
          <w:sz w:val="20"/>
        </w:rPr>
        <w:t>We expect that our general and administrative expenses will increase for the foreseeable future as we increase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continued legal expenses related to our ongoing legal proceedings and proposed settlement to resolve such claims. We also expect to continue to increase the size of our administrative function to support the growth of our business. Additionally, we may experience an overall increase in general and administrative expenses as a result of inflation.</w:t>
      </w:r>
    </w:p>
    <w:p>
      <w:pPr>
        <w:pStyle w:val="TextBody"/>
        <w:bidi w:val="0"/>
        <w:spacing w:before="280" w:after="0"/>
        <w:jc w:val="both"/>
        <w:rPr>
          <w:rFonts w:ascii="Arial;sans-serif" w:hAnsi="Arial;sans-serif"/>
          <w:b/>
          <w:i/>
          <w:sz w:val="20"/>
        </w:rPr>
      </w:pPr>
      <w:r>
        <w:rPr>
          <w:rFonts w:ascii="Arial;sans-serif" w:hAnsi="Arial;sans-serif"/>
          <w:b/>
          <w:i/>
          <w:sz w:val="20"/>
        </w:rPr>
        <w:t>Grant Income</w:t>
      </w:r>
    </w:p>
    <w:p>
      <w:pPr>
        <w:pStyle w:val="TextBody"/>
        <w:bidi w:val="0"/>
        <w:spacing w:before="280" w:after="0"/>
        <w:jc w:val="both"/>
        <w:rPr>
          <w:rFonts w:ascii="Arial;sans-serif" w:hAnsi="Arial;sans-serif"/>
          <w:b w:val="false"/>
          <w:sz w:val="20"/>
        </w:rPr>
      </w:pPr>
      <w:r>
        <w:rPr>
          <w:rFonts w:ascii="Arial;sans-serif" w:hAnsi="Arial;sans-serif"/>
          <w:b w:val="false"/>
          <w:sz w:val="20"/>
        </w:rPr>
        <w:t>Grant income consists of income related to the NIH grant and is recognized as qualifying expenses under the grant agreement are incurred. As of June 30, 2023, we had recognized aggregate grant income of $15.2 million in connection with an NIH grant, equal to the total grant amount approved. We will not recognize additional grant income in connection with the NIH grant in the future.</w:t>
      </w:r>
    </w:p>
    <w:p>
      <w:pPr>
        <w:pStyle w:val="TextBody"/>
        <w:bidi w:val="0"/>
        <w:spacing w:before="280" w:after="0"/>
        <w:jc w:val="both"/>
        <w:rPr>
          <w:rFonts w:ascii="Arial;sans-serif" w:hAnsi="Arial;sans-serif"/>
          <w:b/>
          <w:i/>
          <w:sz w:val="20"/>
        </w:rPr>
      </w:pPr>
      <w:r>
        <w:rPr>
          <w:rFonts w:ascii="Arial;sans-serif" w:hAnsi="Arial;sans-serif"/>
          <w:b/>
          <w:i/>
          <w:sz w:val="20"/>
        </w:rPr>
        <w:t>Other Income, Net</w:t>
      </w:r>
    </w:p>
    <w:p>
      <w:pPr>
        <w:pStyle w:val="TextBody"/>
        <w:bidi w:val="0"/>
        <w:spacing w:before="280" w:after="0"/>
        <w:jc w:val="both"/>
        <w:rPr>
          <w:rFonts w:ascii="Times New Roman" w:hAnsi="Times New Roman"/>
          <w:sz w:val="20"/>
        </w:rPr>
      </w:pPr>
      <w:r>
        <w:rPr>
          <w:rFonts w:ascii="Arial;sans-serif" w:hAnsi="Arial;sans-serif"/>
          <w:b w:val="false"/>
          <w:sz w:val="20"/>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over the long term as we continue to expend our cash balances to fund our ongoing operations.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sz w:val="20"/>
        </w:rPr>
      </w:pPr>
      <w:r>
        <w:rPr>
          <w:rFonts w:ascii="Arial;sans-serif" w:hAnsi="Arial;sans-serif"/>
          <w:b/>
          <w:sz w:val="20"/>
        </w:rPr>
        <w:t>Results of Operations</w:t>
      </w:r>
    </w:p>
    <w:p>
      <w:pPr>
        <w:pStyle w:val="TextBody"/>
        <w:bidi w:val="0"/>
        <w:spacing w:before="280" w:after="0"/>
        <w:jc w:val="both"/>
        <w:rPr>
          <w:rFonts w:ascii="Arial;sans-serif" w:hAnsi="Arial;sans-serif"/>
          <w:b/>
          <w:i/>
          <w:sz w:val="20"/>
        </w:rPr>
      </w:pPr>
      <w:r>
        <w:rPr>
          <w:rFonts w:ascii="Arial;sans-serif" w:hAnsi="Arial;sans-serif"/>
          <w:b/>
          <w:i/>
          <w:sz w:val="20"/>
        </w:rPr>
        <w:t>Comparison of the Three Months Ended June 30, 2023 and 2022</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table summarizes our results of operations for the periods presented:</w:t>
      </w:r>
    </w:p>
    <w:p>
      <w:pPr>
        <w:pStyle w:val="TextBody"/>
        <w:bidi w:val="0"/>
        <w:spacing w:before="0" w:after="0"/>
        <w:jc w:val="both"/>
        <w:rPr/>
      </w:pPr>
      <w:r>
        <w:rPr/>
        <w:t> </w:t>
      </w:r>
    </w:p>
    <w:tbl>
      <w:tblPr>
        <w:tblW w:w="7826" w:type="dxa"/>
        <w:jc w:val="left"/>
        <w:tblInd w:w="0" w:type="dxa"/>
        <w:tblLayout w:type="fixed"/>
        <w:tblCellMar>
          <w:top w:w="28" w:type="dxa"/>
          <w:left w:w="28" w:type="dxa"/>
          <w:bottom w:w="28" w:type="dxa"/>
          <w:right w:w="28" w:type="dxa"/>
        </w:tblCellMar>
      </w:tblPr>
      <w:tblGrid>
        <w:gridCol w:w="2491"/>
        <w:gridCol w:w="146"/>
        <w:gridCol w:w="211"/>
        <w:gridCol w:w="751"/>
        <w:gridCol w:w="166"/>
        <w:gridCol w:w="146"/>
        <w:gridCol w:w="211"/>
        <w:gridCol w:w="751"/>
        <w:gridCol w:w="166"/>
        <w:gridCol w:w="146"/>
        <w:gridCol w:w="211"/>
        <w:gridCol w:w="646"/>
        <w:gridCol w:w="166"/>
        <w:gridCol w:w="146"/>
        <w:gridCol w:w="167"/>
        <w:gridCol w:w="554"/>
        <w:gridCol w:w="75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43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t>
            </w:r>
          </w:p>
        </w:tc>
        <w:tc>
          <w:tcPr>
            <w:tcW w:w="75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405"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75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firstLine="280"/>
              <w:jc w:val="right"/>
              <w:rPr/>
            </w:pPr>
            <w:r>
              <w:rPr/>
              <w:t> </w:t>
            </w:r>
          </w:p>
        </w:tc>
      </w:tr>
      <w:tr>
        <w:trPr/>
        <w:tc>
          <w:tcPr>
            <w:tcW w:w="24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14,803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w:t>
            </w:r>
          </w:p>
        </w:tc>
        <w:tc>
          <w:tcPr>
            <w:tcW w:w="75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4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8,766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w:t>
            </w:r>
          </w:p>
        </w:tc>
        <w:tc>
          <w:tcPr>
            <w:tcW w:w="751" w:type="dxa"/>
            <w:tcBorders/>
            <w:vAlign w:val="center"/>
          </w:tcPr>
          <w:p>
            <w:pPr>
              <w:pStyle w:val="TableContents"/>
              <w:bidi w:val="0"/>
              <w:spacing w:before="0" w:after="0"/>
              <w:ind w:left="0" w:right="0" w:firstLine="560"/>
              <w:jc w:val="left"/>
              <w:rPr/>
            </w:pPr>
            <w:r>
              <w:rPr/>
              <w:t> </w:t>
            </w:r>
          </w:p>
        </w:tc>
      </w:tr>
      <w:tr>
        <w:trPr/>
        <w:tc>
          <w:tcPr>
            <w:tcW w:w="249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31,640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23,569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w:t>
            </w:r>
          </w:p>
        </w:tc>
        <w:tc>
          <w:tcPr>
            <w:tcW w:w="75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(31,640</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(23,569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(8,071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w:t>
            </w:r>
          </w:p>
        </w:tc>
        <w:tc>
          <w:tcPr>
            <w:tcW w:w="75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Grant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(1,259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314</w:t>
            </w:r>
          </w:p>
        </w:tc>
        <w:tc>
          <w:tcPr>
            <w:tcW w:w="75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(29,597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(24,335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751" w:type="dxa"/>
            <w:tcBorders/>
            <w:vAlign w:val="center"/>
          </w:tcPr>
          <w:p>
            <w:pPr>
              <w:pStyle w:val="TableContents"/>
              <w:bidi w:val="0"/>
              <w:spacing w:before="0" w:after="0"/>
              <w:ind w:left="0" w:right="0" w:hanging="0"/>
              <w:jc w:val="left"/>
              <w:rPr/>
            </w:pPr>
            <w:r>
              <w:rPr/>
              <w:t> </w:t>
            </w:r>
          </w:p>
        </w:tc>
      </w:tr>
    </w:tbl>
    <w:p>
      <w:pPr>
        <w:pStyle w:val="TextBody"/>
        <w:bidi w:val="0"/>
        <w:spacing w:before="280" w:after="0"/>
        <w:jc w:val="both"/>
        <w:rPr>
          <w:rFonts w:ascii="Arial;sans-serif" w:hAnsi="Arial;sans-serif"/>
          <w:b/>
          <w:i/>
          <w:sz w:val="20"/>
        </w:rPr>
      </w:pPr>
      <w:r>
        <w:rPr>
          <w:rFonts w:ascii="Arial;sans-serif" w:hAnsi="Arial;sans-serif"/>
          <w:b/>
          <w:i/>
          <w:sz w:val="20"/>
        </w:rPr>
        <w:t>Research and Development Expenses</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table shows the primary components of our research and development expenses for the periods presented:</w:t>
      </w:r>
    </w:p>
    <w:p>
      <w:pPr>
        <w:pStyle w:val="TextBody"/>
        <w:bidi w:val="0"/>
        <w:spacing w:before="0" w:after="0"/>
        <w:jc w:val="both"/>
        <w:rPr/>
      </w:pPr>
      <w:r>
        <w:rPr/>
        <w:t> </w:t>
      </w:r>
    </w:p>
    <w:tbl>
      <w:tblPr>
        <w:tblW w:w="8816" w:type="dxa"/>
        <w:jc w:val="left"/>
        <w:tblInd w:w="0" w:type="dxa"/>
        <w:tblLayout w:type="fixed"/>
        <w:tblCellMar>
          <w:top w:w="28" w:type="dxa"/>
          <w:left w:w="28" w:type="dxa"/>
          <w:bottom w:w="28" w:type="dxa"/>
          <w:right w:w="28" w:type="dxa"/>
        </w:tblCellMar>
      </w:tblPr>
      <w:tblGrid>
        <w:gridCol w:w="3841"/>
        <w:gridCol w:w="146"/>
        <w:gridCol w:w="211"/>
        <w:gridCol w:w="691"/>
        <w:gridCol w:w="146"/>
        <w:gridCol w:w="146"/>
        <w:gridCol w:w="211"/>
        <w:gridCol w:w="691"/>
        <w:gridCol w:w="146"/>
        <w:gridCol w:w="146"/>
        <w:gridCol w:w="211"/>
        <w:gridCol w:w="586"/>
        <w:gridCol w:w="166"/>
        <w:gridCol w:w="146"/>
        <w:gridCol w:w="201"/>
        <w:gridCol w:w="520"/>
        <w:gridCol w:w="6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21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t>
            </w:r>
          </w:p>
        </w:tc>
        <w:tc>
          <w:tcPr>
            <w:tcW w:w="611" w:type="dxa"/>
            <w:tcBorders/>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85"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 costs:</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80"/>
              <w:jc w:val="right"/>
              <w:rPr/>
            </w:pPr>
            <w:r>
              <w:rPr/>
              <w:t> </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Fosgonimeton (ATH-1017)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14,619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ATH-1020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Preclinical programs and other direct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611" w:type="dxa"/>
            <w:tcBorders/>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direct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16,419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11,317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w:t>
            </w:r>
          </w:p>
        </w:tc>
        <w:tc>
          <w:tcPr>
            <w:tcW w:w="611" w:type="dxa"/>
            <w:tcBorders/>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Indirect costs:</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80"/>
              <w:jc w:val="right"/>
              <w:rPr/>
            </w:pPr>
            <w:r>
              <w:rPr/>
              <w:t> </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Personnel-related costs, including stock-</w:t>
              <w:br/>
              <w:t>   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w:t>
            </w:r>
          </w:p>
        </w:tc>
        <w:tc>
          <w:tcPr>
            <w:tcW w:w="611" w:type="dxa"/>
            <w:tcBorders/>
            <w:vAlign w:val="center"/>
          </w:tcPr>
          <w:p>
            <w:pPr>
              <w:pStyle w:val="TableContents"/>
              <w:bidi w:val="0"/>
              <w:spacing w:before="0" w:after="0"/>
              <w:ind w:left="0" w:right="0" w:firstLine="280"/>
              <w:jc w:val="left"/>
              <w:rPr/>
            </w:pPr>
            <w:r>
              <w:rPr/>
              <w:t> </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Facilities and other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w:t>
            </w:r>
          </w:p>
        </w:tc>
        <w:tc>
          <w:tcPr>
            <w:tcW w:w="611" w:type="dxa"/>
            <w:tcBorders/>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14,803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280" w:after="0"/>
        <w:jc w:val="both"/>
        <w:rPr>
          <w:rFonts w:ascii="Arial;sans-serif" w:hAnsi="Arial;sans-serif"/>
          <w:b w:val="false"/>
          <w:sz w:val="20"/>
        </w:rPr>
      </w:pPr>
      <w:r>
        <w:rPr>
          <w:rFonts w:ascii="Arial;sans-serif" w:hAnsi="Arial;sans-serif"/>
          <w:b w:val="false"/>
          <w:sz w:val="20"/>
        </w:rPr>
        <w:t>Research and development expenses increased by $6.8 million, from $14.8 million for the three months ended June 30, 2022 to $21.6 million for the three months ended June 30, 2023. The increase was driven primarily by an increase in expenses for fosgonimeton of $5.2 million related to continued patient enrollment and clinical site visit activity for our Phase 2/3 clinical trial and the corresponding open-label extension for our Phase 2 and Phase 2/3 clinical trials, as well as higher costs relating to manufacturing process development and increases in manufacturing batch size capabilities, an increase in personnel-related costs of $1.6 million due to an increase in headcount and stock-based compensation expense in connection with current period equity grants to new hires and existing employees, and an increase in preclinical research and development expenses of $0.3 million, partially offset by a decrease in ATH-1020 program expenses of $0.5 million.</w:t>
      </w:r>
    </w:p>
    <w:p>
      <w:pPr>
        <w:pStyle w:val="TextBody"/>
        <w:bidi w:val="0"/>
        <w:spacing w:before="280" w:after="0"/>
        <w:jc w:val="both"/>
        <w:rPr>
          <w:rFonts w:ascii="Arial;sans-serif" w:hAnsi="Arial;sans-serif"/>
          <w:b/>
          <w:i/>
          <w:sz w:val="20"/>
        </w:rPr>
      </w:pPr>
      <w:r>
        <w:rPr>
          <w:rFonts w:ascii="Arial;sans-serif" w:hAnsi="Arial;sans-serif"/>
          <w:b/>
          <w:i/>
          <w:sz w:val="20"/>
        </w:rPr>
        <w:t>General and Administrative Expenses</w:t>
      </w:r>
    </w:p>
    <w:p>
      <w:pPr>
        <w:pStyle w:val="TextBody"/>
        <w:bidi w:val="0"/>
        <w:spacing w:before="280" w:after="0"/>
        <w:jc w:val="both"/>
        <w:rPr>
          <w:rFonts w:ascii="Arial;sans-serif" w:hAnsi="Arial;sans-serif"/>
          <w:b w:val="false"/>
          <w:sz w:val="20"/>
        </w:rPr>
      </w:pPr>
      <w:r>
        <w:rPr>
          <w:rFonts w:ascii="Arial;sans-serif" w:hAnsi="Arial;sans-serif"/>
          <w:b w:val="false"/>
          <w:sz w:val="20"/>
        </w:rPr>
        <w:t>General and administrative expenses increased by $1.3 million, from $8.8 million for the three months ended June 30, 2022 to $10.0 million for the three months ended June 30, 2023. The increase was primarily due to an increase in consulting and professional services expenses of $0.7 million, an increase in business development expenses of $0.6 million, and an increase in personnel-related costs of $0.2 million due to an increase in headcount, partially offset by a decreases in other general corporate expenses of $0.2 million and a decrease in legal costs of $0.1 million.</w:t>
      </w:r>
    </w:p>
    <w:p>
      <w:pPr>
        <w:pStyle w:val="TextBody"/>
        <w:bidi w:val="0"/>
        <w:spacing w:before="240" w:after="0"/>
        <w:jc w:val="center"/>
        <w:rPr>
          <w:rFonts w:ascii="Arial;sans-serif" w:hAnsi="Arial;sans-serif"/>
          <w:b w:val="false"/>
          <w:sz w:val="20"/>
        </w:rPr>
      </w:pPr>
      <w:r>
        <w:rPr>
          <w:rFonts w:ascii="Arial;sans-serif" w:hAnsi="Arial;sans-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i/>
          <w:sz w:val="20"/>
        </w:rPr>
      </w:pPr>
      <w:r>
        <w:rPr>
          <w:rFonts w:ascii="Arial;sans-serif" w:hAnsi="Arial;sans-serif"/>
          <w:b/>
          <w:i/>
          <w:sz w:val="20"/>
        </w:rPr>
        <w:t>Grant Income</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three months ended June 30, 2022, we reversed $1.3 million of grant income previously recorded in the three months ended March 31, 2022 as we were required to obtain additional approval from the NIH to carryover unused budgets to the second and final years of the grant. These approvals were subsequently received during the third quarter of 2022. As of March 31, 2023, we had recognized aggregate grant income of $15.2 million in connection with the NIH grant, equal to the total grant amount approved. No grant income was recognized during the three months ended June 30, 2023.</w:t>
      </w:r>
    </w:p>
    <w:p>
      <w:pPr>
        <w:pStyle w:val="TextBody"/>
        <w:bidi w:val="0"/>
        <w:spacing w:before="0" w:after="0"/>
        <w:jc w:val="both"/>
        <w:rPr/>
      </w:pPr>
      <w:r>
        <w:rPr/>
        <w:t> </w:t>
      </w:r>
    </w:p>
    <w:p>
      <w:pPr>
        <w:pStyle w:val="TextBody"/>
        <w:bidi w:val="0"/>
        <w:spacing w:before="80" w:after="0"/>
        <w:jc w:val="both"/>
        <w:rPr>
          <w:rFonts w:ascii="Arial;sans-serif" w:hAnsi="Arial;sans-serif"/>
          <w:b/>
          <w:i/>
          <w:sz w:val="20"/>
        </w:rPr>
      </w:pPr>
      <w:r>
        <w:rPr>
          <w:rFonts w:ascii="Arial;sans-serif" w:hAnsi="Arial;sans-serif"/>
          <w:b/>
          <w:i/>
          <w:sz w:val="20"/>
        </w:rPr>
        <w:t>Other Income, Net</w:t>
      </w:r>
    </w:p>
    <w:p>
      <w:pPr>
        <w:pStyle w:val="TextBody"/>
        <w:bidi w:val="0"/>
        <w:spacing w:before="280" w:after="0"/>
        <w:jc w:val="both"/>
        <w:rPr>
          <w:rFonts w:ascii="Arial;sans-serif" w:hAnsi="Arial;sans-serif"/>
          <w:b w:val="false"/>
          <w:sz w:val="20"/>
        </w:rPr>
      </w:pPr>
      <w:r>
        <w:rPr>
          <w:rFonts w:ascii="Arial;sans-serif" w:hAnsi="Arial;sans-serif"/>
          <w:b w:val="false"/>
          <w:sz w:val="20"/>
        </w:rPr>
        <w:t>Other income, net, increased by $1.6 million, from $0.5 million for the three months ended June 30, 2022 to $2.0 million for the three months ended June 30, 2023 due to higher income from accretion of discounts on debt securities purchased below par value and held to maturity, in addition to higher interest income earned on our available-for-sale securities resulting from rising interest rates on debt securities.</w:t>
      </w:r>
    </w:p>
    <w:p>
      <w:pPr>
        <w:pStyle w:val="TextBody"/>
        <w:bidi w:val="0"/>
        <w:spacing w:before="280" w:after="0"/>
        <w:jc w:val="both"/>
        <w:rPr>
          <w:rFonts w:ascii="Arial;sans-serif" w:hAnsi="Arial;sans-serif"/>
          <w:b/>
          <w:i/>
          <w:sz w:val="20"/>
        </w:rPr>
      </w:pPr>
      <w:r>
        <w:rPr>
          <w:rFonts w:ascii="Arial;sans-serif" w:hAnsi="Arial;sans-serif"/>
          <w:b/>
          <w:i/>
          <w:sz w:val="20"/>
        </w:rPr>
        <w:t>Comparison of the Six Months Ended June 30, 2023 and 2022</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table summarizes our results of operations for the periods presented:</w:t>
      </w:r>
    </w:p>
    <w:p>
      <w:pPr>
        <w:pStyle w:val="TextBody"/>
        <w:bidi w:val="0"/>
        <w:spacing w:before="0" w:after="0"/>
        <w:jc w:val="both"/>
        <w:rPr/>
      </w:pPr>
      <w:r>
        <w:rPr/>
        <w:t> </w:t>
      </w:r>
    </w:p>
    <w:tbl>
      <w:tblPr>
        <w:tblW w:w="7931" w:type="dxa"/>
        <w:jc w:val="left"/>
        <w:tblInd w:w="0" w:type="dxa"/>
        <w:tblLayout w:type="fixed"/>
        <w:tblCellMar>
          <w:top w:w="28" w:type="dxa"/>
          <w:left w:w="28" w:type="dxa"/>
          <w:bottom w:w="28" w:type="dxa"/>
          <w:right w:w="28" w:type="dxa"/>
        </w:tblCellMar>
      </w:tblPr>
      <w:tblGrid>
        <w:gridCol w:w="2491"/>
        <w:gridCol w:w="146"/>
        <w:gridCol w:w="211"/>
        <w:gridCol w:w="751"/>
        <w:gridCol w:w="166"/>
        <w:gridCol w:w="146"/>
        <w:gridCol w:w="211"/>
        <w:gridCol w:w="751"/>
        <w:gridCol w:w="166"/>
        <w:gridCol w:w="146"/>
        <w:gridCol w:w="211"/>
        <w:gridCol w:w="751"/>
        <w:gridCol w:w="166"/>
        <w:gridCol w:w="146"/>
        <w:gridCol w:w="185"/>
        <w:gridCol w:w="536"/>
        <w:gridCol w:w="75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4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t>
            </w:r>
          </w:p>
        </w:tc>
        <w:tc>
          <w:tcPr>
            <w:tcW w:w="75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510"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75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firstLine="280"/>
              <w:jc w:val="right"/>
              <w:rPr/>
            </w:pPr>
            <w:r>
              <w:rPr/>
              <w:t> </w:t>
            </w:r>
          </w:p>
        </w:tc>
      </w:tr>
      <w:tr>
        <w:trPr/>
        <w:tc>
          <w:tcPr>
            <w:tcW w:w="24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42,908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29,263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13,645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w:t>
            </w:r>
          </w:p>
        </w:tc>
        <w:tc>
          <w:tcPr>
            <w:tcW w:w="75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4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18,502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17,693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w:t>
            </w:r>
          </w:p>
        </w:tc>
        <w:tc>
          <w:tcPr>
            <w:tcW w:w="751" w:type="dxa"/>
            <w:tcBorders/>
            <w:vAlign w:val="center"/>
          </w:tcPr>
          <w:p>
            <w:pPr>
              <w:pStyle w:val="TableContents"/>
              <w:bidi w:val="0"/>
              <w:spacing w:before="0" w:after="0"/>
              <w:ind w:left="0" w:right="0" w:firstLine="560"/>
              <w:jc w:val="left"/>
              <w:rPr/>
            </w:pPr>
            <w:r>
              <w:rPr/>
              <w:t> </w:t>
            </w:r>
          </w:p>
        </w:tc>
      </w:tr>
      <w:tr>
        <w:trPr/>
        <w:tc>
          <w:tcPr>
            <w:tcW w:w="249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61,410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46,956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14,454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w:t>
            </w:r>
          </w:p>
        </w:tc>
        <w:tc>
          <w:tcPr>
            <w:tcW w:w="75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(61,410</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(46,956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(14,454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w:t>
            </w:r>
          </w:p>
        </w:tc>
        <w:tc>
          <w:tcPr>
            <w:tcW w:w="75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Grant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(818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w:t>
            </w:r>
          </w:p>
        </w:tc>
        <w:tc>
          <w:tcPr>
            <w:tcW w:w="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476</w:t>
            </w:r>
          </w:p>
        </w:tc>
        <w:tc>
          <w:tcPr>
            <w:tcW w:w="75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(57,417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(45,315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(12,102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751" w:type="dxa"/>
            <w:tcBorders/>
            <w:vAlign w:val="center"/>
          </w:tcPr>
          <w:p>
            <w:pPr>
              <w:pStyle w:val="TableContents"/>
              <w:bidi w:val="0"/>
              <w:spacing w:before="0" w:after="0"/>
              <w:ind w:left="0" w:right="0" w:hanging="0"/>
              <w:jc w:val="left"/>
              <w:rPr/>
            </w:pPr>
            <w:r>
              <w:rPr/>
              <w:t> </w:t>
            </w:r>
          </w:p>
        </w:tc>
      </w:tr>
    </w:tbl>
    <w:p>
      <w:pPr>
        <w:pStyle w:val="TextBody"/>
        <w:bidi w:val="0"/>
        <w:spacing w:before="280" w:after="0"/>
        <w:jc w:val="both"/>
        <w:rPr>
          <w:rFonts w:ascii="Arial;sans-serif" w:hAnsi="Arial;sans-serif"/>
          <w:b/>
          <w:i/>
          <w:sz w:val="20"/>
        </w:rPr>
      </w:pPr>
      <w:r>
        <w:rPr>
          <w:rFonts w:ascii="Arial;sans-serif" w:hAnsi="Arial;sans-serif"/>
          <w:b/>
          <w:i/>
          <w:sz w:val="20"/>
        </w:rPr>
        <w:t>Research and Development Expenses</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table shows the primary components of our research and development expenses for the periods presented:</w:t>
      </w:r>
    </w:p>
    <w:p>
      <w:pPr>
        <w:pStyle w:val="TextBody"/>
        <w:bidi w:val="0"/>
        <w:spacing w:before="0" w:after="0"/>
        <w:jc w:val="both"/>
        <w:rPr/>
      </w:pPr>
      <w:r>
        <w:rPr/>
        <w:t> </w:t>
      </w:r>
    </w:p>
    <w:tbl>
      <w:tblPr>
        <w:tblW w:w="8921" w:type="dxa"/>
        <w:jc w:val="left"/>
        <w:tblInd w:w="0" w:type="dxa"/>
        <w:tblLayout w:type="fixed"/>
        <w:tblCellMar>
          <w:top w:w="28" w:type="dxa"/>
          <w:left w:w="28" w:type="dxa"/>
          <w:bottom w:w="28" w:type="dxa"/>
          <w:right w:w="28" w:type="dxa"/>
        </w:tblCellMar>
      </w:tblPr>
      <w:tblGrid>
        <w:gridCol w:w="3841"/>
        <w:gridCol w:w="146"/>
        <w:gridCol w:w="211"/>
        <w:gridCol w:w="691"/>
        <w:gridCol w:w="146"/>
        <w:gridCol w:w="146"/>
        <w:gridCol w:w="211"/>
        <w:gridCol w:w="691"/>
        <w:gridCol w:w="146"/>
        <w:gridCol w:w="146"/>
        <w:gridCol w:w="211"/>
        <w:gridCol w:w="691"/>
        <w:gridCol w:w="166"/>
        <w:gridCol w:w="146"/>
        <w:gridCol w:w="201"/>
        <w:gridCol w:w="520"/>
        <w:gridCol w:w="6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2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t>
            </w:r>
          </w:p>
        </w:tc>
        <w:tc>
          <w:tcPr>
            <w:tcW w:w="611" w:type="dxa"/>
            <w:tcBorders/>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290" w:type="dxa"/>
            <w:gridSpan w:val="10"/>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 costs:</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80"/>
              <w:jc w:val="right"/>
              <w:rPr/>
            </w:pPr>
            <w:r>
              <w:rPr/>
              <w:t> </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Fosgonimeton (ATH-1017)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28,890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ATH-1020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Preclinical programs and other direct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611" w:type="dxa"/>
            <w:tcBorders/>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direct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32,522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22,735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9,787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w:t>
            </w:r>
          </w:p>
        </w:tc>
        <w:tc>
          <w:tcPr>
            <w:tcW w:w="611" w:type="dxa"/>
            <w:tcBorders/>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Indirect costs:</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80"/>
              <w:jc w:val="right"/>
              <w:rPr/>
            </w:pPr>
            <w:r>
              <w:rPr/>
              <w:t> </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Personnel-related costs, including stock-</w:t>
              <w:br/>
              <w:t>   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w:t>
            </w:r>
          </w:p>
        </w:tc>
        <w:tc>
          <w:tcPr>
            <w:tcW w:w="611" w:type="dxa"/>
            <w:tcBorders/>
            <w:vAlign w:val="center"/>
          </w:tcPr>
          <w:p>
            <w:pPr>
              <w:pStyle w:val="TableContents"/>
              <w:bidi w:val="0"/>
              <w:spacing w:before="0" w:after="0"/>
              <w:ind w:left="0" w:right="0" w:firstLine="280"/>
              <w:jc w:val="left"/>
              <w:rPr/>
            </w:pPr>
            <w:r>
              <w:rPr/>
              <w:t> </w:t>
            </w:r>
          </w:p>
        </w:tc>
      </w:tr>
      <w:tr>
        <w:trPr/>
        <w:tc>
          <w:tcPr>
            <w:tcW w:w="384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Facilities and other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w:t>
            </w:r>
          </w:p>
        </w:tc>
        <w:tc>
          <w:tcPr>
            <w:tcW w:w="611" w:type="dxa"/>
            <w:tcBorders/>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42,908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29,263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13,645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280" w:after="0"/>
        <w:jc w:val="both"/>
        <w:rPr>
          <w:rFonts w:ascii="Times New Roman" w:hAnsi="Times New Roman"/>
          <w:sz w:val="20"/>
        </w:rPr>
      </w:pPr>
      <w:r>
        <w:rPr>
          <w:rFonts w:ascii="Arial;sans-serif" w:hAnsi="Arial;sans-serif"/>
          <w:b w:val="false"/>
          <w:sz w:val="20"/>
        </w:rPr>
        <w:t>Research and development expenses increased by $13.6 million, from $29.3 million for the six months ended June 30, 2022 to $42.9 million for the six months ended June 30, 2023. The increase was driven primarily by an increase in expenses for fosgonimeton of $9.3 million related to continued patient enrollment and clinical site visit activity for our Phase 2/3 clinical trial and the corresponding open-label extension for our Phase 2 and Phase 2/3 clinical trials, as well as higher costs relating to manufacturing process development and increases in manufacturing batch size capabilities, an increase in personnel-related costs of $3.5 million due to an increase in headcount and stock-based compensation expense in connection with current period equity grants to new hires and existing employees, an increase in preclinical research and development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expenses of $1.1 million, and an increase in facilities and other indirect costs of $0.3 million, partially offset by a decrease in ATH-1020 program expenses of $0.6 million.</w:t>
      </w:r>
    </w:p>
    <w:p>
      <w:pPr>
        <w:pStyle w:val="TextBody"/>
        <w:bidi w:val="0"/>
        <w:spacing w:before="280" w:after="0"/>
        <w:jc w:val="both"/>
        <w:rPr>
          <w:rFonts w:ascii="Arial;sans-serif" w:hAnsi="Arial;sans-serif"/>
          <w:b/>
          <w:i/>
          <w:sz w:val="20"/>
        </w:rPr>
      </w:pPr>
      <w:r>
        <w:rPr>
          <w:rFonts w:ascii="Arial;sans-serif" w:hAnsi="Arial;sans-serif"/>
          <w:b/>
          <w:i/>
          <w:sz w:val="20"/>
        </w:rPr>
        <w:t>General and Administrative Expenses</w:t>
      </w:r>
    </w:p>
    <w:p>
      <w:pPr>
        <w:pStyle w:val="TextBody"/>
        <w:bidi w:val="0"/>
        <w:spacing w:before="280" w:after="0"/>
        <w:jc w:val="both"/>
        <w:rPr>
          <w:rFonts w:ascii="Arial;sans-serif" w:hAnsi="Arial;sans-serif"/>
          <w:b w:val="false"/>
          <w:sz w:val="20"/>
        </w:rPr>
      </w:pPr>
      <w:r>
        <w:rPr>
          <w:rFonts w:ascii="Arial;sans-serif" w:hAnsi="Arial;sans-serif"/>
          <w:b w:val="false"/>
          <w:sz w:val="20"/>
        </w:rPr>
        <w:t>General and administrative expenses increased by $0.8 million, from $17.7 million for the six months ended June 30, 2022 to $18.5 million for the six months ended June 30, 2023. The increase was primarily due to a increase in business development expenses of $0.7 million, an increase in consulting and professional services expenses of $0.7 million, an increase in personnel-related expenses of $0.5 million due to an increase in headcount, partially offset by a decrease in legal costs of $0.8 million and a decrease in general corporate expenses of $0.3 million.</w:t>
      </w:r>
    </w:p>
    <w:p>
      <w:pPr>
        <w:pStyle w:val="TextBody"/>
        <w:bidi w:val="0"/>
        <w:spacing w:before="280" w:after="0"/>
        <w:jc w:val="both"/>
        <w:rPr>
          <w:rFonts w:ascii="Arial;sans-serif" w:hAnsi="Arial;sans-serif"/>
          <w:b/>
          <w:i/>
          <w:sz w:val="20"/>
        </w:rPr>
      </w:pPr>
      <w:r>
        <w:rPr>
          <w:rFonts w:ascii="Arial;sans-serif" w:hAnsi="Arial;sans-serif"/>
          <w:b/>
          <w:i/>
          <w:sz w:val="20"/>
        </w:rPr>
        <w:t>Grant Income</w:t>
      </w:r>
    </w:p>
    <w:p>
      <w:pPr>
        <w:pStyle w:val="TextBody"/>
        <w:bidi w:val="0"/>
        <w:spacing w:before="280" w:after="0"/>
        <w:jc w:val="both"/>
        <w:rPr>
          <w:rFonts w:ascii="Arial;sans-serif" w:hAnsi="Arial;sans-serif"/>
          <w:b w:val="false"/>
          <w:sz w:val="20"/>
        </w:rPr>
      </w:pPr>
      <w:r>
        <w:rPr>
          <w:rFonts w:ascii="Arial;sans-serif" w:hAnsi="Arial;sans-serif"/>
          <w:b w:val="false"/>
          <w:sz w:val="20"/>
        </w:rPr>
        <w:t>Grant income decreased by $0.8 million, from $1.0 million for the six months ended June 30, 2022 to $0.2 million for the six months ended June 30, 2023. Grant income recognized during the six months ended June 30, 2023 of $0.2 million represented the remaining balance of the total $15.2 million approved grant amount available at the beginning of the year. All of which grant income was recognized during the three months ended March 31, 2023.</w:t>
      </w:r>
    </w:p>
    <w:p>
      <w:pPr>
        <w:pStyle w:val="TextBody"/>
        <w:bidi w:val="0"/>
        <w:spacing w:before="0" w:after="0"/>
        <w:jc w:val="both"/>
        <w:rPr/>
      </w:pPr>
      <w:r>
        <w:rPr/>
        <w:t> </w:t>
      </w:r>
    </w:p>
    <w:p>
      <w:pPr>
        <w:pStyle w:val="TextBody"/>
        <w:bidi w:val="0"/>
        <w:spacing w:before="80" w:after="0"/>
        <w:jc w:val="both"/>
        <w:rPr>
          <w:rFonts w:ascii="Arial;sans-serif" w:hAnsi="Arial;sans-serif"/>
          <w:b/>
          <w:i/>
          <w:sz w:val="20"/>
        </w:rPr>
      </w:pPr>
      <w:r>
        <w:rPr>
          <w:rFonts w:ascii="Arial;sans-serif" w:hAnsi="Arial;sans-serif"/>
          <w:b/>
          <w:i/>
          <w:sz w:val="20"/>
        </w:rPr>
        <w:t>Other Income, Net</w:t>
      </w:r>
    </w:p>
    <w:p>
      <w:pPr>
        <w:pStyle w:val="TextBody"/>
        <w:bidi w:val="0"/>
        <w:spacing w:before="280" w:after="0"/>
        <w:jc w:val="both"/>
        <w:rPr>
          <w:rFonts w:ascii="Arial;sans-serif" w:hAnsi="Arial;sans-serif"/>
          <w:b w:val="false"/>
          <w:sz w:val="20"/>
        </w:rPr>
      </w:pPr>
      <w:r>
        <w:rPr>
          <w:rFonts w:ascii="Arial;sans-serif" w:hAnsi="Arial;sans-serif"/>
          <w:b w:val="false"/>
          <w:sz w:val="20"/>
        </w:rPr>
        <w:t>Other income, net, increased by $3.2 million, from $0.7 million for the six months ended June 30, 2022 to $3.8 million for the six months ended June 30, 2023 due to higher income from accretion of discounts on debt securities purchased below par value and held to maturity, in addition to higher interest income earned on our available-for-sale securities resulting from rising interest rates on debt securities.</w:t>
      </w:r>
    </w:p>
    <w:p>
      <w:pPr>
        <w:pStyle w:val="TextBody"/>
        <w:bidi w:val="0"/>
        <w:spacing w:before="280" w:after="0"/>
        <w:jc w:val="both"/>
        <w:rPr>
          <w:rFonts w:ascii="Arial;sans-serif" w:hAnsi="Arial;sans-serif"/>
          <w:b/>
          <w:sz w:val="20"/>
        </w:rPr>
      </w:pPr>
      <w:r>
        <w:rPr>
          <w:rFonts w:ascii="Arial;sans-serif" w:hAnsi="Arial;sans-serif"/>
          <w:b/>
          <w:sz w:val="20"/>
        </w:rPr>
        <w:t>Liquidity and Capital Resources</w:t>
      </w:r>
    </w:p>
    <w:p>
      <w:pPr>
        <w:pStyle w:val="TextBody"/>
        <w:bidi w:val="0"/>
        <w:spacing w:before="280" w:after="0"/>
        <w:jc w:val="both"/>
        <w:rPr>
          <w:rFonts w:ascii="Arial;sans-serif" w:hAnsi="Arial;sans-serif"/>
          <w:b/>
          <w:i/>
          <w:sz w:val="20"/>
        </w:rPr>
      </w:pPr>
      <w:r>
        <w:rPr>
          <w:rFonts w:ascii="Arial;sans-serif" w:hAnsi="Arial;sans-serif"/>
          <w:b/>
          <w:i/>
          <w:sz w:val="20"/>
        </w:rPr>
        <w:t>Sources of Liquidity</w:t>
      </w:r>
    </w:p>
    <w:p>
      <w:pPr>
        <w:pStyle w:val="TextBody"/>
        <w:bidi w:val="0"/>
        <w:spacing w:before="280" w:after="0"/>
        <w:jc w:val="both"/>
        <w:rPr>
          <w:rFonts w:ascii="Times New Roman" w:hAnsi="Times New Roman"/>
          <w:sz w:val="20"/>
        </w:rPr>
      </w:pPr>
      <w:r>
        <w:rPr>
          <w:rFonts w:ascii="Arial;sans-serif" w:hAnsi="Arial;sans-serif"/>
          <w:b w:val="false"/>
          <w:sz w:val="20"/>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June 30, 2023, we have raised aggregate net cash proceeds of $407.4 million primarily from the issuance of our common stock (excluding option exercises), convertible preferred stock, common stock warrants, and convertible notes.</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As of June 30, 2023, we had $196.3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pStyle w:val="TextBody"/>
        <w:bidi w:val="0"/>
        <w:spacing w:before="280" w:after="0"/>
        <w:jc w:val="both"/>
        <w:rPr>
          <w:rFonts w:ascii="Arial;sans-serif" w:hAnsi="Arial;sans-serif"/>
          <w:b/>
          <w:i/>
          <w:sz w:val="20"/>
        </w:rPr>
      </w:pPr>
      <w:r>
        <w:rPr>
          <w:rFonts w:ascii="Arial;sans-serif" w:hAnsi="Arial;sans-serif"/>
          <w:b/>
          <w:i/>
          <w:sz w:val="20"/>
        </w:rPr>
        <w:t>Material Cash and Future Funding Requirements</w:t>
      </w:r>
    </w:p>
    <w:p>
      <w:pPr>
        <w:pStyle w:val="TextBody"/>
        <w:bidi w:val="0"/>
        <w:spacing w:before="280" w:after="0"/>
        <w:jc w:val="both"/>
        <w:rPr>
          <w:rFonts w:ascii="Arial;sans-serif" w:hAnsi="Arial;sans-serif"/>
          <w:b w:val="false"/>
          <w:sz w:val="20"/>
        </w:rPr>
      </w:pPr>
      <w:r>
        <w:rPr>
          <w:rFonts w:ascii="Arial;sans-serif" w:hAnsi="Arial;sans-serif"/>
          <w:b w:val="false"/>
          <w:sz w:val="20"/>
        </w:rPr>
        <w:t>Our material cash requirements include our operating leases for laboratory and office facilities. As of June 30, 2023, we had lease payment obligations of $2.1 million, with $0.5 million payable within 12 months. For additional information regarding our lease commitments, see Note 7 to our unaudited condensed consolidated financial statements included elsewhere in this report. We are contingently committed to $0.9 million of potential future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6 to our unaudited condensed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clinical development and our product candidates through clinical trials, increase our headcount to support our operations, and incur legal and other professional expenses related to our ongoing legal proceedings. We cannot predict with certainty the amount and timing of these increased expenses.</w:t>
      </w:r>
    </w:p>
    <w:p>
      <w:pPr>
        <w:pStyle w:val="TextBody"/>
        <w:bidi w:val="0"/>
        <w:spacing w:before="240" w:after="0"/>
        <w:jc w:val="center"/>
        <w:rPr>
          <w:rFonts w:ascii="Arial;sans-serif" w:hAnsi="Arial;sans-serif"/>
          <w:b w:val="false"/>
          <w:sz w:val="20"/>
        </w:rPr>
      </w:pPr>
      <w:r>
        <w:rPr>
          <w:rFonts w:ascii="Arial;sans-serif" w:hAnsi="Arial;sans-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Based upon our current operating plan, we estimate that our $196.3 million of cash, cash equivalents and investments at June 30, 2023 will be sufficient to fund our operating expenses and capital expenditure requirements through at least the next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through an at-the-market, or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pStyle w:val="TextBody"/>
        <w:bidi w:val="0"/>
        <w:spacing w:before="280" w:after="0"/>
        <w:jc w:val="both"/>
        <w:rPr>
          <w:rFonts w:ascii="Arial;sans-serif" w:hAnsi="Arial;sans-serif"/>
          <w:b w:val="false"/>
          <w:sz w:val="20"/>
        </w:rPr>
      </w:pPr>
      <w:r>
        <w:rPr>
          <w:rFonts w:ascii="Arial;sans-serif" w:hAnsi="Arial;sans-serif"/>
          <w:b w:val="false"/>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scope, timing, progress and results of our ongoing preclinical studies and clinical trials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number of trials required for regulatory approval, in particular with respect to fosgonimeton for the treatment of mild-to-moderate AD;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scope, progress, results and costs of preclinical development, laboratory testing and clinical trials of other product candidates that we may pursue;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establish and maintain collaboration, licensing or other similar arrangements, and the financial terms of any such arrangements, including the timing and amount of any future milestone, royalty or other payments due thereunder;</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costs, timing and outcome of regulatory review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costs and timing of future commercialization activities, including product manufacturing, marketing, sales and distribution, for any of our product candidates for which we receive marketing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revenue, if any, received from commercial sales of our product candidates for which we receive marketing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costs related to ongoing legal proceedings;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any expenses needed to attract, hire and retain skilled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costs of operating as a public company;</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costs associated with expanding our laboratory and office facilities; and</w:t>
      </w:r>
    </w:p>
    <w:p>
      <w:pPr>
        <w:pStyle w:val="TextBody"/>
        <w:bidi w:val="0"/>
        <w:spacing w:before="240" w:after="0"/>
        <w:jc w:val="center"/>
        <w:rPr>
          <w:rFonts w:ascii="Arial;sans-serif" w:hAnsi="Arial;sans-serif"/>
          <w:b w:val="false"/>
          <w:sz w:val="20"/>
        </w:rPr>
      </w:pPr>
      <w:r>
        <w:rPr>
          <w:rFonts w:ascii="Arial;sans-serif" w:hAnsi="Arial;sans-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extent to which we acquire or in-license other companies’ product candidates and technologies or engage in other strategic transactions.</w:t>
      </w:r>
    </w:p>
    <w:p>
      <w:pPr>
        <w:pStyle w:val="TextBody"/>
        <w:bidi w:val="0"/>
        <w:spacing w:before="280" w:after="0"/>
        <w:jc w:val="both"/>
        <w:rPr>
          <w:rFonts w:ascii="Arial;sans-serif" w:hAnsi="Arial;sans-serif"/>
          <w:b w:val="false"/>
          <w:sz w:val="20"/>
        </w:rPr>
      </w:pPr>
      <w:r>
        <w:rPr>
          <w:rFonts w:ascii="Arial;sans-serif" w:hAnsi="Arial;sans-serif"/>
          <w:b w:val="false"/>
          <w:sz w:val="20"/>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pStyle w:val="TextBody"/>
        <w:bidi w:val="0"/>
        <w:spacing w:before="280" w:after="0"/>
        <w:jc w:val="both"/>
        <w:rPr>
          <w:rFonts w:ascii="Arial;sans-serif" w:hAnsi="Arial;sans-serif"/>
          <w:b/>
          <w:i/>
          <w:sz w:val="20"/>
        </w:rPr>
      </w:pPr>
      <w:r>
        <w:rPr>
          <w:rFonts w:ascii="Arial;sans-serif" w:hAnsi="Arial;sans-serif"/>
          <w:b/>
          <w:i/>
          <w:sz w:val="20"/>
        </w:rPr>
        <w:t>Cash Flows</w:t>
      </w:r>
    </w:p>
    <w:p>
      <w:pPr>
        <w:pStyle w:val="TextBody"/>
        <w:bidi w:val="0"/>
        <w:spacing w:before="280" w:after="0"/>
        <w:jc w:val="both"/>
        <w:rPr>
          <w:rFonts w:ascii="Arial;sans-serif" w:hAnsi="Arial;sans-serif"/>
          <w:b w:val="false"/>
          <w:sz w:val="20"/>
        </w:rPr>
      </w:pPr>
      <w:r>
        <w:rPr>
          <w:rFonts w:ascii="Arial;sans-serif" w:hAnsi="Arial;sans-serif"/>
          <w:b w:val="false"/>
          <w:sz w:val="20"/>
        </w:rPr>
        <w:t>The following table summarizes our cash flows for the periods indicated:</w:t>
      </w:r>
    </w:p>
    <w:p>
      <w:pPr>
        <w:pStyle w:val="TextBody"/>
        <w:bidi w:val="0"/>
        <w:spacing w:before="0" w:after="0"/>
        <w:jc w:val="both"/>
        <w:rPr/>
      </w:pPr>
      <w:r>
        <w:rPr/>
        <w:t> </w:t>
      </w:r>
    </w:p>
    <w:tbl>
      <w:tblPr>
        <w:tblW w:w="7357" w:type="dxa"/>
        <w:jc w:val="left"/>
        <w:tblInd w:w="0" w:type="dxa"/>
        <w:tblLayout w:type="fixed"/>
        <w:tblCellMar>
          <w:top w:w="28" w:type="dxa"/>
          <w:left w:w="28" w:type="dxa"/>
          <w:bottom w:w="28" w:type="dxa"/>
          <w:right w:w="28" w:type="dxa"/>
        </w:tblCellMar>
      </w:tblPr>
      <w:tblGrid>
        <w:gridCol w:w="4471"/>
        <w:gridCol w:w="146"/>
        <w:gridCol w:w="212"/>
        <w:gridCol w:w="756"/>
        <w:gridCol w:w="167"/>
        <w:gridCol w:w="146"/>
        <w:gridCol w:w="212"/>
        <w:gridCol w:w="756"/>
        <w:gridCol w:w="4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9" w:type="dxa"/>
            <w:gridSpan w:val="6"/>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 thousands)</w:t>
            </w:r>
          </w:p>
        </w:tc>
        <w:tc>
          <w:tcPr>
            <w:tcW w:w="491" w:type="dxa"/>
            <w:tcBorders/>
            <w:vAlign w:val="center"/>
          </w:tcPr>
          <w:p>
            <w:pPr>
              <w:pStyle w:val="TableContents"/>
              <w:bidi w:val="0"/>
              <w:spacing w:before="0" w:after="0"/>
              <w:ind w:left="0" w:right="0" w:hanging="0"/>
              <w:jc w:val="center"/>
              <w:rPr/>
            </w:pPr>
            <w:r>
              <w:rPr/>
              <w:t> </w:t>
            </w:r>
          </w:p>
        </w:tc>
      </w:tr>
      <w:tr>
        <w:trPr/>
        <w:tc>
          <w:tcPr>
            <w:tcW w:w="44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cash (used in) provided by:</w:t>
            </w:r>
          </w:p>
        </w:tc>
        <w:tc>
          <w:tcPr>
            <w:tcW w:w="146" w:type="dxa"/>
            <w:tcBorders/>
            <w:vAlign w:val="center"/>
          </w:tcPr>
          <w:p>
            <w:pPr>
              <w:pStyle w:val="TableContents"/>
              <w:bidi w:val="0"/>
              <w:spacing w:before="0" w:after="0"/>
              <w:ind w:left="0" w:right="0" w:hanging="0"/>
              <w:jc w:val="left"/>
              <w:rPr/>
            </w:pPr>
            <w:r>
              <w:rPr/>
              <w:t> </w:t>
            </w:r>
          </w:p>
        </w:tc>
        <w:tc>
          <w:tcPr>
            <w:tcW w:w="968" w:type="dxa"/>
            <w:gridSpan w:val="2"/>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8"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280"/>
              <w:jc w:val="left"/>
              <w:rPr/>
            </w:pPr>
            <w:r>
              <w:rPr/>
              <w:t> </w:t>
            </w:r>
          </w:p>
        </w:tc>
      </w:tr>
      <w:tr>
        <w:trPr/>
        <w:tc>
          <w:tcPr>
            <w:tcW w:w="44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(50,476</w:t>
            </w:r>
          </w:p>
        </w:tc>
        <w:tc>
          <w:tcPr>
            <w:tcW w:w="16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(35,162</w:t>
            </w:r>
          </w:p>
        </w:tc>
        <w:tc>
          <w:tcPr>
            <w:tcW w:w="49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4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68,008</w:t>
            </w:r>
          </w:p>
        </w:tc>
        <w:tc>
          <w:tcPr>
            <w:tcW w:w="1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19,385</w:t>
            </w:r>
          </w:p>
        </w:tc>
        <w:tc>
          <w:tcPr>
            <w:tcW w:w="491" w:type="dxa"/>
            <w:tcBorders/>
            <w:vAlign w:val="center"/>
          </w:tcPr>
          <w:p>
            <w:pPr>
              <w:pStyle w:val="TableContents"/>
              <w:bidi w:val="0"/>
              <w:spacing w:before="0" w:after="0"/>
              <w:ind w:left="0" w:right="0" w:firstLine="280"/>
              <w:jc w:val="left"/>
              <w:rPr/>
            </w:pPr>
            <w:r>
              <w:rPr/>
              <w:t> </w:t>
            </w:r>
          </w:p>
        </w:tc>
      </w:tr>
      <w:tr>
        <w:trPr/>
        <w:tc>
          <w:tcPr>
            <w:tcW w:w="447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341</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507</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increase (decrease) in cash, cash equivalents</w:t>
              <w:br/>
              <w:t>   and restricted cash</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17,873</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(15,270</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both"/>
        <w:rPr/>
      </w:pPr>
      <w:r>
        <w:rPr/>
        <w:t> </w:t>
      </w:r>
    </w:p>
    <w:p>
      <w:pPr>
        <w:pStyle w:val="TextBody"/>
        <w:bidi w:val="0"/>
        <w:spacing w:before="80" w:after="0"/>
        <w:jc w:val="both"/>
        <w:rPr>
          <w:rFonts w:ascii="Arial;sans-serif" w:hAnsi="Arial;sans-serif"/>
          <w:b/>
          <w:i/>
          <w:sz w:val="20"/>
        </w:rPr>
      </w:pPr>
      <w:r>
        <w:rPr>
          <w:rFonts w:ascii="Arial;sans-serif" w:hAnsi="Arial;sans-serif"/>
          <w:b/>
          <w:i/>
          <w:sz w:val="20"/>
        </w:rPr>
        <w:t>Operating Activities</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six months ended June 30, 2023, net cash used in operating activities was $50.5 million. This consisted primarily of a net loss of $57.4 million, partially offset by non-cash charges of $5.7 million and a decrease in our net operating assets of $1.2 million. The non-cash charges primarily consisted of stock-based compensation expense, amortization of premiums and accretion of discounts on available-for-sale securities, and depreciation expense. The decrease in our net operating assets was primarily due to a decrease in unbilled grant receivable and an increase in accrued expenses, partially offset by a decrease in accounts payable and an increase in prepaid expenses and other current assets.</w:t>
      </w:r>
    </w:p>
    <w:p>
      <w:pPr>
        <w:pStyle w:val="TextBody"/>
        <w:bidi w:val="0"/>
        <w:spacing w:before="280" w:after="0"/>
        <w:jc w:val="both"/>
        <w:rPr>
          <w:rFonts w:ascii="Times New Roman" w:hAnsi="Times New Roman"/>
          <w:sz w:val="20"/>
        </w:rPr>
      </w:pPr>
      <w:r>
        <w:rPr>
          <w:rFonts w:ascii="Arial;sans-serif" w:hAnsi="Arial;sans-serif"/>
          <w:b w:val="false"/>
          <w:sz w:val="20"/>
        </w:rPr>
        <w:t>During the six months ended June 30, 2022, net cash used in operating activities was $35.2 million. This consisted primarily of a net loss of $45.3 million, partially offset by non-cash charges of $6.4 million and a decrease in our net operating assets of $3.7 million. The non-cash charges primarily consisted of stock-based compensation expense, depreciation expense, and amortization of premiums and accretion of discounts on available-for-sale securities. The decrease in our net operating assets was primarily due to a decrease in unbilled grant receivable, a decrease in prepaid expenses and other current assets, and an increase in accounts payable and accrued expenses.</w:t>
      </w:r>
      <w:r>
        <w:rPr>
          <w:rFonts w:ascii="Times New Roman" w:hAnsi="Times New Roman"/>
          <w:sz w:val="20"/>
        </w:rPr>
        <w:t xml:space="preserve"> </w:t>
      </w:r>
    </w:p>
    <w:p>
      <w:pPr>
        <w:pStyle w:val="TextBody"/>
        <w:bidi w:val="0"/>
        <w:spacing w:before="280" w:after="0"/>
        <w:jc w:val="both"/>
        <w:rPr>
          <w:rFonts w:ascii="Arial;sans-serif" w:hAnsi="Arial;sans-serif"/>
          <w:b/>
          <w:i/>
          <w:sz w:val="20"/>
        </w:rPr>
      </w:pPr>
      <w:r>
        <w:rPr>
          <w:rFonts w:ascii="Arial;sans-serif" w:hAnsi="Arial;sans-serif"/>
          <w:b/>
          <w:i/>
          <w:sz w:val="20"/>
        </w:rPr>
        <w:t>Investing Activities</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six months ended June 30, 2023, net cash provided by investing was $68.0 million. This consisted of maturities of available-for-sale securities of $93.2 million, partially offset by purchases of available-for-sale securities of $24.9 million and property and equipment of $0.3 million.</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six months ended June 30, 2022, net cash provided by investing was $19.4 million. This consisted of maturities of available-for-sale securities of $72.0 million, partially offset by purchases of available-for-sale securities of $51.7 million and property and equipment of $0.9 million.</w:t>
      </w:r>
    </w:p>
    <w:p>
      <w:pPr>
        <w:pStyle w:val="TextBody"/>
        <w:bidi w:val="0"/>
        <w:spacing w:before="280" w:after="0"/>
        <w:jc w:val="both"/>
        <w:rPr>
          <w:rFonts w:ascii="Arial;sans-serif" w:hAnsi="Arial;sans-serif"/>
          <w:b/>
          <w:i/>
          <w:sz w:val="20"/>
        </w:rPr>
      </w:pPr>
      <w:r>
        <w:rPr>
          <w:rFonts w:ascii="Arial;sans-serif" w:hAnsi="Arial;sans-serif"/>
          <w:b/>
          <w:i/>
          <w:sz w:val="20"/>
        </w:rPr>
        <w:t>Financing Activities</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six months ended June 30, 2023, net cash provided by financing activities was $0.3 million, consisting of proceeds received from exercises of stock options and the issuance of common stock under our employee stock purchase plan.</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six months ended June 30, 2022, net cash provided by financing activities was $0.5 million, consisting of proceeds received from exercises of stock options and the issuance of common stock under our employee stock purchase plan.</w:t>
      </w:r>
    </w:p>
    <w:p>
      <w:pPr>
        <w:pStyle w:val="TextBody"/>
        <w:bidi w:val="0"/>
        <w:spacing w:before="240" w:after="0"/>
        <w:jc w:val="center"/>
        <w:rPr>
          <w:rFonts w:ascii="Arial;sans-serif" w:hAnsi="Arial;sans-serif"/>
          <w:b w:val="false"/>
          <w:sz w:val="20"/>
        </w:rPr>
      </w:pPr>
      <w:r>
        <w:rPr>
          <w:rFonts w:ascii="Arial;sans-serif" w:hAnsi="Arial;sans-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sz w:val="20"/>
        </w:rPr>
      </w:pPr>
      <w:r>
        <w:rPr>
          <w:rFonts w:ascii="Arial;sans-serif" w:hAnsi="Arial;sans-serif"/>
          <w:b/>
          <w:sz w:val="20"/>
        </w:rPr>
        <w:t>Critical Accounting Policies, Significant Judgments and Use of Estimates</w:t>
      </w:r>
    </w:p>
    <w:p>
      <w:pPr>
        <w:pStyle w:val="TextBody"/>
        <w:bidi w:val="0"/>
        <w:spacing w:before="280" w:after="0"/>
        <w:jc w:val="both"/>
        <w:rPr>
          <w:rFonts w:ascii="Times New Roman" w:hAnsi="Times New Roman"/>
          <w:sz w:val="20"/>
        </w:rPr>
      </w:pPr>
      <w:r>
        <w:rPr>
          <w:rFonts w:ascii="Arial;sans-serif" w:hAnsi="Arial;sans-serif"/>
          <w:b w:val="false"/>
          <w:sz w:val="20"/>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Arial;sans-serif" w:hAnsi="Arial;sans-serif"/>
          <w:b w:val="false"/>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During the six months ended June 30, 2023,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March 23, 2023 and Note 2 to our unaudited condensed consolidated financial statements included in “Part I, Item 1—Financial Statements (Unaudited)” of this report. We believe that of our critical accounting policies, the following accounting policies involve the most judgment and complexity: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research and development costs;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stock-based compensation;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income taxes;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grant income.</w:t>
      </w:r>
    </w:p>
    <w:p>
      <w:pPr>
        <w:pStyle w:val="TextBody"/>
        <w:bidi w:val="0"/>
        <w:spacing w:before="280" w:after="0"/>
        <w:jc w:val="both"/>
        <w:rPr>
          <w:rFonts w:ascii="Arial;sans-serif" w:hAnsi="Arial;sans-serif"/>
          <w:b/>
          <w:sz w:val="20"/>
        </w:rPr>
      </w:pPr>
      <w:r>
        <w:rPr>
          <w:rFonts w:ascii="Arial;sans-serif" w:hAnsi="Arial;sans-serif"/>
          <w:b/>
          <w:sz w:val="20"/>
        </w:rPr>
        <w:t>Recent Accounting Pronouncements</w:t>
      </w:r>
    </w:p>
    <w:p>
      <w:pPr>
        <w:pStyle w:val="TextBody"/>
        <w:bidi w:val="0"/>
        <w:spacing w:before="280" w:after="0"/>
        <w:jc w:val="both"/>
        <w:rPr>
          <w:rFonts w:ascii="Arial;sans-serif" w:hAnsi="Arial;sans-serif"/>
          <w:b w:val="false"/>
          <w:sz w:val="20"/>
        </w:rPr>
      </w:pPr>
      <w:r>
        <w:rPr>
          <w:rFonts w:ascii="Arial;sans-serif" w:hAnsi="Arial;sans-serif"/>
          <w:b w:val="false"/>
          <w:sz w:val="20"/>
        </w:rPr>
        <w:t>See Note 2 to our unaudited condensed consolidated financial statements included elsewhere in this report for additional information.</w:t>
      </w:r>
    </w:p>
    <w:p>
      <w:pPr>
        <w:pStyle w:val="TextBody"/>
        <w:bidi w:val="0"/>
        <w:spacing w:before="280" w:after="0"/>
        <w:jc w:val="both"/>
        <w:rPr>
          <w:rFonts w:ascii="Arial;sans-serif" w:hAnsi="Arial;sans-serif"/>
          <w:b/>
          <w:sz w:val="20"/>
        </w:rPr>
      </w:pPr>
      <w:r>
        <w:rPr>
          <w:rFonts w:ascii="Arial;sans-serif" w:hAnsi="Arial;sans-serif"/>
          <w:b/>
          <w:sz w:val="20"/>
        </w:rPr>
        <w:t>Emerging Growth Company Status</w:t>
      </w:r>
    </w:p>
    <w:p>
      <w:pPr>
        <w:pStyle w:val="TextBody"/>
        <w:bidi w:val="0"/>
        <w:spacing w:before="280" w:after="0"/>
        <w:jc w:val="both"/>
        <w:rPr>
          <w:rFonts w:ascii="Times New Roman" w:hAnsi="Times New Roman"/>
          <w:sz w:val="20"/>
        </w:rPr>
      </w:pPr>
      <w:r>
        <w:rPr>
          <w:rFonts w:ascii="Arial;sans-serif" w:hAnsi="Arial;sans-serif"/>
          <w:b w:val="false"/>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and (2) affirmatively and irrevocably opt out of the extended transition period provided in the JOBS Act. As a result, our financial statements may not be comparable to companies that comply with the new or revised accounting pronouncements as of public company effective dates.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Arial;sans-serif" w:hAnsi="Arial;sans-serif"/>
          <w:b w:val="false"/>
          <w:sz w:val="20"/>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initial public offering occurred.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0" w:after="0"/>
        <w:jc w:val="both"/>
        <w:rPr>
          <w:rFonts w:ascii="Arial;sans-serif" w:hAnsi="Arial;sans-serif"/>
          <w:b/>
          <w:sz w:val="20"/>
        </w:rPr>
      </w:pPr>
      <w:bookmarkStart w:id="10" w:name="item_3_quantitative_qualitative_disclos"/>
      <w:bookmarkEnd w:id="10"/>
      <w:r>
        <w:rPr>
          <w:rFonts w:ascii="Arial;sans-serif" w:hAnsi="Arial;sans-serif"/>
          <w:b/>
          <w:sz w:val="20"/>
        </w:rPr>
        <w:t>Item 3. Quantitative and Qualitative Disclosures About Market Risk.</w:t>
      </w:r>
    </w:p>
    <w:p>
      <w:pPr>
        <w:pStyle w:val="TextBody"/>
        <w:bidi w:val="0"/>
        <w:spacing w:before="280" w:after="0"/>
        <w:jc w:val="both"/>
        <w:rPr>
          <w:rFonts w:ascii="Arial;sans-serif" w:hAnsi="Arial;sans-serif"/>
          <w:b w:val="false"/>
          <w:sz w:val="20"/>
        </w:rPr>
      </w:pPr>
      <w:r>
        <w:rPr>
          <w:rFonts w:ascii="Arial;sans-serif" w:hAnsi="Arial;sans-serif"/>
          <w:b w:val="false"/>
          <w:sz w:val="20"/>
        </w:rPr>
        <w:t>As a smaller reporting company, we are not required to provide the information requested by this item pursuant to Item 305 of Regulation S-K.</w:t>
      </w:r>
    </w:p>
    <w:p>
      <w:pPr>
        <w:pStyle w:val="TextBody"/>
        <w:bidi w:val="0"/>
        <w:spacing w:before="280" w:after="0"/>
        <w:jc w:val="both"/>
        <w:rPr>
          <w:rFonts w:ascii="Arial;sans-serif" w:hAnsi="Arial;sans-serif"/>
          <w:b/>
          <w:sz w:val="20"/>
        </w:rPr>
      </w:pPr>
      <w:bookmarkStart w:id="11" w:name="item_4_controls_procedures"/>
      <w:bookmarkEnd w:id="11"/>
      <w:r>
        <w:rPr>
          <w:rFonts w:ascii="Arial;sans-serif" w:hAnsi="Arial;sans-serif"/>
          <w:b/>
          <w:sz w:val="20"/>
        </w:rPr>
        <w:t>Item 4. Controls and Procedures.</w:t>
      </w:r>
    </w:p>
    <w:p>
      <w:pPr>
        <w:pStyle w:val="TextBody"/>
        <w:bidi w:val="0"/>
        <w:spacing w:before="280" w:after="0"/>
        <w:jc w:val="both"/>
        <w:rPr>
          <w:rFonts w:ascii="Arial;sans-serif" w:hAnsi="Arial;sans-serif"/>
          <w:b/>
          <w:i/>
          <w:sz w:val="20"/>
        </w:rPr>
      </w:pPr>
      <w:r>
        <w:rPr>
          <w:rFonts w:ascii="Arial;sans-serif" w:hAnsi="Arial;sans-serif"/>
          <w:b/>
          <w:i/>
          <w:sz w:val="20"/>
        </w:rPr>
        <w:t>Evaluation of Disclosure Controls and Procedures</w:t>
      </w:r>
    </w:p>
    <w:p>
      <w:pPr>
        <w:pStyle w:val="TextBody"/>
        <w:bidi w:val="0"/>
        <w:spacing w:before="280" w:after="0"/>
        <w:jc w:val="both"/>
        <w:rPr>
          <w:rFonts w:ascii="Arial;sans-serif" w:hAnsi="Arial;sans-serif"/>
          <w:b w:val="false"/>
          <w:sz w:val="20"/>
        </w:rPr>
      </w:pPr>
      <w:r>
        <w:rPr>
          <w:rFonts w:ascii="Arial;sans-serif" w:hAnsi="Arial;sans-serif"/>
          <w:b w:val="false"/>
          <w:sz w:val="20"/>
        </w:rPr>
        <w:t>We maintain “disclosure controls and procedures,” as defined in Rules 13a-15(e) and 15d-15(e) under the Exchange Act,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80" w:after="0"/>
        <w:jc w:val="both"/>
        <w:rPr>
          <w:rFonts w:ascii="Arial;sans-serif" w:hAnsi="Arial;sans-serif"/>
          <w:b w:val="false"/>
          <w:sz w:val="20"/>
        </w:rPr>
      </w:pPr>
      <w:r>
        <w:rPr>
          <w:rFonts w:ascii="Arial;sans-serif" w:hAnsi="Arial;sans-serif"/>
          <w:b w:val="false"/>
          <w:sz w:val="20"/>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280" w:after="0"/>
        <w:jc w:val="both"/>
        <w:rPr>
          <w:rFonts w:ascii="Arial;sans-serif" w:hAnsi="Arial;sans-serif"/>
          <w:b/>
          <w:i/>
          <w:sz w:val="20"/>
        </w:rPr>
      </w:pPr>
      <w:r>
        <w:rPr>
          <w:rFonts w:ascii="Arial;sans-serif" w:hAnsi="Arial;sans-serif"/>
          <w:b/>
          <w:i/>
          <w:sz w:val="20"/>
        </w:rPr>
        <w:t>Changes in Internal Control Over Financial Reporting</w:t>
      </w:r>
    </w:p>
    <w:p>
      <w:pPr>
        <w:pStyle w:val="TextBody"/>
        <w:bidi w:val="0"/>
        <w:spacing w:before="280" w:after="0"/>
        <w:jc w:val="both"/>
        <w:rPr>
          <w:rFonts w:ascii="Arial;sans-serif" w:hAnsi="Arial;sans-serif"/>
          <w:b w:val="false"/>
          <w:sz w:val="20"/>
        </w:rPr>
      </w:pPr>
      <w:r>
        <w:rPr>
          <w:rFonts w:ascii="Arial;sans-serif" w:hAnsi="Arial;sans-serif"/>
          <w:b w:val="false"/>
          <w:sz w:val="20"/>
        </w:rPr>
        <w:t>There have been no changes in our internal control over financial reporting (as defined in Rules 13a-15(f) and 15d-15(f) under the Exchange Act) during the quarter ended June 30, 2023, that have materially affected, or are reasonably likely to materially affect, our internal control over financial reporting.</w:t>
      </w:r>
    </w:p>
    <w:p>
      <w:pPr>
        <w:pStyle w:val="TextBody"/>
        <w:bidi w:val="0"/>
        <w:spacing w:before="240" w:after="0"/>
        <w:jc w:val="center"/>
        <w:rPr>
          <w:rFonts w:ascii="Arial;sans-serif" w:hAnsi="Arial;sans-serif"/>
          <w:b w:val="false"/>
          <w:sz w:val="20"/>
        </w:rPr>
      </w:pPr>
      <w:r>
        <w:rPr>
          <w:rFonts w:ascii="Arial;sans-serif" w:hAnsi="Arial;sans-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2" w:name="part_iior_information"/>
      <w:bookmarkEnd w:id="12"/>
      <w:r>
        <w:rPr>
          <w:rFonts w:ascii="Arial;sans-serif" w:hAnsi="Arial;sans-serif"/>
          <w:b/>
          <w:sz w:val="20"/>
        </w:rPr>
        <w:t>PART II—OTHER</w:t>
      </w:r>
      <w:r>
        <w:rPr>
          <w:rFonts w:ascii="Times New Roman" w:hAnsi="Times New Roman"/>
          <w:sz w:val="20"/>
        </w:rPr>
        <w:t xml:space="preserve"> </w:t>
      </w:r>
      <w:r>
        <w:rPr>
          <w:rFonts w:ascii="Arial;sans-serif" w:hAnsi="Arial;sans-serif"/>
          <w:b/>
          <w:sz w:val="20"/>
        </w:rPr>
        <w:t>INFORMATION</w:t>
      </w:r>
    </w:p>
    <w:p>
      <w:pPr>
        <w:pStyle w:val="TextBody"/>
        <w:bidi w:val="0"/>
        <w:spacing w:before="240" w:after="0"/>
        <w:jc w:val="both"/>
        <w:rPr>
          <w:rFonts w:ascii="Arial;sans-serif" w:hAnsi="Arial;sans-serif"/>
          <w:b/>
          <w:sz w:val="20"/>
        </w:rPr>
      </w:pPr>
      <w:bookmarkStart w:id="13" w:name="item_1_legal_proceedings"/>
      <w:bookmarkEnd w:id="13"/>
      <w:r>
        <w:rPr>
          <w:rFonts w:ascii="Arial;sans-serif" w:hAnsi="Arial;sans-serif"/>
          <w:b/>
          <w:sz w:val="20"/>
        </w:rPr>
        <w:t>Item 1. Legal Proceedings.</w:t>
      </w:r>
    </w:p>
    <w:p>
      <w:pPr>
        <w:pStyle w:val="TextBody"/>
        <w:bidi w:val="0"/>
        <w:spacing w:before="280" w:after="0"/>
        <w:jc w:val="both"/>
        <w:rPr>
          <w:rFonts w:ascii="Arial;sans-serif" w:hAnsi="Arial;sans-serif"/>
          <w:b w:val="false"/>
          <w:sz w:val="20"/>
        </w:rPr>
      </w:pPr>
      <w:r>
        <w:rPr>
          <w:rFonts w:ascii="Arial;sans-serif" w:hAnsi="Arial;sans-serif"/>
          <w:b w:val="false"/>
          <w:sz w:val="20"/>
        </w:rPr>
        <w:t>From time to time, we are subject to various legal proceedings or claims that arise in the ordinary course of business. The following is a brief description of the more significant legal proceedings in which we are involved.</w:t>
      </w:r>
    </w:p>
    <w:p>
      <w:pPr>
        <w:pStyle w:val="TextBody"/>
        <w:bidi w:val="0"/>
        <w:spacing w:before="280" w:after="0"/>
        <w:jc w:val="left"/>
        <w:rPr>
          <w:rFonts w:ascii="Times New Roman" w:hAnsi="Times New Roman"/>
          <w:sz w:val="20"/>
        </w:rPr>
      </w:pPr>
      <w:r>
        <w:rPr>
          <w:rFonts w:ascii="Arial;sans-serif" w:hAnsi="Arial;sans-serif"/>
          <w:b/>
          <w:sz w:val="20"/>
        </w:rPr>
        <w:t>Securities Class Actions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Arial;sans-serif" w:hAnsi="Arial;sans-serif"/>
          <w:b w:val="false"/>
          <w:sz w:val="20"/>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sans-serif" w:hAnsi="Arial;sans-serif"/>
          <w:b w:val="false"/>
          <w:i/>
          <w:sz w:val="20"/>
        </w:rPr>
        <w:t>Wang v. Athira Pharma, Inc., et al.</w:t>
      </w:r>
      <w:r>
        <w:rPr>
          <w:rFonts w:ascii="Arial;sans-serif" w:hAnsi="Arial;sans-serif"/>
          <w:b w:val="false"/>
          <w:sz w:val="20"/>
        </w:rPr>
        <w:t xml:space="preserve">, No. 2:21-cv-00861. Plaintiffs Wang and Gao assert claims under Sections 10(b) and 20(a) of the Securities Exchange Act of 1934, or Exchange Act, and SEC Rule 10b-5, alleging that the defendants made materially false and misleading statements and omitted material adverse facts regarding our business. Specifically, the </w:t>
      </w:r>
      <w:r>
        <w:rPr>
          <w:rFonts w:ascii="Arial;sans-serif" w:hAnsi="Arial;sans-serif"/>
          <w:b w:val="false"/>
          <w:i/>
          <w:sz w:val="20"/>
        </w:rPr>
        <w:t xml:space="preserve">Wang </w:t>
      </w:r>
      <w:r>
        <w:rPr>
          <w:rFonts w:ascii="Arial;sans-serif" w:hAnsi="Arial;sans-serif"/>
          <w:b w:val="false"/>
          <w:sz w:val="20"/>
        </w:rPr>
        <w:t xml:space="preserve">plaintiffs allege that we failed to disclose to investors that certain research conducted by Dr. Kawas was allegedly tainted by scientific misconduct during her doctoral work at WSU including the manipulation of data, and that as a result, the defendants’ positive statements about our business, operations, and prospects were materially misleading. The </w:t>
      </w:r>
      <w:r>
        <w:rPr>
          <w:rFonts w:ascii="Arial;sans-serif" w:hAnsi="Arial;sans-serif"/>
          <w:b w:val="false"/>
          <w:i/>
          <w:sz w:val="20"/>
        </w:rPr>
        <w:t xml:space="preserve">Wang </w:t>
      </w:r>
      <w:r>
        <w:rPr>
          <w:rFonts w:ascii="Arial;sans-serif" w:hAnsi="Arial;sans-serif"/>
          <w:b w:val="false"/>
          <w:sz w:val="20"/>
        </w:rPr>
        <w:t>plaintiffs seek unspecified compensatory and punitive damages, and reasonable costs and expenses, including attorneys’ fees.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 xml:space="preserve">That same day, on June 25, 2021, plaintiff Harshdeep Jawandha filed a putative securities class action lawsuit in the U.S. District Court for the Western District of Washington against us, Dr. Kawas, our then chief financial officer, certain members of our board of directors at the time of our IPO, as well as the IPO underwriters, captioned </w:t>
      </w:r>
      <w:r>
        <w:rPr>
          <w:rFonts w:ascii="Arial;sans-serif" w:hAnsi="Arial;sans-serif"/>
          <w:b w:val="false"/>
          <w:i/>
          <w:sz w:val="20"/>
        </w:rPr>
        <w:t>Jawandha v. Athira Pharma, Inc., et al.</w:t>
      </w:r>
      <w:r>
        <w:rPr>
          <w:rFonts w:ascii="Arial;sans-serif" w:hAnsi="Arial;sans-serif"/>
          <w:b w:val="false"/>
          <w:sz w:val="20"/>
        </w:rPr>
        <w:t xml:space="preserve">, No. 2:21-cv-00862. The </w:t>
      </w:r>
      <w:r>
        <w:rPr>
          <w:rFonts w:ascii="Arial;sans-serif" w:hAnsi="Arial;sans-serif"/>
          <w:b w:val="false"/>
          <w:i/>
          <w:sz w:val="20"/>
        </w:rPr>
        <w:t>Jawandha</w:t>
      </w:r>
      <w:r>
        <w:rPr>
          <w:rFonts w:ascii="Times New Roman" w:hAnsi="Times New Roman"/>
          <w:sz w:val="20"/>
        </w:rPr>
        <w:t xml:space="preserve"> </w:t>
      </w:r>
      <w:r>
        <w:rPr>
          <w:rFonts w:ascii="Arial;sans-serif" w:hAnsi="Arial;sans-serif"/>
          <w:b w:val="false"/>
          <w:sz w:val="20"/>
        </w:rPr>
        <w:t xml:space="preserve">complaint asserts violations of Sections 11 and 15 of the Securities Act of 1933, or Securities Act, alleging that that our IPO registration 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w:t>
      </w:r>
      <w:r>
        <w:rPr>
          <w:rFonts w:ascii="Arial;sans-serif" w:hAnsi="Arial;sans-serif"/>
          <w:b w:val="false"/>
          <w:i/>
          <w:sz w:val="20"/>
        </w:rPr>
        <w:t xml:space="preserve">Jawandha </w:t>
      </w:r>
      <w:r>
        <w:rPr>
          <w:rFonts w:ascii="Arial;sans-serif" w:hAnsi="Arial;sans-serif"/>
          <w:b w:val="false"/>
          <w:sz w:val="20"/>
        </w:rPr>
        <w:t>plaintiff seeks unspecified compensatory damages, and reasonable costs and expenses, including attorneys’ fees.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 xml:space="preserve">Also on June 25, 2021, plaintiffs Timothy Slyne and Tai Slyne filed a putative securities class action lawsuit in the U.S. District Court for the Western District of Washington against us, Dr. Kawas, our then chief financial officer, and the same members of our board of directors and underwriters as in the </w:t>
      </w:r>
      <w:r>
        <w:rPr>
          <w:rFonts w:ascii="Arial;sans-serif" w:hAnsi="Arial;sans-serif"/>
          <w:b w:val="false"/>
          <w:i/>
          <w:sz w:val="20"/>
        </w:rPr>
        <w:t>Jawandha</w:t>
      </w:r>
      <w:r>
        <w:rPr>
          <w:rFonts w:ascii="Times New Roman" w:hAnsi="Times New Roman"/>
          <w:sz w:val="20"/>
        </w:rPr>
        <w:t xml:space="preserve"> </w:t>
      </w:r>
      <w:r>
        <w:rPr>
          <w:rFonts w:ascii="Arial;sans-serif" w:hAnsi="Arial;sans-serif"/>
          <w:b w:val="false"/>
          <w:sz w:val="20"/>
        </w:rPr>
        <w:t xml:space="preserve">complaint, captioned </w:t>
      </w:r>
      <w:r>
        <w:rPr>
          <w:rFonts w:ascii="Arial;sans-serif" w:hAnsi="Arial;sans-serif"/>
          <w:b w:val="false"/>
          <w:i/>
          <w:sz w:val="20"/>
        </w:rPr>
        <w:t>Slyne v. Athira Pharma, Inc. et al.</w:t>
      </w:r>
      <w:r>
        <w:rPr>
          <w:rFonts w:ascii="Arial;sans-serif" w:hAnsi="Arial;sans-serif"/>
          <w:b w:val="false"/>
          <w:sz w:val="20"/>
        </w:rPr>
        <w:t xml:space="preserve">, No. 2:21-cv-00864. The </w:t>
      </w:r>
      <w:r>
        <w:rPr>
          <w:rFonts w:ascii="Arial;sans-serif" w:hAnsi="Arial;sans-serif"/>
          <w:b w:val="false"/>
          <w:i/>
          <w:sz w:val="20"/>
        </w:rPr>
        <w:t xml:space="preserve">Slyne </w:t>
      </w:r>
      <w:r>
        <w:rPr>
          <w:rFonts w:ascii="Arial;sans-serif" w:hAnsi="Arial;sans-serif"/>
          <w:b w:val="false"/>
          <w:sz w:val="20"/>
        </w:rPr>
        <w:t xml:space="preserve">complaint asserts violations of Sections 11 and 15 of the Securities Act, alleging that purported issues with Dr. Kawas’s doctoral research at WSU should have been disclosed in our IPO registration statement. The </w:t>
      </w:r>
      <w:r>
        <w:rPr>
          <w:rFonts w:ascii="Arial;sans-serif" w:hAnsi="Arial;sans-serif"/>
          <w:b w:val="false"/>
          <w:i/>
          <w:sz w:val="20"/>
        </w:rPr>
        <w:t>Slyne</w:t>
      </w:r>
      <w:r>
        <w:rPr>
          <w:rFonts w:ascii="Times New Roman" w:hAnsi="Times New Roman"/>
          <w:sz w:val="20"/>
        </w:rPr>
        <w:t xml:space="preserve"> </w:t>
      </w:r>
      <w:r>
        <w:rPr>
          <w:rFonts w:ascii="Arial;sans-serif" w:hAnsi="Arial;sans-serif"/>
          <w:b w:val="false"/>
          <w:sz w:val="20"/>
        </w:rPr>
        <w:t>plaintiffs</w:t>
      </w:r>
      <w:r>
        <w:rPr>
          <w:rFonts w:ascii="Times New Roman" w:hAnsi="Times New Roman"/>
          <w:sz w:val="20"/>
        </w:rPr>
        <w:t xml:space="preserve"> </w:t>
      </w:r>
      <w:r>
        <w:rPr>
          <w:rFonts w:ascii="Arial;sans-serif" w:hAnsi="Arial;sans-serif"/>
          <w:b w:val="false"/>
          <w:sz w:val="20"/>
        </w:rPr>
        <w:t>seek unspecified compensatory damages, reasonable costs and expenses, including attorneys’ fees, and injunctive and other equitable relief.</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On August 9, 2021, the court issued an order consolidating the three cases. On October 5, 2021, the district court issued an order appointing lead plaintiffs and approved their selection of lead and liaison counsel.</w:t>
      </w:r>
    </w:p>
    <w:p>
      <w:pPr>
        <w:pStyle w:val="TextBody"/>
        <w:bidi w:val="0"/>
        <w:spacing w:before="280" w:after="0"/>
        <w:jc w:val="both"/>
        <w:rPr>
          <w:rFonts w:ascii="Times New Roman" w:hAnsi="Times New Roman"/>
          <w:sz w:val="20"/>
        </w:rPr>
      </w:pPr>
      <w:r>
        <w:rPr>
          <w:rFonts w:ascii="Arial;sans-serif" w:hAnsi="Arial;sans-serif"/>
          <w:b w:val="false"/>
          <w:sz w:val="20"/>
        </w:rPr>
        <w:t>On January 7, 2022, lead plaintiffs filed a consolidated amended complaint, which asserts violations of Sections 10(b) and 20(a) of the Securities Exchange Act and SEC Rule 10b-5 and Sections 11, 12, and 15 of the Securities Act. The consolidated amended complaint is brought against us, Dr. Kawas, our then chief financial officer, certain members of our board of directors at the time of our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w:t>
      </w:r>
      <w:r>
        <w:rPr>
          <w:rFonts w:ascii="Times New Roman" w:hAnsi="Times New Roman"/>
          <w:sz w:val="20"/>
        </w:rPr>
        <w:t xml:space="preserve"> </w:t>
      </w:r>
      <w:r>
        <w:rPr>
          <w:rFonts w:ascii="Arial;sans-serif" w:hAnsi="Arial;sans-serif"/>
          <w:b w:val="false"/>
          <w:sz w:val="20"/>
        </w:rPr>
        <w:t>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pStyle w:val="TextBody"/>
        <w:bidi w:val="0"/>
        <w:spacing w:before="240" w:after="0"/>
        <w:jc w:val="center"/>
        <w:rPr>
          <w:rFonts w:ascii="Arial;sans-serif" w:hAnsi="Arial;sans-serif"/>
          <w:b w:val="false"/>
          <w:sz w:val="20"/>
        </w:rPr>
      </w:pPr>
      <w:r>
        <w:rPr>
          <w:rFonts w:ascii="Arial;sans-serif" w:hAnsi="Arial;sans-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Arial;sans-serif" w:hAnsi="Arial;sans-serif"/>
          <w:b w:val="false"/>
          <w:sz w:val="20"/>
        </w:rPr>
        <w:t>On August 12, 2022, defendant Dr. Kawas filed a motion for partial reconsideration of the court’s July 29, 2022 order. On October 4, 2022, the court denied the motion.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we and Dr. Kawas filed our individual answers to the consolidated amended complaint. In mid-November 2022, the parties began conducting fact discovery.</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On March 10, 2023, following a mediation and the parties’ agreement in principle to settle the securities class action for $10 million,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w:t>
      </w:r>
    </w:p>
    <w:p>
      <w:pPr>
        <w:pStyle w:val="TextBody"/>
        <w:bidi w:val="0"/>
        <w:spacing w:before="280" w:after="0"/>
        <w:jc w:val="both"/>
        <w:rPr>
          <w:rFonts w:ascii="Arial;sans-serif" w:hAnsi="Arial;sans-serif"/>
          <w:b w:val="false"/>
          <w:sz w:val="20"/>
        </w:rPr>
      </w:pPr>
      <w:r>
        <w:rPr>
          <w:rFonts w:ascii="Arial;sans-serif" w:hAnsi="Arial;sans-serif"/>
          <w:b w:val="false"/>
          <w:sz w:val="20"/>
        </w:rPr>
        <w:t>As a result of the foregoing, we recorded a legal settlement expense of $10.0 million in operating expenses in the fourth quarter of 2022 and an accrued liability of $10.0 million on the accompanying unaudited condensed consolidated balance sheets.</w:t>
      </w:r>
    </w:p>
    <w:p>
      <w:pPr>
        <w:pStyle w:val="TextBody"/>
        <w:bidi w:val="0"/>
        <w:spacing w:before="280" w:after="0"/>
        <w:jc w:val="both"/>
        <w:rPr>
          <w:rFonts w:ascii="Arial;sans-serif" w:hAnsi="Arial;sans-serif"/>
          <w:b/>
          <w:sz w:val="20"/>
        </w:rPr>
      </w:pPr>
      <w:r>
        <w:rPr>
          <w:rFonts w:ascii="Arial;sans-serif" w:hAnsi="Arial;sans-serif"/>
          <w:b/>
          <w:sz w:val="20"/>
        </w:rPr>
        <w:t>Shareholder Derivative Actions</w:t>
      </w:r>
    </w:p>
    <w:p>
      <w:pPr>
        <w:pStyle w:val="TextBody"/>
        <w:bidi w:val="0"/>
        <w:spacing w:before="280" w:after="0"/>
        <w:jc w:val="both"/>
        <w:rPr>
          <w:rFonts w:ascii="Times New Roman" w:hAnsi="Times New Roman"/>
          <w:sz w:val="20"/>
        </w:rPr>
      </w:pPr>
      <w:r>
        <w:rPr>
          <w:rFonts w:ascii="Arial;sans-serif" w:hAnsi="Arial;sans-serif"/>
          <w:b w:val="false"/>
          <w:sz w:val="20"/>
        </w:rPr>
        <w:t xml:space="preserve">On April 14, 2022, a shareholder derivative action was filed by plaintiff Stephen Bushansky in the U.S. District Court for the Western District of Washington against certain current and former members of our board of directors, captioned </w:t>
      </w:r>
      <w:r>
        <w:rPr>
          <w:rFonts w:ascii="Arial;sans-serif" w:hAnsi="Arial;sans-serif"/>
          <w:b w:val="false"/>
          <w:i/>
          <w:sz w:val="20"/>
        </w:rPr>
        <w:t>Bushansky v. Kawas et al.</w:t>
      </w:r>
      <w:r>
        <w:rPr>
          <w:rFonts w:ascii="Arial;sans-serif" w:hAnsi="Arial;sans-serif"/>
          <w:b w:val="false"/>
          <w:sz w:val="20"/>
        </w:rPr>
        <w:t>, No. 2:22-cv-497. Plaintiff purports to bring the action derivatively on our behalf, and we are a nominal defendant to the action. The derivative complaint alleges that our board of directors breached its fiduciary duties by failing to prevent alleged misstatements in our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pStyle w:val="TextBody"/>
        <w:bidi w:val="0"/>
        <w:spacing w:before="280" w:after="0"/>
        <w:jc w:val="both"/>
        <w:rPr>
          <w:rFonts w:ascii="Times New Roman" w:hAnsi="Times New Roman"/>
          <w:sz w:val="20"/>
        </w:rPr>
      </w:pPr>
      <w:r>
        <w:rPr>
          <w:rFonts w:ascii="Arial;sans-serif" w:hAnsi="Arial;sans-serif"/>
          <w:b w:val="false"/>
          <w:sz w:val="20"/>
        </w:rPr>
        <w:t xml:space="preserve">On May 6, 2022, a second shareholder derivative action was filed by plaintiff Thomas Houlihan in the U.S. District Court for the Western District of Washington against certain of our current and former directors and officers, captioned </w:t>
      </w:r>
      <w:r>
        <w:rPr>
          <w:rFonts w:ascii="Arial;sans-serif" w:hAnsi="Arial;sans-serif"/>
          <w:b w:val="false"/>
          <w:i/>
          <w:sz w:val="20"/>
        </w:rPr>
        <w:t>Houlihan v. Kawas et al</w:t>
      </w:r>
      <w:r>
        <w:rPr>
          <w:rFonts w:ascii="Arial;sans-serif" w:hAnsi="Arial;sans-serif"/>
          <w:b w:val="false"/>
          <w:sz w:val="20"/>
        </w:rPr>
        <w:t>., No. 2:22-cv-620. Plaintiff purports to bring the action derivatively on our behalf, and we are a nominal defendant to the action. The derivative complaint alleges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pStyle w:val="TextBody"/>
        <w:bidi w:val="0"/>
        <w:spacing w:before="280" w:after="0"/>
        <w:jc w:val="both"/>
        <w:rPr>
          <w:rFonts w:ascii="Arial;sans-serif" w:hAnsi="Arial;sans-serif"/>
          <w:b w:val="false"/>
          <w:sz w:val="20"/>
        </w:rPr>
      </w:pPr>
      <w:r>
        <w:rPr>
          <w:rFonts w:ascii="Arial;sans-serif" w:hAnsi="Arial;sans-serif"/>
          <w:b w:val="false"/>
          <w:sz w:val="20"/>
        </w:rPr>
        <w:t>On May 26, 2022, the court issued an order consolidating the cases and staying them until further order of the court. We believe we have adequate reserves related to this matter as of the balance sheet date.</w:t>
      </w:r>
    </w:p>
    <w:p>
      <w:pPr>
        <w:pStyle w:val="TextBody"/>
        <w:bidi w:val="0"/>
        <w:spacing w:before="280" w:after="0"/>
        <w:jc w:val="both"/>
        <w:rPr>
          <w:rFonts w:ascii="Arial;sans-serif" w:hAnsi="Arial;sans-serif"/>
          <w:b/>
          <w:sz w:val="20"/>
        </w:rPr>
      </w:pPr>
      <w:r>
        <w:rPr>
          <w:rFonts w:ascii="Arial;sans-serif" w:hAnsi="Arial;sans-serif"/>
          <w:b/>
          <w:sz w:val="20"/>
        </w:rPr>
        <w:t>Government Investigations</w:t>
      </w:r>
    </w:p>
    <w:p>
      <w:pPr>
        <w:pStyle w:val="TextBody"/>
        <w:bidi w:val="0"/>
        <w:spacing w:before="280" w:after="0"/>
        <w:jc w:val="both"/>
        <w:rPr>
          <w:rFonts w:ascii="Times New Roman" w:hAnsi="Times New Roman"/>
          <w:sz w:val="20"/>
        </w:rPr>
      </w:pPr>
      <w:r>
        <w:rPr>
          <w:rFonts w:ascii="Arial;sans-serif" w:hAnsi="Arial;sans-serif"/>
          <w:b w:val="false"/>
          <w:sz w:val="20"/>
        </w:rPr>
        <w:t>In November 2022, we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We are cooperating with the Department of Justice with respect to the Demand</w:t>
      </w:r>
      <w:r>
        <w:rPr>
          <w:rFonts w:ascii="Arial;sans-serif" w:hAnsi="Arial;sans-serif"/>
          <w:b/>
          <w:sz w:val="20"/>
        </w:rPr>
        <w:t>.</w:t>
      </w:r>
    </w:p>
    <w:p>
      <w:pPr>
        <w:pStyle w:val="TextBody"/>
        <w:bidi w:val="0"/>
        <w:spacing w:before="280" w:after="0"/>
        <w:jc w:val="both"/>
        <w:rPr>
          <w:rFonts w:ascii="Times New Roman" w:hAnsi="Times New Roman"/>
          <w:sz w:val="20"/>
        </w:rPr>
      </w:pPr>
      <w:r>
        <w:rPr>
          <w:rFonts w:ascii="Arial;sans-serif" w:hAnsi="Arial;sans-serif"/>
          <w:b w:val="false"/>
          <w:sz w:val="20"/>
        </w:rPr>
        <w:t>In February 2023, the Securities and Exchange Commission, or SEC, sent us a subpoena seeking documents and information relating to, among other things, our former chief executive officer's alterations of images in certain research papers. We are cooperating with the SEC with respect to the subpoena</w:t>
      </w:r>
      <w:r>
        <w:rPr>
          <w:rFonts w:ascii="Arial;sans-serif" w:hAnsi="Arial;sans-serif"/>
          <w:b/>
          <w:sz w:val="20"/>
        </w:rPr>
        <w:t>.</w:t>
      </w:r>
    </w:p>
    <w:p>
      <w:pPr>
        <w:pStyle w:val="TextBody"/>
        <w:bidi w:val="0"/>
        <w:spacing w:before="240" w:after="0"/>
        <w:jc w:val="center"/>
        <w:rPr>
          <w:rFonts w:ascii="Arial;sans-serif" w:hAnsi="Arial;sans-serif"/>
          <w:b w:val="false"/>
          <w:sz w:val="20"/>
        </w:rPr>
      </w:pPr>
      <w:r>
        <w:rPr>
          <w:rFonts w:ascii="Arial;sans-serif" w:hAnsi="Arial;sans-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Arial;sans-serif" w:hAnsi="Arial;sans-serif"/>
          <w:b w:val="false"/>
          <w:sz w:val="20"/>
        </w:rPr>
      </w:pPr>
      <w:r>
        <w:rPr>
          <w:rFonts w:ascii="Arial;sans-serif" w:hAnsi="Arial;sans-serif"/>
          <w:b w:val="false"/>
          <w:sz w:val="20"/>
        </w:rPr>
        <w:t>We cannot predict the outcome of these lawsuits or government investigations. Failure by us to obtain a favorable resolution of these actions could have a material adverse effect on our business, results of operations and financial condition.</w:t>
      </w:r>
    </w:p>
    <w:p>
      <w:pPr>
        <w:pStyle w:val="TextBody"/>
        <w:bidi w:val="0"/>
        <w:spacing w:before="280" w:after="0"/>
        <w:jc w:val="both"/>
        <w:rPr>
          <w:rFonts w:ascii="Arial;sans-serif" w:hAnsi="Arial;sans-serif"/>
          <w:b/>
          <w:sz w:val="20"/>
        </w:rPr>
      </w:pPr>
      <w:bookmarkStart w:id="14" w:name="item_1a_risk_factors"/>
      <w:bookmarkEnd w:id="14"/>
      <w:r>
        <w:rPr>
          <w:rFonts w:ascii="Arial;sans-serif" w:hAnsi="Arial;sans-serif"/>
          <w:b/>
          <w:sz w:val="20"/>
        </w:rPr>
        <w:t>Item 1A. Risk Factors.</w:t>
      </w:r>
    </w:p>
    <w:p>
      <w:pPr>
        <w:pStyle w:val="TextBody"/>
        <w:bidi w:val="0"/>
        <w:spacing w:before="280" w:after="0"/>
        <w:jc w:val="both"/>
        <w:rPr>
          <w:rFonts w:ascii="Times New Roman" w:hAnsi="Times New Roman"/>
          <w:sz w:val="20"/>
        </w:rPr>
      </w:pPr>
      <w:r>
        <w:rPr>
          <w:rFonts w:ascii="Arial;sans-serif" w:hAnsi="Arial;sans-serif"/>
          <w:b w:val="false"/>
          <w:sz w:val="20"/>
        </w:rPr>
        <w:t xml:space="preserve">You should carefully consider the </w:t>
      </w:r>
      <w:r>
        <w:rPr>
          <w:rFonts w:ascii="Arial;sans-serif" w:hAnsi="Arial;sans-serif"/>
          <w:b w:val="false"/>
          <w:i/>
          <w:sz w:val="20"/>
        </w:rPr>
        <w:t xml:space="preserve">following risk factors, in addition to </w:t>
      </w:r>
      <w:r>
        <w:rPr>
          <w:rFonts w:ascii="Arial;sans-serif" w:hAnsi="Arial;sans-serif"/>
          <w:b w:val="false"/>
          <w:sz w:val="20"/>
        </w:rPr>
        <w:t xml:space="preserve">the other information </w:t>
      </w:r>
      <w:r>
        <w:rPr>
          <w:rFonts w:ascii="Arial;sans-serif" w:hAnsi="Arial;sans-serif"/>
          <w:b w:val="false"/>
          <w:i/>
          <w:sz w:val="20"/>
        </w:rPr>
        <w:t>contained in this report</w:t>
      </w:r>
      <w:r>
        <w:rPr>
          <w:rFonts w:ascii="Arial;sans-serif" w:hAnsi="Arial;sans-serif"/>
          <w:b w:val="false"/>
          <w:sz w:val="20"/>
        </w:rPr>
        <w:t xml:space="preserve">, </w:t>
      </w:r>
      <w:r>
        <w:rPr>
          <w:rFonts w:ascii="Arial;sans-serif" w:hAnsi="Arial;sans-serif"/>
          <w:b w:val="false"/>
          <w:i/>
          <w:sz w:val="20"/>
        </w:rPr>
        <w:t>including the “Management’s Discussion and Analysis of Financial Condition and Results of Operations”</w:t>
      </w:r>
      <w:r>
        <w:rPr>
          <w:rFonts w:ascii="Times New Roman" w:hAnsi="Times New Roman"/>
          <w:sz w:val="20"/>
        </w:rPr>
        <w:t xml:space="preserve"> </w:t>
      </w:r>
      <w:r>
        <w:rPr>
          <w:rFonts w:ascii="Arial;sans-serif" w:hAnsi="Arial;sans-serif"/>
          <w:b w:val="false"/>
          <w:i/>
          <w:sz w:val="20"/>
        </w:rPr>
        <w:t>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0"/>
        <w:jc w:val="both"/>
        <w:rPr>
          <w:rFonts w:ascii="Arial;sans-serif" w:hAnsi="Arial;sans-serif"/>
          <w:b/>
          <w:sz w:val="20"/>
        </w:rPr>
      </w:pPr>
      <w:r>
        <w:rPr>
          <w:rFonts w:ascii="Arial;sans-serif" w:hAnsi="Arial;sans-serif"/>
          <w:b/>
          <w:sz w:val="20"/>
        </w:rPr>
        <w:t>Risks Relating to Our Business and the Development of Our Product Candidates</w:t>
      </w:r>
    </w:p>
    <w:p>
      <w:pPr>
        <w:pStyle w:val="TextBody"/>
        <w:bidi w:val="0"/>
        <w:spacing w:before="240" w:after="0"/>
        <w:jc w:val="both"/>
        <w:rPr>
          <w:rFonts w:ascii="Arial;sans-serif" w:hAnsi="Arial;sans-serif"/>
          <w:b/>
          <w:i/>
          <w:sz w:val="20"/>
        </w:rPr>
      </w:pPr>
      <w:r>
        <w:rPr>
          <w:rFonts w:ascii="Arial;sans-serif" w:hAnsi="Arial;sans-serif"/>
          <w:b/>
          <w:i/>
          <w:sz w:val="20"/>
        </w:rPr>
        <w:t>We are a late clinical-stage biopharmaceutical company with a limited operating history.</w:t>
      </w:r>
    </w:p>
    <w:p>
      <w:pPr>
        <w:pStyle w:val="TextBody"/>
        <w:bidi w:val="0"/>
        <w:spacing w:before="240" w:after="0"/>
        <w:jc w:val="both"/>
        <w:rPr>
          <w:rFonts w:ascii="Times New Roman" w:hAnsi="Times New Roman"/>
          <w:sz w:val="20"/>
        </w:rPr>
      </w:pPr>
      <w:r>
        <w:rPr>
          <w:rFonts w:ascii="Arial;sans-serif" w:hAnsi="Arial;sans-serif"/>
          <w:b w:val="false"/>
          <w:sz w:val="20"/>
        </w:rPr>
        <w:t>We are a late clinical-stage biopharmaceutical company focused on developing small molecules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may fail to or be unable to design and execute clinical trials to support marketing approval of fosgonimeton or any of our other product candidates.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(including potential confirmatory or Phase 3 registrational trials). Even if regulatory approval is secured for any of our product candidates, the terms of such approval may limit the scope and use of our product candidate, which may also limit its commercial potential.</w:t>
      </w:r>
    </w:p>
    <w:p>
      <w:pPr>
        <w:pStyle w:val="TextBody"/>
        <w:bidi w:val="0"/>
        <w:spacing w:before="240" w:after="0"/>
        <w:jc w:val="both"/>
        <w:rPr>
          <w:rFonts w:ascii="Times New Roman" w:hAnsi="Times New Roman"/>
          <w:sz w:val="20"/>
        </w:rPr>
      </w:pPr>
      <w:r>
        <w:rPr>
          <w:rFonts w:ascii="Arial;sans-serif" w:hAnsi="Arial;sans-serif"/>
          <w:b/>
          <w:i/>
          <w:sz w:val="20"/>
        </w:rPr>
        <w:t>Our ability to generate revenue and achieve profitability depends significantly on our ability to achieve a number of objectives.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fosgonimeton and one or more of our other future product candidates. Our ability to generate revenue and achieve profitability depends significantly on our ability to achieve a number of objectives,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successful and timely completion of nonclinical and clinical development of our product candidates and any future product candidates, as well as the associated costs, including any unforeseen costs;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establishing and maintaining relationships with contract research organizations, or CROs, and clinical sites for the clinical development, both in the United States and internationally, of our product candidates and any future product candidates;</w:t>
      </w:r>
    </w:p>
    <w:p>
      <w:pPr>
        <w:pStyle w:val="TextBody"/>
        <w:bidi w:val="0"/>
        <w:spacing w:before="240" w:after="0"/>
        <w:jc w:val="center"/>
        <w:rPr>
          <w:rFonts w:ascii="Arial;sans-serif" w:hAnsi="Arial;sans-serif"/>
          <w:b w:val="false"/>
          <w:sz w:val="20"/>
        </w:rPr>
      </w:pPr>
      <w:r>
        <w:rPr>
          <w:rFonts w:ascii="Arial;sans-serif" w:hAnsi="Arial;sans-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timely receipt of marketing approvals from applicable regulatory authorities for any product candidates for which we successfully complete clinical development;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making any required post-marketing approval commitments to applicable regulatory authorities;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developing an efficient and scalable manufacturing process for our product candidates, including obtaining finished products that are appropriately packaged for sale;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successful commercial launch following any marketing approval, including the development of a commercial infrastructure, whether inhouse or with one or more collaborators;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 continued acceptable safety profile following any marketing approval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commercial acceptance of our product candidates by patients, the medical community and third-party payors;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identifying, assessing and developing new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obtaining, maintaining and expanding patent protection, trade secret protection and regulatory exclusivity, both in the United States and internationally;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protecting our rights in our intellectual property portfolio;</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defending against third-party interference or infringement claims, if any;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negotiating favorable terms in any collaboration, licensing or other arrangements that may be necessary or desirable to develop, manufacture or commercialize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obtaining coverage and adequate reimbursement by hospitals, government and third-party payors for product candidates that we develop;</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addressing any competing therapies and technological and market developments;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attracting, hiring and retaining qualified personnel.</w:t>
      </w:r>
    </w:p>
    <w:p>
      <w:pPr>
        <w:pStyle w:val="TextBody"/>
        <w:bidi w:val="0"/>
        <w:spacing w:before="240" w:after="0"/>
        <w:jc w:val="both"/>
        <w:rPr>
          <w:rFonts w:ascii="Arial;sans-serif" w:hAnsi="Arial;sans-serif"/>
          <w:b w:val="false"/>
          <w:sz w:val="20"/>
        </w:rPr>
      </w:pPr>
      <w:r>
        <w:rPr>
          <w:rFonts w:ascii="Arial;sans-serif" w:hAnsi="Arial;sans-serif"/>
          <w:b w:val="false"/>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before="240" w:after="0"/>
        <w:jc w:val="both"/>
        <w:rPr>
          <w:rFonts w:ascii="Arial;sans-serif" w:hAnsi="Arial;sans-serif"/>
          <w:b w:val="false"/>
          <w:sz w:val="20"/>
        </w:rPr>
      </w:pPr>
      <w:r>
        <w:rPr>
          <w:rFonts w:ascii="Arial;sans-serif" w:hAnsi="Arial;sans-serif"/>
          <w:b w:val="false"/>
          <w:sz w:val="20"/>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and potential confirmatory or Phase 3 registrational trials, to demonstrate consistent and continued safety and efficacy.</w:t>
      </w:r>
    </w:p>
    <w:p>
      <w:pPr>
        <w:pStyle w:val="TextBody"/>
        <w:bidi w:val="0"/>
        <w:spacing w:before="240" w:after="0"/>
        <w:jc w:val="both"/>
        <w:rPr>
          <w:rFonts w:ascii="Arial;sans-serif" w:hAnsi="Arial;sans-serif"/>
          <w:b w:val="false"/>
          <w:sz w:val="20"/>
        </w:rPr>
      </w:pPr>
      <w:r>
        <w:rPr>
          <w:rFonts w:ascii="Arial;sans-serif" w:hAnsi="Arial;sans-serif"/>
          <w:b w:val="false"/>
          <w:sz w:val="20"/>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pStyle w:val="TextBody"/>
        <w:bidi w:val="0"/>
        <w:spacing w:before="240" w:after="0"/>
        <w:jc w:val="center"/>
        <w:rPr>
          <w:rFonts w:ascii="Arial;sans-serif" w:hAnsi="Arial;sans-serif"/>
          <w:b w:val="false"/>
          <w:sz w:val="20"/>
        </w:rPr>
      </w:pPr>
      <w:r>
        <w:rPr>
          <w:rFonts w:ascii="Arial;sans-serif" w:hAnsi="Arial;sans-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Our development of fosgonimeton may never lead to a marketable product.</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The primary and all secondary endpoints of the ACT-AD trial were not met by protocoled analysis. While we are continuing with the LIFT-AD study, we may not succeed in demonstrating safety and efficacy of fosgonimeton in our LIFT-AD trial or in other clinical trials.</w:t>
      </w:r>
    </w:p>
    <w:p>
      <w:pPr>
        <w:pStyle w:val="TextBody"/>
        <w:bidi w:val="0"/>
        <w:spacing w:before="240" w:after="0"/>
        <w:jc w:val="both"/>
        <w:rPr>
          <w:rFonts w:ascii="Arial;sans-serif" w:hAnsi="Arial;sans-serif"/>
          <w:b w:val="false"/>
          <w:sz w:val="20"/>
        </w:rPr>
      </w:pPr>
      <w:r>
        <w:rPr>
          <w:rFonts w:ascii="Arial;sans-serif" w:hAnsi="Arial;sans-serif"/>
          <w:b w:val="false"/>
          <w:sz w:val="20"/>
        </w:rPr>
        <w:t>Advancing fosgonimeton as a small molecule aimed at restoring neuronal health creates significant challenges for us,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obtaining marketing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if fosgonimeton is approved, educating medical personnel regarding the potential efficacy and safety benefits, as well as the challenges, of incorporating fosgonimeton into existing treatment regimens, including in combination with other treatments for AD or as a monotherapy;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establishing the sales and marketing capabilities upon obtaining any marketing approvals to gain market acceptance.</w:t>
      </w:r>
    </w:p>
    <w:p>
      <w:pPr>
        <w:pStyle w:val="TextBody"/>
        <w:bidi w:val="0"/>
        <w:spacing w:before="240" w:after="0"/>
        <w:jc w:val="both"/>
        <w:rPr>
          <w:rFonts w:ascii="Arial;sans-serif" w:hAnsi="Arial;sans-serif"/>
          <w:b w:val="false"/>
          <w:sz w:val="20"/>
        </w:rPr>
      </w:pPr>
      <w:r>
        <w:rPr>
          <w:rFonts w:ascii="Arial;sans-serif" w:hAnsi="Arial;sans-serif"/>
          <w:b w:val="false"/>
          <w:sz w:val="20"/>
        </w:rPr>
        <w:t>Our prospects are highly dependent on the successful development of fosgonimeton. If we do not demonstrate the safety and efficacy of fosgonimeton in our LIFT-AD trial, we may explore strategic alternatives to maximize stockholder value, which could involve, without limitation, exploring the potential for a possible merger, business combination, investment, a purchase, license or other acquisition of assets or return of capital to stockholders.</w:t>
      </w:r>
    </w:p>
    <w:p>
      <w:pPr>
        <w:pStyle w:val="TextBody"/>
        <w:bidi w:val="0"/>
        <w:spacing w:before="240" w:after="0"/>
        <w:jc w:val="both"/>
        <w:rPr>
          <w:rFonts w:ascii="Times New Roman" w:hAnsi="Times New Roman"/>
          <w:sz w:val="20"/>
        </w:rPr>
      </w:pPr>
      <w:r>
        <w:rPr>
          <w:rFonts w:ascii="Arial;sans-serif" w:hAnsi="Arial;sans-serif"/>
          <w:b/>
          <w:i/>
          <w:sz w:val="20"/>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have discovered and are developing a platform of small molecule product candidates from which we have selected our lead product candidate, fosgonimeton, which is under development to treat AD, Parkinson’s Disease Dementia, or PDD, and Dementia with Lewy Bodies, or DLB. Our product candidates target an endogenous brain growth factor which is expected to protect and repair neuronal networks, which we believe could ultimately result in improvements in clinical outcomes and disease-relevant biomarkers. The therapeutic promise of brain growth factors in neurodegenerative diseases had been hampered in earlier therapies by the lack of efficient and non-invasive delivery to the brain. Our small molecule product candidates are designed to penetrate the blood brain barrier and enhance the activity of a brain growth factor, but we cannot be certain of the safety and efficacy of our product candidates in applicable patients or that our clinical trials will provide sufficient evidence that our design approach results in the intended therapeutic effect.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Based on the results of our nonclinical and clinical studies to date, we believe fosgonimeton has the potential to rapidly improve cognition, function and restore the lives of patients suffering from AD. However, these ideas and this approach are novel, and we currently have limited data based on our Phase 1a/b and Phase 2 clinical trials to date.</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primary and all secondary endpoints of our Phase 2 ACT-AD clinical trial were not met by protocoled analysis. A subsequent post hoc analysis of the data in a pre-specified subgroup from patients on fosgonimeton without background therapy, or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Following an unblinded interim efficacy and futility analysis, an independent data monitoring committee recommended continuation of the LIFT-AD study of fosgonimeton in patients with mild-to-moderate AD. The committee also determined that, with the additional enrollment of fewer than 150 patients for a total enrollment of less than 300 patients without background therapy (AChEIs), the study will be well powered for the primary endpoint given the preliminary effect size observed. There is no assurance that the amendments to our ongoing LIFT-AD trial based on our findings from the ACT-AD trial and our interim analyses will ultimately result in a successful trial. For example, our biomarker data may not translate into a statistically significant clinical benefit, FDA may not agree with our statistical plan or analyses, or the trial may not be sufficiently powered for our endpoint measures.</w:t>
      </w:r>
    </w:p>
    <w:p>
      <w:pPr>
        <w:pStyle w:val="TextBody"/>
        <w:bidi w:val="0"/>
        <w:spacing w:before="240" w:after="0"/>
        <w:jc w:val="both"/>
        <w:rPr>
          <w:rFonts w:ascii="Times New Roman" w:hAnsi="Times New Roman"/>
          <w:sz w:val="20"/>
        </w:rPr>
      </w:pPr>
      <w:r>
        <w:rPr>
          <w:rFonts w:ascii="Arial;sans-serif" w:hAnsi="Arial;sans-serif"/>
          <w:b w:val="false"/>
          <w:sz w:val="20"/>
        </w:rPr>
        <w:t>Data from our Phase 1a/1b and Phase 2 clinical trials to date were obtained from a relatively small number of subjects and we cannot be certain that future trials involving a larger number of subjects and clinical sites will yield data in support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of the safety, efficacy and tolerability of our product candidates. We may ultimately discover that fosgonimeton, or any of our other small molecules, do not possess certain properties required for therapeutic effectiveness. We have limited evidence regarding the efficacy, safety and tolerability of fosgonimeton and other small molecules in our product platform. We may spend substantial funds attempting to develop these product candidates and never succeed in doing so.</w:t>
      </w:r>
    </w:p>
    <w:p>
      <w:pPr>
        <w:pStyle w:val="TextBody"/>
        <w:bidi w:val="0"/>
        <w:spacing w:before="240" w:after="0"/>
        <w:jc w:val="both"/>
        <w:rPr>
          <w:rFonts w:ascii="Times New Roman" w:hAnsi="Times New Roman"/>
          <w:sz w:val="20"/>
        </w:rPr>
      </w:pPr>
      <w:r>
        <w:rPr>
          <w:rFonts w:ascii="Arial;sans-serif" w:hAnsi="Arial;sans-serif"/>
          <w:b/>
          <w:i/>
          <w:sz w:val="20"/>
        </w:rPr>
        <w:t>We have concentrated our research and development efforts on the treatment of central and peripheral nervous system degenerative disorders, a field that has seen very limited success in product development.</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have focused our research and development efforts on addressing central nervous system, or CNS, and peripheral nervous system, or PNS,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pStyle w:val="TextBody"/>
        <w:bidi w:val="0"/>
        <w:spacing w:before="240" w:after="0"/>
        <w:jc w:val="both"/>
        <w:rPr>
          <w:rFonts w:ascii="Times New Roman" w:hAnsi="Times New Roman"/>
          <w:sz w:val="20"/>
        </w:rPr>
      </w:pPr>
      <w:r>
        <w:rPr>
          <w:rFonts w:ascii="Arial;sans-serif" w:hAnsi="Arial;sans-serif"/>
          <w:b/>
          <w:i/>
          <w:sz w:val="20"/>
        </w:rPr>
        <w:t>An independent special committee of our board of directors engaged in a review of 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product candidates or ongoing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w:t>
      </w:r>
    </w:p>
    <w:p>
      <w:pPr>
        <w:pStyle w:val="TextBody"/>
        <w:bidi w:val="0"/>
        <w:spacing w:before="240" w:after="0"/>
        <w:jc w:val="both"/>
        <w:rPr>
          <w:rFonts w:ascii="Times New Roman" w:hAnsi="Times New Roman"/>
          <w:sz w:val="20"/>
        </w:rPr>
      </w:pPr>
      <w:r>
        <w:rPr>
          <w:rFonts w:ascii="Arial;sans-serif" w:hAnsi="Arial;sans-serif"/>
          <w:b w:val="false"/>
          <w:sz w:val="20"/>
        </w:rPr>
        <w:t>As disclosed elsewhere in this report, including in this “Risk Factors” section under the heading “</w:t>
      </w:r>
      <w:r>
        <w:rPr>
          <w:rFonts w:ascii="Times New Roman" w:hAnsi="Times New Roman"/>
          <w:sz w:val="20"/>
        </w:rPr>
        <w:t>—</w:t>
      </w:r>
      <w:r>
        <w:rPr>
          <w:rFonts w:ascii="Arial;sans-serif" w:hAnsi="Arial;sans-serif"/>
          <w:b w:val="false"/>
          <w:i/>
          <w:sz w:val="20"/>
        </w:rPr>
        <w:t>We and certain of our directors and executive officers have been, and may in the future be, named as defendants in lawsuits that could result in substantial costs and divert management’s attention</w:t>
      </w:r>
      <w:r>
        <w:rPr>
          <w:rFonts w:ascii="Arial;sans-serif" w:hAnsi="Arial;sans-serif"/>
          <w:b w:val="false"/>
          <w:sz w:val="20"/>
        </w:rPr>
        <w:t>,” and in “Part II, Item 1—Legal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and prospective employees may be less inclined to seek or continue employment with us. As a result, our business, financial condition, results of operations and cash flows could be materially adversely affected.</w:t>
      </w:r>
    </w:p>
    <w:p>
      <w:pPr>
        <w:pStyle w:val="TextBody"/>
        <w:bidi w:val="0"/>
        <w:spacing w:before="240" w:after="0"/>
        <w:jc w:val="both"/>
        <w:rPr>
          <w:rFonts w:ascii="Times New Roman" w:hAnsi="Times New Roman"/>
          <w:sz w:val="20"/>
        </w:rPr>
      </w:pPr>
      <w:r>
        <w:rPr>
          <w:rFonts w:ascii="Arial;sans-serif" w:hAnsi="Arial;sans-serif"/>
          <w:b/>
          <w:i/>
          <w:sz w:val="20"/>
        </w:rPr>
        <w:t>Washington State University has undertaken a review of claims of potential research misconduct involving our former chief executive officer’s doctoral research at Washington State University.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 our business and reputation. We are also unable to predict with any certainty when WSU’s investigation will be completed. It is possible that the ongoing investigation by WSU will come to different conclusions, or uncover additional or different information, than the investigation of the independent special committee of our board of directors, the conclusions of which are discussed under “—</w:t>
      </w:r>
      <w:r>
        <w:rPr>
          <w:rFonts w:ascii="Arial;sans-serif" w:hAnsi="Arial;sans-serif"/>
          <w:b w:val="false"/>
          <w:i/>
          <w:sz w:val="20"/>
        </w:rPr>
        <w:t>An independent special committee of our board of directors engaged in a review of 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Times New Roman" w:hAnsi="Times New Roman"/>
          <w:sz w:val="20"/>
        </w:rPr>
        <w:t>”</w:t>
      </w:r>
      <w:r>
        <w:rPr>
          <w:rFonts w:ascii="Arial;sans-serif" w:hAnsi="Arial;sans-serif"/>
          <w:b w:val="false"/>
          <w:sz w:val="20"/>
        </w:rPr>
        <w:t>. The conclusions from WSU’s investigation could have a material adverse impact on our 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product candidates.</w:t>
      </w:r>
    </w:p>
    <w:p>
      <w:pPr>
        <w:pStyle w:val="TextBody"/>
        <w:bidi w:val="0"/>
        <w:spacing w:before="240" w:after="0"/>
        <w:jc w:val="both"/>
        <w:rPr>
          <w:rFonts w:ascii="Arial;sans-serif" w:hAnsi="Arial;sans-serif"/>
          <w:b/>
          <w:i/>
          <w:sz w:val="20"/>
        </w:rPr>
      </w:pPr>
      <w:r>
        <w:rPr>
          <w:rFonts w:ascii="Arial;sans-serif" w:hAnsi="Arial;sans-serif"/>
          <w:b/>
          <w:i/>
          <w:sz w:val="20"/>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spacing w:before="240" w:after="0"/>
        <w:jc w:val="both"/>
        <w:rPr>
          <w:rFonts w:ascii="Times New Roman" w:hAnsi="Times New Roman"/>
          <w:sz w:val="20"/>
        </w:rPr>
      </w:pPr>
      <w:r>
        <w:rPr>
          <w:rFonts w:ascii="Arial;sans-serif" w:hAnsi="Arial;sans-serif"/>
          <w:b w:val="false"/>
          <w:sz w:val="20"/>
        </w:rPr>
        <w:t>We are and may in the future be subject to claims, lawsuits, arbitration proceedings, government investigations and other legal, regulatory and administrative proceedings. In November 2022, we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We are cooperating with the Department of Justice with respect to the Demand. In February 2023, the Securities and Exchange Commission, or SEC, sent us a subpoena seeking documents and information relating to, among other things, our former chief executive officer’s alteration of images in certain research papers. We are cooperating with the SEC with respect to the subpoena.</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outcome of these or any other investigations, claims,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240" w:after="0"/>
        <w:jc w:val="both"/>
        <w:rPr>
          <w:rFonts w:ascii="Times New Roman" w:hAnsi="Times New Roman"/>
          <w:sz w:val="20"/>
        </w:rPr>
      </w:pPr>
      <w:r>
        <w:rPr>
          <w:rFonts w:ascii="Arial;sans-serif" w:hAnsi="Arial;sans-serif"/>
          <w:b w:val="false"/>
          <w:sz w:val="20"/>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vendors or other third-parties, we could incur material costs and expenses that could adversely affect our business, results of operations or financial condition.</w:t>
      </w:r>
    </w:p>
    <w:p>
      <w:pPr>
        <w:pStyle w:val="TextBody"/>
        <w:bidi w:val="0"/>
        <w:spacing w:before="240" w:after="0"/>
        <w:jc w:val="both"/>
        <w:rPr>
          <w:rFonts w:ascii="Times New Roman" w:hAnsi="Times New Roman"/>
          <w:sz w:val="20"/>
        </w:rPr>
      </w:pPr>
      <w:r>
        <w:rPr>
          <w:rFonts w:ascii="Arial;sans-serif" w:hAnsi="Arial;sans-serif"/>
          <w:b/>
          <w:i/>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Our lead product candidate, fosgonimeton, is in clinical development for the potential treatment of AD, PDD and DLB. Our additional early product candidates, including ATH-1105 for ALS, are in preclinical development. It is impossible to predict when or if any of our product candidates will prove to be effective and safe in humans or will receive regulatory approval.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our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Phase 2 ACT-AD clinical trial, which included a larger patient population, approximately 60% of which were receiving standard-of-care AChEIs, did not meet its primary endpoint of a change in ERP P300 latency for the full study population nor did it meet the secondary endpoints. Although a post hoc analysis of results from ACT-AD in a pre-specified subgroup suggested positive effects on measures of cognition, function and neurodegeneration in patients taking fosgonimeton alone without background acetylcholinesterase inhibitors (AChEIs), we cannot be sure that data from future trials will support our earlier findings or demonstrate the safety and effectiveness of fosgonimeton for treatment of AD to the satisfaction of the FDA in order to support regulatory approval. Likewise, 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(including potential confirmatory or Phase 3 registrational trials), which could materially delay our anticipated development timelines, require additional funding for such additional clinical trials, and adversely impact our business.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For example, we believe the topline results of our Phase 2 ACT-AD clinical trial may have differed from the treatment data from our Phase 1a/b clinical trial at least in part due to differences in the patient population and treatment duration, and potential effects from background AChEI treatment. If future trials show that the effect of fosgonimeton when given in combination with add-on standard-of-care AChEIs is diminished, we may be required to seek a narrower indication or restrict our target population to those where fosgonimeton shows a greater effect, which could have a material adverse effect on our business and prospects.</w:t>
      </w:r>
    </w:p>
    <w:p>
      <w:pPr>
        <w:pStyle w:val="TextBody"/>
        <w:bidi w:val="0"/>
        <w:spacing w:before="240" w:after="0"/>
        <w:jc w:val="both"/>
        <w:rPr>
          <w:rFonts w:ascii="Times New Roman" w:hAnsi="Times New Roman"/>
          <w:sz w:val="20"/>
        </w:rPr>
      </w:pPr>
      <w:r>
        <w:rPr>
          <w:rFonts w:ascii="Arial;sans-serif" w:hAnsi="Arial;sans-serif"/>
          <w:b w:val="false"/>
          <w:sz w:val="20"/>
        </w:rPr>
        <w:t>On July 6, 2021, we announced the initiation of an open-label extension for the LIFT-AD and ACT-AD trials and in May 2022 we announced the extension of the open label extension for an additional 12 months. In May 2023, we amended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the open-label extension trial to further extend the trial by an additional 12 months. Upon completion of the 26-week treatment period during the LIFT-AD or ACT-AD trials, patients may continue on the open-label extension and receive treatment with fosgonimeton for up to an additional 30 months. Investigators and patients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pStyle w:val="TextBody"/>
        <w:bidi w:val="0"/>
        <w:spacing w:before="240" w:after="0"/>
        <w:jc w:val="both"/>
        <w:rPr>
          <w:rFonts w:ascii="Arial;sans-serif" w:hAnsi="Arial;sans-serif"/>
          <w:b w:val="false"/>
          <w:sz w:val="20"/>
        </w:rPr>
      </w:pPr>
      <w:r>
        <w:rPr>
          <w:rFonts w:ascii="Arial;sans-serif" w:hAnsi="Arial;sans-serif"/>
          <w:b w:val="false"/>
          <w:sz w:val="20"/>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FDA or comparable foreign regulatory authorities disagreeing as to the design or implementation of our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FDA or comparable foreign regulatory authorities disagreeing with our ATH clinical development strategy or statistical plan;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changes in governmental regulations or administrative actions;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delays in our ability to commence a clinical trial;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obtaining IRB approval at each clinical trial site;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recruiting an adequate number of suitable patients to participate in a clinical trial;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number of patients required for clinical trials of our product candidates may be larger than we anticipate;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having subjects complete a clinical trial or return for post-treatment follow-up;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clinical trial sites deviating from clinical trial protocol or dropping out of a clinical trial;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failure to demonstrate a benefit from using a product candidate;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addressing subject safety concerns that arise during the course of a clinical trial;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adding a sufficient number of clinical trial sites; or</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obtaining sufficient product supply of product candidate for use in nonclinical studies or clinical trials from third-party suppliers.</w:t>
      </w:r>
    </w:p>
    <w:p>
      <w:pPr>
        <w:pStyle w:val="TextBody"/>
        <w:bidi w:val="0"/>
        <w:spacing w:before="240" w:after="0"/>
        <w:jc w:val="both"/>
        <w:rPr>
          <w:rFonts w:ascii="Arial;sans-serif" w:hAnsi="Arial;sans-serif"/>
          <w:b w:val="false"/>
          <w:sz w:val="20"/>
        </w:rPr>
      </w:pPr>
      <w:r>
        <w:rPr>
          <w:rFonts w:ascii="Arial;sans-serif" w:hAnsi="Arial;sans-serif"/>
          <w:b w:val="false"/>
          <w:sz w:val="20"/>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0"/>
        <w:jc w:val="both"/>
        <w:rPr>
          <w:rFonts w:ascii="Times New Roman" w:hAnsi="Times New Roman"/>
          <w:sz w:val="20"/>
        </w:rPr>
      </w:pPr>
      <w:r>
        <w:rPr>
          <w:rFonts w:ascii="Arial;sans-serif" w:hAnsi="Arial;sans-serif"/>
          <w:b w:val="false"/>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before="240" w:after="0"/>
        <w:jc w:val="both"/>
        <w:rPr>
          <w:rFonts w:ascii="Arial;sans-serif" w:hAnsi="Arial;sans-serif"/>
          <w:b w:val="false"/>
          <w:sz w:val="20"/>
        </w:rPr>
      </w:pPr>
      <w:r>
        <w:rPr>
          <w:rFonts w:ascii="Arial;sans-serif" w:hAnsi="Arial;sans-serif"/>
          <w:b w:val="false"/>
          <w:sz w:val="20"/>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incur unplanned costs;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be delayed in or prevented from obtaining marketing approval for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 approval for indications or patient populations that are not as broad as intended or desired;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 approval with labeling that includes significant use or distribution restrictions or safety warnings including boxed warnings;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be subject to changes in the way the product is administered;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be required to perform additional clinical trials to support approval or be subject to additional post-marketing testing requirements;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have regulatory authorities withdraw their approval of the product or impose restrictions on its distribution in the form of a modified risk evaluation and mitigation strategy, or REMS;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be subject to the addition of labeling statements, such as warnings or contraindications;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be sued; or</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experience damage to our reputation.</w:t>
      </w:r>
    </w:p>
    <w:p>
      <w:pPr>
        <w:pStyle w:val="TextBody"/>
        <w:bidi w:val="0"/>
        <w:spacing w:before="240" w:after="0"/>
        <w:jc w:val="both"/>
        <w:rPr>
          <w:rFonts w:ascii="Times New Roman" w:hAnsi="Times New Roman"/>
          <w:sz w:val="20"/>
        </w:rPr>
      </w:pPr>
      <w:r>
        <w:rPr>
          <w:rFonts w:ascii="Arial;sans-serif" w:hAnsi="Arial;sans-serif"/>
          <w:b/>
          <w:i/>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0"/>
        <w:jc w:val="both"/>
        <w:rPr>
          <w:rFonts w:ascii="Arial;sans-serif" w:hAnsi="Arial;sans-serif"/>
          <w:b w:val="false"/>
          <w:sz w:val="20"/>
        </w:rPr>
      </w:pPr>
      <w:r>
        <w:rPr>
          <w:rFonts w:ascii="Arial;sans-serif" w:hAnsi="Arial;sans-serif"/>
          <w:b w:val="false"/>
          <w:sz w:val="20"/>
        </w:rPr>
        <w:t>From time to time, we may also disclose interim data from our nonclinical studies and clinical trials. For example, in October 2022 we announced that an independent data monitoring committee had conducted an unblinded interim efficacy and futility analysis with respect to our Phase 2/3 LIFT-AD clinical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0"/>
        <w:jc w:val="both"/>
        <w:rPr>
          <w:rFonts w:ascii="Times New Roman" w:hAnsi="Times New Roman"/>
          <w:sz w:val="20"/>
        </w:rPr>
      </w:pPr>
      <w:r>
        <w:rPr>
          <w:rFonts w:ascii="Arial;sans-serif" w:hAnsi="Arial;sans-serif"/>
          <w:b w:val="false"/>
          <w:sz w:val="20"/>
        </w:rPr>
        <w:t>Additionally, we rely on data received from clinical trials, whether preliminary or final, to inform decisions on future clinical trials, including trial design, trial size, and whether or not to initiate additional clinical trials (including any potential confirmatory or Phase 3 registrational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and expect to use these data to help inform strategic decisions in the future around current clinical trials and any additional trials that we may initiate. Topline results are based on a preliminary analysis of then-available data, and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a more comprehensive and full review of the data may result in different conclusions, which could have a negative impact on our decisions regarding any additional trials for fosgonimeton. There is no assurance that the amendments to our ongoing LIFT-AD trial based on our findings from the ACT-AD trial and our interim analysis of the LIFT-AD trial will ultimately result in a successful trial. For example, our biomarker data may not translate into a statistically significant clinical benefit, FDA may not agree with our statistical plan or analyses, or the trial may not be sufficiently powered for our endpoint measures.</w:t>
      </w:r>
    </w:p>
    <w:p>
      <w:pPr>
        <w:pStyle w:val="TextBody"/>
        <w:bidi w:val="0"/>
        <w:spacing w:before="240" w:after="0"/>
        <w:jc w:val="both"/>
        <w:rPr>
          <w:rFonts w:ascii="Arial;sans-serif" w:hAnsi="Arial;sans-serif"/>
          <w:b w:val="false"/>
          <w:sz w:val="20"/>
        </w:rPr>
      </w:pPr>
      <w:r>
        <w:rPr>
          <w:rFonts w:ascii="Arial;sans-serif" w:hAnsi="Arial;sans-serif"/>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240" w:after="0"/>
        <w:jc w:val="both"/>
        <w:rPr>
          <w:rFonts w:ascii="Times New Roman" w:hAnsi="Times New Roman"/>
          <w:sz w:val="20"/>
        </w:rPr>
      </w:pPr>
      <w:r>
        <w:rPr>
          <w:rFonts w:ascii="Arial;sans-serif" w:hAnsi="Arial;sans-serif"/>
          <w:b/>
          <w:i/>
          <w:sz w:val="20"/>
        </w:rPr>
        <w:t>If we experience delays or difficulties in the enrollment or retention of patients in clinical trials, our regulatory submissions or receipt of necessary marketing approvals could be delayed or prevented.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fosgonimeton could be negatively impacted. For example, enrollment in our ongoing clinical trials had slowed due to the effects of the COVID-19 pandemic, including governmental restrictions imposed in Australia, where certain of our clinical trial sites are located. In our ACT-AD clinical trial, this slowed recruitment resulted in a change in the timing of topline results from our Phase 2 ACT-AD clinical trial, which were announced in June 2022. We cannot ensure that similar enrollment issues will not occur again in the future. Even if we are successful in enrolling the targeted number of subjects in our trials, the FDA and other regulators may request additional clinical trials with larger numbers of subjects (including potential confirmatory or Phase 3 registrational trials) as a condition to any regulatory approval.</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0"/>
        <w:jc w:val="both"/>
        <w:rPr>
          <w:rFonts w:ascii="Times New Roman" w:hAnsi="Times New Roman"/>
          <w:sz w:val="20"/>
        </w:rPr>
      </w:pPr>
      <w:r>
        <w:rPr>
          <w:rFonts w:ascii="Arial;sans-serif" w:hAnsi="Arial;sans-serif"/>
          <w:b/>
          <w:i/>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testing, manufacturing, commercialization, regulatory approval process, 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pStyle w:val="TextBody"/>
        <w:bidi w:val="0"/>
        <w:spacing w:before="240" w:after="0"/>
        <w:jc w:val="both"/>
        <w:rPr>
          <w:rFonts w:ascii="Times New Roman" w:hAnsi="Times New Roman"/>
          <w:sz w:val="20"/>
        </w:rPr>
      </w:pPr>
      <w:r>
        <w:rPr>
          <w:rFonts w:ascii="Arial;sans-serif" w:hAnsi="Arial;sans-serif"/>
          <w:b w:val="false"/>
          <w:sz w:val="20"/>
        </w:rPr>
        <w:t>Product candidates that we may successfully develop and commercialize will compete with existing therapies and new therapies that may become available in the future. For example, the FDA recently granted traditional approval for lecanemab, a drug developed by Biogen Inc. and Eisai Co., Ltd., and Eli Lilly and Company is also developing product candidates for Alzheimer's disease.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For example, CMS announced a two-part National Coverage Determination under which Medicare will cover monoclonal antibodies that target amyloid (or plaque) for the treatment of Alzheimer’s disease that receive traditional approval from the FDA under coverage with evidence development. Additionally, for drugs that FDA has not determined to have shown a clinical benefit or that received an accelerated approval, Medicare will provide coverage in FDA or National Institutes of Health approved clinical trials. In June 2023, CMS announced that Medicare will cover new Alzheimer’s drugs with traditional FDA approval when a physician and clinical team participate in CMS’ registry to collect evidence about how these drugs work in the real world. Current and future CMS coverage restrictions on classes of drugs that encompass our product candidates could have a material adverse impact on our ability to commercialize our product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Business—Competition” in our Annual Report on Form 10-K filed with the SEC on March 23, 2023.</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240" w:after="0"/>
        <w:jc w:val="both"/>
        <w:rPr>
          <w:rFonts w:ascii="Times New Roman" w:hAnsi="Times New Roman"/>
          <w:sz w:val="20"/>
        </w:rPr>
      </w:pPr>
      <w:r>
        <w:rPr>
          <w:rFonts w:ascii="Arial;sans-serif" w:hAnsi="Arial;sans-serif"/>
          <w:b/>
          <w:i/>
          <w:sz w:val="20"/>
        </w:rPr>
        <w:t>We may develop product candidates in combination with other therapies, which exposes us to additional risks.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bidi w:val="0"/>
        <w:spacing w:before="240" w:after="0"/>
        <w:jc w:val="both"/>
        <w:rPr>
          <w:rFonts w:ascii="Times New Roman" w:hAnsi="Times New Roman"/>
          <w:sz w:val="20"/>
        </w:rPr>
      </w:pPr>
      <w:r>
        <w:rPr>
          <w:rFonts w:ascii="Arial;sans-serif" w:hAnsi="Arial;sans-serif"/>
          <w:b w:val="false"/>
          <w:sz w:val="20"/>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efficacy, quality, manufacturing or supply issues arise with, the drugs we choose to evaluate in combination with our product candidate we develop, we may be unable to obtain approval of or market such combination therapy.</w:t>
      </w:r>
    </w:p>
    <w:p>
      <w:pPr>
        <w:pStyle w:val="TextBody"/>
        <w:bidi w:val="0"/>
        <w:spacing w:before="240" w:after="0"/>
        <w:jc w:val="both"/>
        <w:rPr>
          <w:rFonts w:ascii="Times New Roman" w:hAnsi="Times New Roman"/>
          <w:sz w:val="20"/>
        </w:rPr>
      </w:pPr>
      <w:r>
        <w:rPr>
          <w:rFonts w:ascii="Arial;sans-serif" w:hAnsi="Arial;sans-serif"/>
          <w:b/>
          <w:i/>
          <w:sz w:val="20"/>
        </w:rPr>
        <w:t>Our long-term prospects depend in part upon discovering, developing and commercializing additional product candidates, which may fail in development or suffer delays that adversely affect their commercial viability.</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pStyle w:val="TextBody"/>
        <w:bidi w:val="0"/>
        <w:spacing w:before="240" w:after="0"/>
        <w:jc w:val="both"/>
        <w:rPr>
          <w:rFonts w:ascii="Arial;sans-serif" w:hAnsi="Arial;sans-serif"/>
          <w:b w:val="false"/>
          <w:sz w:val="20"/>
        </w:rPr>
      </w:pPr>
      <w:r>
        <w:rPr>
          <w:rFonts w:ascii="Arial;sans-serif" w:hAnsi="Arial;sans-serif"/>
          <w:b w:val="false"/>
          <w:sz w:val="20"/>
        </w:rPr>
        <w:t>The success of other future product candidates we may develop will depend on many factors, including the following: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generating sufficient data to support the initiation or continuation of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obtaining regulatory permission to initiate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contracting with the necessary parties to conduct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successful enrollment of patients in, and the completion of, clinical trials on a timely basis;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timely manufacture of sufficient quantities of the product candidate for use in clinical trials;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adverse events in the clinical trials.</w:t>
      </w:r>
    </w:p>
    <w:p>
      <w:pPr>
        <w:pStyle w:val="TextBody"/>
        <w:bidi w:val="0"/>
        <w:spacing w:before="240" w:after="0"/>
        <w:jc w:val="both"/>
        <w:rPr>
          <w:rFonts w:ascii="Arial;sans-serif" w:hAnsi="Arial;sans-serif"/>
          <w:b w:val="false"/>
          <w:sz w:val="20"/>
        </w:rPr>
      </w:pPr>
      <w:r>
        <w:rPr>
          <w:rFonts w:ascii="Arial;sans-serif" w:hAnsi="Arial;sans-serif"/>
          <w:b w:val="false"/>
          <w:sz w:val="20"/>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pStyle w:val="TextBody"/>
        <w:bidi w:val="0"/>
        <w:spacing w:before="240" w:after="0"/>
        <w:jc w:val="both"/>
        <w:rPr>
          <w:rFonts w:ascii="Arial;sans-serif" w:hAnsi="Arial;sans-serif"/>
          <w:b/>
          <w:i/>
          <w:sz w:val="20"/>
        </w:rPr>
      </w:pPr>
      <w:r>
        <w:rPr>
          <w:rFonts w:ascii="Arial;sans-serif" w:hAnsi="Arial;sans-serif"/>
          <w:b/>
          <w:i/>
          <w:sz w:val="20"/>
        </w:rPr>
        <w:t>We have conducted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pStyle w:val="TextBody"/>
        <w:bidi w:val="0"/>
        <w:spacing w:before="240" w:after="0"/>
        <w:jc w:val="both"/>
        <w:rPr>
          <w:rFonts w:ascii="Arial;sans-serif" w:hAnsi="Arial;sans-serif"/>
          <w:b w:val="false"/>
          <w:sz w:val="20"/>
        </w:rPr>
      </w:pPr>
      <w:r>
        <w:rPr>
          <w:rFonts w:ascii="Arial;sans-serif" w:hAnsi="Arial;sans-serif"/>
          <w:b w:val="false"/>
          <w:sz w:val="20"/>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product and development candidates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operations may be adversely affected.</w:t>
      </w:r>
    </w:p>
    <w:p>
      <w:pPr>
        <w:pStyle w:val="TextBody"/>
        <w:bidi w:val="0"/>
        <w:spacing w:before="240" w:after="0"/>
        <w:jc w:val="both"/>
        <w:rPr>
          <w:rFonts w:ascii="Arial;sans-serif" w:hAnsi="Arial;sans-serif"/>
          <w:b/>
          <w:i/>
          <w:sz w:val="20"/>
        </w:rPr>
      </w:pPr>
      <w:r>
        <w:rPr>
          <w:rFonts w:ascii="Arial;sans-serif" w:hAnsi="Arial;sans-serif"/>
          <w:b/>
          <w:i/>
          <w:sz w:val="20"/>
        </w:rPr>
        <w:t>The loss of any of our key personnel could significantly harm our business, results of operations and competitive position.</w:t>
      </w:r>
    </w:p>
    <w:p>
      <w:pPr>
        <w:pStyle w:val="TextBody"/>
        <w:bidi w:val="0"/>
        <w:spacing w:before="240" w:after="0"/>
        <w:jc w:val="both"/>
        <w:rPr>
          <w:rFonts w:ascii="Arial;sans-serif" w:hAnsi="Arial;sans-serif"/>
          <w:b w:val="false"/>
          <w:sz w:val="20"/>
        </w:rPr>
      </w:pPr>
      <w:r>
        <w:rPr>
          <w:rFonts w:ascii="Arial;sans-serif" w:hAnsi="Arial;sans-serif"/>
          <w:b w:val="false"/>
          <w:sz w:val="20"/>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The loss of one or more of these key employees, or our inability to hire additional key personnel when needed, could have a material adverse effect on our business and prospects.</w:t>
      </w:r>
    </w:p>
    <w:p>
      <w:pPr>
        <w:pStyle w:val="TextBody"/>
        <w:bidi w:val="0"/>
        <w:spacing w:before="240" w:after="0"/>
        <w:jc w:val="center"/>
        <w:rPr>
          <w:rFonts w:ascii="Arial;sans-serif" w:hAnsi="Arial;sans-serif"/>
          <w:b w:val="false"/>
          <w:sz w:val="20"/>
        </w:rPr>
      </w:pPr>
      <w:r>
        <w:rPr>
          <w:rFonts w:ascii="Arial;sans-serif" w:hAnsi="Arial;sans-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sz w:val="20"/>
        </w:rPr>
      </w:pPr>
      <w:r>
        <w:rPr>
          <w:rFonts w:ascii="Arial;sans-serif" w:hAnsi="Arial;sans-serif"/>
          <w:b/>
          <w:sz w:val="20"/>
        </w:rPr>
        <w:t>Risks Relating to Health Epidemics</w:t>
      </w:r>
    </w:p>
    <w:p>
      <w:pPr>
        <w:pStyle w:val="TextBody"/>
        <w:bidi w:val="0"/>
        <w:spacing w:before="240" w:after="0"/>
        <w:jc w:val="both"/>
        <w:rPr>
          <w:rFonts w:ascii="Arial;sans-serif" w:hAnsi="Arial;sans-serif"/>
          <w:b/>
          <w:i/>
          <w:sz w:val="20"/>
        </w:rPr>
      </w:pPr>
      <w:r>
        <w:rPr>
          <w:rFonts w:ascii="Arial;sans-serif" w:hAnsi="Arial;sans-serif"/>
          <w:b/>
          <w:i/>
          <w:sz w:val="20"/>
        </w:rPr>
        <w:t>The potential effects of health epidemics, including the novel coronavirus disease, or COVID-19, pandemic, could adversely impact our business, including our nonclinical studies and clinical trials.</w:t>
      </w:r>
    </w:p>
    <w:p>
      <w:pPr>
        <w:pStyle w:val="TextBody"/>
        <w:bidi w:val="0"/>
        <w:spacing w:before="240" w:after="0"/>
        <w:jc w:val="both"/>
        <w:rPr>
          <w:rFonts w:ascii="Times New Roman" w:hAnsi="Times New Roman"/>
          <w:sz w:val="20"/>
        </w:rPr>
      </w:pPr>
      <w:r>
        <w:rPr>
          <w:rFonts w:ascii="Arial;sans-serif" w:hAnsi="Arial;sans-serif"/>
          <w:b w:val="false"/>
          <w:sz w:val="20"/>
        </w:rPr>
        <w:t>Our business could in the future be adversely impacted by the effects of possible health epidemics and other outbreaks, including COVID-19, which could cause disruptions that could severely impact our business, nonclinical studies and clinical trials. Such disruptions may include: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delays or difficulties in enrolling and retaining patients in our clinical trials, particularly elderly subjects, who may be at a higher risk of severe illness or death, which can be further complicated by the presence of comorbidities that are often present in AD subjects;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difficulties interpreting data from our clinical trials due to the possible effects of such diseases on cognition of the subjects enrolled in our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delays or difficulties in clinical site initiation, including difficulties in recruiting clinical site investigators and clinical site staff;</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interruption or delays in the operations of the FDA or other regulatory authorities, which may impact review and approval timelines;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interruption of, or delays in receiving, supplies of our product candidates from our contract manufacturing organizations due to staffing shortages, production slowdowns or stoppages and disruptions in delivery systems;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interruptions in nonclinical studies due to restricted or limited operations at our laboratory facility;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limitations on employee resources that would otherwise be focused on the conduct of our nonclinical studies and clinical trials, including because of sickness of employees or their families or the desire of employees to avoid contact with large groups of people;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interruptions, difficulties or delays arising in our existing operations and company culture as a result of some or all of our employees working remotely;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interruption or delays to our sourced discovery and clinical activities;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changes in clinical site procedures and requirements as well as regulatory requirements for conducting clinical trials during the pandemic.</w:t>
      </w:r>
    </w:p>
    <w:p>
      <w:pPr>
        <w:pStyle w:val="TextBody"/>
        <w:bidi w:val="0"/>
        <w:spacing w:before="240" w:after="0"/>
        <w:jc w:val="both"/>
        <w:rPr>
          <w:rFonts w:ascii="Arial;sans-serif" w:hAnsi="Arial;sans-serif"/>
          <w:b w:val="false"/>
          <w:sz w:val="20"/>
        </w:rPr>
      </w:pPr>
      <w:r>
        <w:rPr>
          <w:rFonts w:ascii="Arial;sans-serif" w:hAnsi="Arial;sans-serif"/>
          <w:b w:val="false"/>
          <w:sz w:val="20"/>
        </w:rPr>
        <w:t>In the event of a disease outbreak or resurgence of COVID-19, we could be required to develop and implement additional clinical trial policies and procedures designed to help protect subjects from such diseases. On May 11, 2023, the federal government ended the COVID-19 public health emergency, which ended a number of temporary changes made to federally funded programs while some continue to be in effect. Since March 2020, the FDA has issued various COVID-19 related guidance documents for sponsors and manufacturers, many of which have expired or were withdrawn with the expiration of the COVID-19 public health emergency declaration, although some COVID-19 related guidance documents continue in effect. The full impact of this termination of the national emergency and the wind-down of the public health emergency on FDA and other regulatory policies and operations is unclear.</w:t>
      </w:r>
    </w:p>
    <w:p>
      <w:pPr>
        <w:pStyle w:val="TextBody"/>
        <w:bidi w:val="0"/>
        <w:spacing w:before="240" w:after="0"/>
        <w:jc w:val="both"/>
        <w:rPr>
          <w:rFonts w:ascii="Arial;sans-serif" w:hAnsi="Arial;sans-serif"/>
          <w:b w:val="false"/>
          <w:sz w:val="20"/>
        </w:rPr>
      </w:pPr>
      <w:r>
        <w:rPr>
          <w:rFonts w:ascii="Arial;sans-serif" w:hAnsi="Arial;sans-serif"/>
          <w:b w:val="false"/>
          <w:sz w:val="20"/>
        </w:rPr>
        <w:t>The trading prices for shares of biopharmaceutical companies have in the past been and could in the future be highly volatile as a result of health epidemics, including the COVID-19 pandemic,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including a resurgence of COVID-19, could materially and adversely affect our business and the value of our common stock.</w:t>
      </w:r>
    </w:p>
    <w:p>
      <w:pPr>
        <w:pStyle w:val="TextBody"/>
        <w:bidi w:val="0"/>
        <w:spacing w:before="240" w:after="0"/>
        <w:jc w:val="center"/>
        <w:rPr>
          <w:rFonts w:ascii="Arial;sans-serif" w:hAnsi="Arial;sans-serif"/>
          <w:b w:val="false"/>
          <w:sz w:val="20"/>
        </w:rPr>
      </w:pPr>
      <w:r>
        <w:rPr>
          <w:rFonts w:ascii="Arial;sans-serif" w:hAnsi="Arial;sans-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pStyle w:val="TextBody"/>
        <w:bidi w:val="0"/>
        <w:spacing w:before="240" w:after="0"/>
        <w:jc w:val="both"/>
        <w:rPr>
          <w:rFonts w:ascii="Arial;sans-serif" w:hAnsi="Arial;sans-serif"/>
          <w:b/>
          <w:sz w:val="20"/>
        </w:rPr>
      </w:pPr>
      <w:r>
        <w:rPr>
          <w:rFonts w:ascii="Arial;sans-serif" w:hAnsi="Arial;sans-serif"/>
          <w:b/>
          <w:sz w:val="20"/>
        </w:rPr>
        <w:t>Risks Relating to Our Financial Position and Capital Needs</w:t>
      </w:r>
    </w:p>
    <w:p>
      <w:pPr>
        <w:pStyle w:val="TextBody"/>
        <w:bidi w:val="0"/>
        <w:spacing w:before="240" w:after="0"/>
        <w:jc w:val="both"/>
        <w:rPr>
          <w:rFonts w:ascii="Arial;sans-serif" w:hAnsi="Arial;sans-serif"/>
          <w:b/>
          <w:i/>
          <w:sz w:val="20"/>
        </w:rPr>
      </w:pPr>
      <w:r>
        <w:rPr>
          <w:rFonts w:ascii="Arial;sans-serif" w:hAnsi="Arial;sans-serif"/>
          <w:b/>
          <w:i/>
          <w:sz w:val="20"/>
        </w:rPr>
        <w:t>We have incurred significant losses since our inception and anticipate that we will continue to incur significant losses for the foreseeable future.</w:t>
      </w:r>
    </w:p>
    <w:p>
      <w:pPr>
        <w:pStyle w:val="TextBody"/>
        <w:bidi w:val="0"/>
        <w:spacing w:before="240" w:after="0"/>
        <w:jc w:val="both"/>
        <w:rPr>
          <w:rFonts w:ascii="Arial;sans-serif" w:hAnsi="Arial;sans-serif"/>
          <w:b w:val="false"/>
          <w:sz w:val="20"/>
        </w:rPr>
      </w:pPr>
      <w:r>
        <w:rPr>
          <w:rFonts w:ascii="Arial;sans-serif" w:hAnsi="Arial;sans-serif"/>
          <w:b w:val="false"/>
          <w:sz w:val="20"/>
        </w:rPr>
        <w:t>We have not generated any revenue from product sales and our product candidates will require substantial additional investment before they may provide us with any revenue. We had net losses of $57.4 million and $45.3 million for the six months ended June 30, 2023 and 2022, respectively, and an accumulated deficit of $249.0 million as of June 30, 2023.</w:t>
      </w:r>
    </w:p>
    <w:p>
      <w:pPr>
        <w:pStyle w:val="TextBody"/>
        <w:bidi w:val="0"/>
        <w:spacing w:before="240" w:after="0"/>
        <w:jc w:val="both"/>
        <w:rPr>
          <w:rFonts w:ascii="Arial;sans-serif" w:hAnsi="Arial;sans-serif"/>
          <w:b w:val="false"/>
          <w:sz w:val="20"/>
        </w:rPr>
      </w:pPr>
      <w:r>
        <w:rPr>
          <w:rFonts w:ascii="Arial;sans-serif" w:hAnsi="Arial;sans-serif"/>
          <w:b w:val="false"/>
          <w:sz w:val="20"/>
        </w:rPr>
        <w:t>We have devoted most of our financial resources to research and development, including our clinical and nonclinical development activities. To date, we have financed our operations primarily with proceeds from the sale and issuance of common stock, convertible preferred stock, common stock warrants, and convertible notes, and to a lesser extent from grant income and stock option exercises.</w:t>
      </w:r>
    </w:p>
    <w:p>
      <w:pPr>
        <w:pStyle w:val="TextBody"/>
        <w:bidi w:val="0"/>
        <w:spacing w:before="240" w:after="0"/>
        <w:jc w:val="both"/>
        <w:rPr>
          <w:rFonts w:ascii="Times New Roman" w:hAnsi="Times New Roman"/>
          <w:sz w:val="20"/>
        </w:rPr>
      </w:pPr>
      <w:r>
        <w:rPr>
          <w:rFonts w:ascii="Arial;sans-serif" w:hAnsi="Arial;sans-serif"/>
          <w:b w:val="false"/>
          <w:sz w:val="20"/>
        </w:rPr>
        <w:t>We expect to incur significant expenses and increasing operating losses for the foreseeable future as we: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continue our research and nonclinical and clinical development of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expand the scope of our clinical studies for our current and prospective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initiate additional nonclinical, clinical or other studies for our product candidates, including any potentially pivotal trials with respect to fosgonimeton for the treatment of mild-to-moderate AD in addition to LIFT-AD, and further extend the open label extension of the ACT-AD and LIFT-AD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change or add additional manufacturers or suppliers and manufacture drug supply and drug product for clinical trials and commercialization;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seek regulatory and marketing approvals for any of our product candidates that successfully complete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attract, hire and retain additional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operate as a public company;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continue to expand our facilities and lab space;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seek to identify and validate additional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acquire or in-license other product candidates and technologies or engage in other strategic transactions;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make milestone or other payments under our in-license or other agreements;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maintain, protect and expand our intellectual property portfolio;</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establish a sales, marketing and distribution infrastructure to commercialize any products for which we may obtain marketing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create additional infrastructure to support our operations and our product development and planned future commercialization efforts;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incur expenses in connection with legal proceedings, and addressing potential stockholder activism; and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experience any delays or encounter issues with any of the above.</w:t>
      </w:r>
    </w:p>
    <w:p>
      <w:pPr>
        <w:pStyle w:val="TextBody"/>
        <w:bidi w:val="0"/>
        <w:spacing w:before="240" w:after="0"/>
        <w:jc w:val="center"/>
        <w:rPr>
          <w:rFonts w:ascii="Arial;sans-serif" w:hAnsi="Arial;sans-serif"/>
          <w:b w:val="false"/>
          <w:sz w:val="20"/>
        </w:rPr>
      </w:pPr>
      <w:r>
        <w:rPr>
          <w:rFonts w:ascii="Arial;sans-serif" w:hAnsi="Arial;sans-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Our expenses could increase beyond expectations for a variety of reasons, including if we are required by the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stockholders’ equity.</w:t>
      </w:r>
    </w:p>
    <w:p>
      <w:pPr>
        <w:pStyle w:val="TextBody"/>
        <w:bidi w:val="0"/>
        <w:spacing w:before="240" w:after="0"/>
        <w:jc w:val="both"/>
        <w:rPr>
          <w:rFonts w:ascii="Times New Roman" w:hAnsi="Times New Roman"/>
          <w:sz w:val="20"/>
        </w:rPr>
      </w:pPr>
      <w:r>
        <w:rPr>
          <w:rFonts w:ascii="Arial;sans-serif" w:hAnsi="Arial;sans-serif"/>
          <w:b/>
          <w:i/>
          <w:sz w:val="20"/>
        </w:rPr>
        <w:t>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DLB, and any other indications that we may pursue in the future will require substantial amounts of capital. In addition, if we obtain marketing approval for fosgonimeton or any future product candidates, we expect to incur significant commercialization expenses related to sales, marketing, manufacturing, and distribution. Furthermore, we expect to continue to incur additional costs associated with operating as a public company.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Accordingly, we will need to obtain substantial additional funding in connection with our continuing operations. As of June 30, 2023, we had cash, cash equivalents and investments of $196.3 million. Based upon our current operating plan, we estimate that our existing cash, cash equivalents and investments will be sufficient to fund our operating expenses and capital expenditure requirements through at least the next 12 months following the date of this report.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amount and timing of our future funding requirements depends on many factors, some of which are outside of our control, including but not limited to:</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progress, costs, clinical trial design, results of and timing of our LIFT-AD trial and other clinical trials of fosgonimeton, including for potential additional indications that we are pursuing beyond AD, such as PDD, DLB, and a potential further extension of the open label extension of the ACT-AD and LIFT-AD trials;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willingness of the FDA and EMA to accept our LIFT-AD trial, as well as data from our completed and planned clinical and nonclinical studies and other work, as the basis for review and approval of fosgonimeton for AD and the potential need for additional clinical trials (including potential confirmatory or Phase 3 registrational trials);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outcome, costs and timing of seeking and obtaining FDA, EMA and any other regulatory approvals;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number and characteristics of product candidates that we pursue;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ability to manufacture sufficient quantities of our product candidates;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need to expand our research and development activities;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costs associated with securing and establishing commercialization and manufacturing capabilities;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costs of acquiring, licensing or investing in businesses, product candidates and technologies;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 timing and outcomes of any litigation involving our company, including securities class actions and government investigations which we may be or may in the future become involved in;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our need and ability to retain management and hire scientific, clinical and other personnel;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effect of competing drugs and product candidates and other market developments;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our need to implement additional internal systems and infrastructure, including financial and reporting systems; and </w:t>
      </w:r>
    </w:p>
    <w:p>
      <w:pPr>
        <w:pStyle w:val="TextBody"/>
        <w:bidi w:val="0"/>
        <w:spacing w:before="240" w:after="0"/>
        <w:jc w:val="center"/>
        <w:rPr>
          <w:rFonts w:ascii="Arial;sans-serif" w:hAnsi="Arial;sans-serif"/>
          <w:b w:val="false"/>
          <w:sz w:val="20"/>
        </w:rPr>
      </w:pPr>
      <w:r>
        <w:rPr>
          <w:rFonts w:ascii="Arial;sans-serif" w:hAnsi="Arial;sans-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economic and other terms, timing of and success of any collaboration, licensing or other arrangements into which we may enter in the future.</w:t>
      </w:r>
    </w:p>
    <w:p>
      <w:pPr>
        <w:pStyle w:val="TextBody"/>
        <w:bidi w:val="0"/>
        <w:spacing w:before="240" w:after="0"/>
        <w:jc w:val="both"/>
        <w:rPr>
          <w:rFonts w:ascii="Times New Roman" w:hAnsi="Times New Roman"/>
          <w:sz w:val="20"/>
        </w:rPr>
      </w:pPr>
      <w:r>
        <w:rPr>
          <w:rFonts w:ascii="Arial;sans-serif" w:hAnsi="Arial;sans-serif"/>
          <w:b w:val="false"/>
          <w:sz w:val="20"/>
        </w:rPr>
        <w:t>In January 2023, we entered into a sales agreement with Cantor Fitzgerald &amp; Co., or Cantor Fitzgerald, and BTIG, LLC, or BTIG, to sell shares of our common stock having aggregate sales proceeds of up to $75.0 million, from time to time, through an at-the-market, or ATM, equity offering program under which Cantor Fitzgerald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unable 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r>
        <w:rPr>
          <w:rFonts w:ascii="Times New Roman" w:hAnsi="Times New Roman"/>
          <w:sz w:val="20"/>
        </w:rPr>
        <w:t xml:space="preserve"> </w:t>
      </w:r>
    </w:p>
    <w:p>
      <w:pPr>
        <w:pStyle w:val="TextBody"/>
        <w:bidi w:val="0"/>
        <w:spacing w:before="240" w:after="0"/>
        <w:jc w:val="both"/>
        <w:rPr>
          <w:rFonts w:ascii="Arial;sans-serif" w:hAnsi="Arial;sans-serif"/>
          <w:b/>
          <w:i/>
          <w:sz w:val="20"/>
        </w:rPr>
      </w:pPr>
      <w:r>
        <w:rPr>
          <w:rFonts w:ascii="Arial;sans-serif" w:hAnsi="Arial;sans-serif"/>
          <w:b/>
          <w:i/>
          <w:sz w:val="20"/>
        </w:rPr>
        <w:t>Adverse events or perceptions affecting the financial services industry could adversely affect our operating results, liquidity, financial condition and prospects.</w:t>
      </w:r>
    </w:p>
    <w:p>
      <w:pPr>
        <w:pStyle w:val="TextBody"/>
        <w:bidi w:val="0"/>
        <w:spacing w:before="240" w:after="0"/>
        <w:jc w:val="both"/>
        <w:rPr>
          <w:rFonts w:ascii="Arial;sans-serif" w:hAnsi="Arial;sans-serif"/>
          <w:b w:val="false"/>
          <w:sz w:val="20"/>
        </w:rPr>
      </w:pPr>
      <w:r>
        <w:rPr>
          <w:rFonts w:ascii="Arial;sans-serif" w:hAnsi="Arial;sans-serif"/>
          <w:b w:val="false"/>
          <w:sz w:val="20"/>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on March 10, 2023, Silicon Valley Bank, or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delayed access to deposits or other financial assets or the uninsured loss of deposits or other financial assets;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loss of access to revolving existing credit facilities or other working capital sources or the inability to refund, roll over or extend the maturity of, or enter into new credit facilities or other working capital resources;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potential or actual breach of obligations, including U.S. federal and state wage laws and contracts that required them to maintain letters or credit or other credit support arrangements;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termination of cash management arrangements or delays in accessing or actual loss of funds subject to cash management arrangements.</w:t>
      </w:r>
    </w:p>
    <w:p>
      <w:pPr>
        <w:pStyle w:val="TextBody"/>
        <w:bidi w:val="0"/>
        <w:spacing w:before="240" w:after="0"/>
        <w:jc w:val="both"/>
        <w:rPr>
          <w:rFonts w:ascii="Arial;sans-serif" w:hAnsi="Arial;sans-serif"/>
          <w:b w:val="false"/>
          <w:sz w:val="20"/>
        </w:rPr>
      </w:pPr>
      <w:r>
        <w:rPr>
          <w:rFonts w:ascii="Arial;sans-serif" w:hAnsi="Arial;sans-serif"/>
          <w:b w:val="false"/>
          <w:sz w:val="20"/>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 we have commercial agreements may be unable to satisfy their obligations to, or enter into new commercial arrangements with, us.</w:t>
      </w:r>
    </w:p>
    <w:p>
      <w:pPr>
        <w:pStyle w:val="TextBody"/>
        <w:bidi w:val="0"/>
        <w:spacing w:before="240" w:after="0"/>
        <w:jc w:val="both"/>
        <w:rPr>
          <w:rFonts w:ascii="Times New Roman" w:hAnsi="Times New Roman"/>
          <w:sz w:val="20"/>
        </w:rPr>
      </w:pPr>
      <w:r>
        <w:rPr>
          <w:rFonts w:ascii="Arial;sans-serif" w:hAnsi="Arial;sans-serif"/>
          <w:b w:val="false"/>
          <w:sz w:val="20"/>
        </w:rPr>
        <w:t>Concerns regarding the U.S. or international financial systems could impact the availability and cost of financing, thereby making it more difficult for us to acquire financing on acceptable terms or at all.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Any of these risks could materially impact our operating results, liquidity, financial condition and prospects.</w:t>
      </w:r>
      <w:r>
        <w:rPr>
          <w:rFonts w:ascii="Times New Roman" w:hAnsi="Times New Roman"/>
          <w:sz w:val="20"/>
        </w:rPr>
        <w:t xml:space="preserve"> </w:t>
      </w:r>
    </w:p>
    <w:p>
      <w:pPr>
        <w:pStyle w:val="TextBody"/>
        <w:bidi w:val="0"/>
        <w:spacing w:before="240" w:after="0"/>
        <w:jc w:val="both"/>
        <w:rPr>
          <w:rFonts w:ascii="Arial;sans-serif" w:hAnsi="Arial;sans-serif"/>
          <w:b/>
          <w:i/>
          <w:sz w:val="20"/>
        </w:rPr>
      </w:pPr>
      <w:r>
        <w:rPr>
          <w:rFonts w:ascii="Arial;sans-serif" w:hAnsi="Arial;sans-serif"/>
          <w:b/>
          <w:i/>
          <w:sz w:val="20"/>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pStyle w:val="TextBody"/>
        <w:bidi w:val="0"/>
        <w:spacing w:before="240" w:after="0"/>
        <w:jc w:val="both"/>
        <w:rPr>
          <w:rFonts w:ascii="Times New Roman" w:hAnsi="Times New Roman"/>
          <w:sz w:val="20"/>
        </w:rPr>
      </w:pPr>
      <w:r>
        <w:rPr>
          <w:rFonts w:ascii="Arial;sans-serif" w:hAnsi="Arial;sans-serif"/>
          <w:b w:val="false"/>
          <w:sz w:val="20"/>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inherent in particular securities. The failure of any of the investment risk strategies that we employ could have a material adverse effect on our operating results, liquidity, financial condition and prospects.</w:t>
      </w:r>
    </w:p>
    <w:p>
      <w:pPr>
        <w:pStyle w:val="TextBody"/>
        <w:bidi w:val="0"/>
        <w:spacing w:before="240" w:after="0"/>
        <w:jc w:val="both"/>
        <w:rPr>
          <w:rFonts w:ascii="Arial;sans-serif" w:hAnsi="Arial;sans-serif"/>
          <w:b w:val="false"/>
          <w:sz w:val="20"/>
        </w:rPr>
      </w:pPr>
      <w:r>
        <w:rPr>
          <w:rFonts w:ascii="Arial;sans-serif" w:hAnsi="Arial;sans-serif"/>
          <w:b w:val="false"/>
          <w:sz w:val="20"/>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pStyle w:val="TextBody"/>
        <w:bidi w:val="0"/>
        <w:spacing w:before="240" w:after="0"/>
        <w:jc w:val="both"/>
        <w:rPr>
          <w:rFonts w:ascii="Times New Roman" w:hAnsi="Times New Roman"/>
          <w:sz w:val="20"/>
        </w:rPr>
      </w:pPr>
      <w:r>
        <w:rPr>
          <w:rFonts w:ascii="Arial;sans-serif" w:hAnsi="Arial;sans-serif"/>
          <w:b/>
          <w:i/>
          <w:sz w:val="20"/>
        </w:rPr>
        <w:t>Our ability to use net operating losses</w:t>
      </w:r>
      <w:r>
        <w:rPr>
          <w:rFonts w:ascii="Times New Roman" w:hAnsi="Times New Roman"/>
          <w:sz w:val="20"/>
        </w:rPr>
        <w:t xml:space="preserve"> </w:t>
      </w:r>
      <w:r>
        <w:rPr>
          <w:rFonts w:ascii="Arial;sans-serif" w:hAnsi="Arial;sans-serif"/>
          <w:b/>
          <w:i/>
          <w:sz w:val="20"/>
        </w:rPr>
        <w:t>to offset future taxable income may be subject to certain limitations.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As of December 31, 2022, we had federal net operating loss carryforwards, or NOLs, to offset future taxable income of approximately $9.5 million and federal tax credit carryforwards of approximately $5.6 million, which expire over a period of 9 to 15 years. Federal NOLs of $104.4 million were generated after 2017, and therefore do not expire. At December 31, 2022, we also had state NOLs of $2.7 million, which expire over a period of 19 to 20 years.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pStyle w:val="TextBody"/>
        <w:bidi w:val="0"/>
        <w:spacing w:before="240" w:after="0"/>
        <w:jc w:val="both"/>
        <w:rPr>
          <w:rFonts w:ascii="Arial;sans-serif" w:hAnsi="Arial;sans-serif"/>
          <w:b/>
          <w:i/>
          <w:sz w:val="20"/>
        </w:rPr>
      </w:pPr>
      <w:r>
        <w:rPr>
          <w:rFonts w:ascii="Arial;sans-serif" w:hAnsi="Arial;sans-serif"/>
          <w:b/>
          <w:i/>
          <w:sz w:val="20"/>
        </w:rPr>
        <w:t>Changes in tax laws could have a material adverse effect on our business, cash flows, results of operations or financial condition.</w:t>
      </w:r>
    </w:p>
    <w:p>
      <w:pPr>
        <w:pStyle w:val="TextBody"/>
        <w:bidi w:val="0"/>
        <w:spacing w:before="240" w:after="0"/>
        <w:jc w:val="both"/>
        <w:rPr>
          <w:rFonts w:ascii="Arial;sans-serif" w:hAnsi="Arial;sans-serif"/>
          <w:b w:val="false"/>
          <w:sz w:val="20"/>
        </w:rPr>
      </w:pPr>
      <w:r>
        <w:rPr>
          <w:rFonts w:ascii="Arial;sans-serif" w:hAnsi="Arial;sans-serif"/>
          <w:b w:val="false"/>
          <w:sz w:val="20"/>
        </w:rPr>
        <w:t>We 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pStyle w:val="TextBody"/>
        <w:bidi w:val="0"/>
        <w:spacing w:before="240" w:after="0"/>
        <w:jc w:val="both"/>
        <w:rPr>
          <w:rFonts w:ascii="Arial;sans-serif" w:hAnsi="Arial;sans-serif"/>
          <w:b/>
          <w:sz w:val="20"/>
        </w:rPr>
      </w:pPr>
      <w:r>
        <w:rPr>
          <w:rFonts w:ascii="Arial;sans-serif" w:hAnsi="Arial;sans-serif"/>
          <w:b/>
          <w:sz w:val="20"/>
        </w:rPr>
        <w:t>Risks Relating to Regulatory Approval and Other Legal Compliance Matters</w:t>
      </w:r>
    </w:p>
    <w:p>
      <w:pPr>
        <w:pStyle w:val="TextBody"/>
        <w:bidi w:val="0"/>
        <w:spacing w:before="240" w:after="0"/>
        <w:jc w:val="both"/>
        <w:rPr>
          <w:rFonts w:ascii="Times New Roman" w:hAnsi="Times New Roman"/>
          <w:sz w:val="20"/>
        </w:rPr>
      </w:pPr>
      <w:r>
        <w:rPr>
          <w:rFonts w:ascii="Arial;sans-serif" w:hAnsi="Arial;sans-serif"/>
          <w:b/>
          <w:i/>
          <w:sz w:val="20"/>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or regulatory approval may be delayed for reasons beyond our control.</w:t>
      </w:r>
    </w:p>
    <w:p>
      <w:pPr>
        <w:pStyle w:val="TextBody"/>
        <w:bidi w:val="0"/>
        <w:spacing w:before="240" w:after="0"/>
        <w:jc w:val="both"/>
        <w:rPr>
          <w:rFonts w:ascii="Arial;sans-serif" w:hAnsi="Arial;sans-serif"/>
          <w:b w:val="false"/>
          <w:sz w:val="20"/>
        </w:rPr>
      </w:pPr>
      <w:r>
        <w:rPr>
          <w:rFonts w:ascii="Arial;sans-serif" w:hAnsi="Arial;sans-serif"/>
          <w:b w:val="false"/>
          <w:sz w:val="20"/>
        </w:rPr>
        <w:t>Applications for our product candidates could fail to receive regulatory approval for many reasons, including the following: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FDA or other comparable foreign regulatory authorities may disagree with the design, implementation or results of our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population studied in the clinical trial may not be sufficiently broad or representative to assure efficacy and safety in the full population for which we seek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FDA or other comparable foreign regulatory authorities may disagree with our interpretation of data from nonclinical studies or clinical trials;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may be unable to demonstrate to the FDA or other comparable foreign regulatory authorities that our product candidate’s risk-benefit ratio for its proposed indication is acceptable;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pStyle w:val="TextBody"/>
        <w:bidi w:val="0"/>
        <w:spacing w:before="240" w:after="0"/>
        <w:jc w:val="both"/>
        <w:rPr>
          <w:rFonts w:ascii="Arial;sans-serif" w:hAnsi="Arial;sans-serif"/>
          <w:b w:val="false"/>
          <w:sz w:val="20"/>
        </w:rPr>
      </w:pPr>
      <w:r>
        <w:rPr>
          <w:rFonts w:ascii="Arial;sans-serif" w:hAnsi="Arial;sans-serif"/>
          <w:b w:val="false"/>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pStyle w:val="TextBody"/>
        <w:bidi w:val="0"/>
        <w:spacing w:before="240" w:after="0"/>
        <w:jc w:val="both"/>
        <w:rPr>
          <w:rFonts w:ascii="Times New Roman" w:hAnsi="Times New Roman"/>
          <w:sz w:val="20"/>
        </w:rPr>
      </w:pPr>
      <w:r>
        <w:rPr>
          <w:rFonts w:ascii="Arial;sans-serif" w:hAnsi="Arial;sans-serif"/>
          <w:b w:val="false"/>
          <w:sz w:val="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Our current or future product candidates may cause significant adverse events, toxicities or other undesirable side effects when used alone or in combination with other approved products or investigational new drugs that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may result in a safety profile that could inhibit regulatory approval, prevent market acceptance, limit their commercial potential or result in significant negative consequences.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pStyle w:val="TextBody"/>
        <w:bidi w:val="0"/>
        <w:spacing w:before="240" w:after="0"/>
        <w:jc w:val="both"/>
        <w:rPr>
          <w:rFonts w:ascii="Times New Roman" w:hAnsi="Times New Roman"/>
          <w:sz w:val="20"/>
        </w:rPr>
      </w:pPr>
      <w:r>
        <w:rPr>
          <w:rFonts w:ascii="Arial;sans-serif" w:hAnsi="Arial;sans-serif"/>
          <w:b w:val="false"/>
          <w:sz w:val="20"/>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including, for example, by interfering with the effects of our product candidates. A pre-specified group analysis of patients in our ACT-AD clinical trial identified a potential diminished effect of the combination of standard-of-care (AChEIs) and fosgonimeton. While more clinical studies are needed to determine the safety and efficacy of fosgonimeton, to the extent standard-of-care AChEIs impact the effects of fosgonimeton and if a significant portion of the patient population has already been treated with AChEIs, the potential target patient population or the indication we seek for fosgonimeton may be significantly smaller than we had anticipated, which could materially harm our business and prospects.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before="240" w:after="0"/>
        <w:jc w:val="both"/>
        <w:rPr>
          <w:rFonts w:ascii="Arial;sans-serif" w:hAnsi="Arial;sans-serif"/>
          <w:b w:val="false"/>
          <w:sz w:val="20"/>
        </w:rPr>
      </w:pPr>
      <w:r>
        <w:rPr>
          <w:rFonts w:ascii="Arial;sans-serif" w:hAnsi="Arial;sans-serif"/>
          <w:b w:val="false"/>
          <w:sz w:val="20"/>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pStyle w:val="TextBody"/>
        <w:bidi w:val="0"/>
        <w:spacing w:before="240" w:after="0"/>
        <w:jc w:val="both"/>
        <w:rPr>
          <w:rFonts w:ascii="Times New Roman" w:hAnsi="Times New Roman"/>
          <w:sz w:val="20"/>
        </w:rPr>
      </w:pPr>
      <w:r>
        <w:rPr>
          <w:rFonts w:ascii="Arial;sans-serif" w:hAnsi="Arial;sans-serif"/>
          <w:b/>
          <w:i/>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240" w:after="0"/>
        <w:jc w:val="both"/>
        <w:rPr>
          <w:rFonts w:ascii="Arial;sans-serif" w:hAnsi="Arial;sans-serif"/>
          <w:b w:val="false"/>
          <w:sz w:val="20"/>
        </w:rPr>
      </w:pPr>
      <w:r>
        <w:rPr>
          <w:rFonts w:ascii="Arial;sans-serif" w:hAnsi="Arial;sans-serif"/>
          <w:b w:val="false"/>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before="240" w:after="0"/>
        <w:jc w:val="both"/>
        <w:rPr>
          <w:rFonts w:ascii="Times New Roman" w:hAnsi="Times New Roman"/>
          <w:sz w:val="20"/>
        </w:rPr>
      </w:pPr>
      <w:r>
        <w:rPr>
          <w:rFonts w:ascii="Arial;sans-serif" w:hAnsi="Arial;sans-serif"/>
          <w:b/>
          <w:i/>
          <w:sz w:val="20"/>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restrictions on the marketing or manufacturing of our product candidates, withdrawal of the product from the market or voluntary or mandatory product recalls;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manufacturing delays and supply disruptions where regulatory inspections identify observations of noncompliance requiring remediation;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revisions to the labeling, including limitation on approved uses or the addition of additional warnings, contraindications or other safety information, including boxed warnings;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imposition of a REMS, which may include distribution or use restrictions;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requirements to conduct additional post-market clinical trials to assess the safety of the product;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fines, warning letters or holds on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refusal by the FDA to approve pending applications or supplements to approved applications filed by us or suspension or revocation of approvals;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product seizure or detention, or refusal to permit the import or export of our product candidates;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injunctions or the imposition of civil or criminal penalties.</w:t>
      </w:r>
    </w:p>
    <w:p>
      <w:pPr>
        <w:pStyle w:val="TextBody"/>
        <w:bidi w:val="0"/>
        <w:spacing w:before="240" w:after="0"/>
        <w:jc w:val="both"/>
        <w:rPr>
          <w:rFonts w:ascii="Times New Roman" w:hAnsi="Times New Roman"/>
          <w:sz w:val="20"/>
        </w:rPr>
      </w:pPr>
      <w:r>
        <w:rPr>
          <w:rFonts w:ascii="Arial;sans-serif" w:hAnsi="Arial;sans-serif"/>
          <w:b w:val="false"/>
          <w:sz w:val="20"/>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pStyle w:val="TextBody"/>
        <w:bidi w:val="0"/>
        <w:spacing w:before="240" w:after="0"/>
        <w:jc w:val="both"/>
        <w:rPr>
          <w:rFonts w:ascii="Times New Roman" w:hAnsi="Times New Roman"/>
          <w:sz w:val="20"/>
        </w:rPr>
      </w:pPr>
      <w:r>
        <w:rPr>
          <w:rFonts w:ascii="Arial;sans-serif" w:hAnsi="Arial;sans-serif"/>
          <w:b w:val="false"/>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0"/>
        <w:jc w:val="both"/>
        <w:rPr>
          <w:rFonts w:ascii="Arial;sans-serif" w:hAnsi="Arial;sans-serif"/>
          <w:b w:val="false"/>
          <w:sz w:val="20"/>
        </w:rPr>
      </w:pPr>
      <w:r>
        <w:rPr>
          <w:rFonts w:ascii="Arial;sans-serif" w:hAnsi="Arial;sans-serif"/>
          <w:b w:val="false"/>
          <w:sz w:val="20"/>
        </w:rPr>
        <w:t>Disruptions at the FDA and other agencies may also slow the time necessary for new drugs to be reviewed or approved by necessary government agencies, which would adversely affect our business. For example, in 2018 and 2019, the U.S. government shut down several times and certain regulatory agencies, such as the FDA and the SEC, had to furlough critical employees and stop critical activities. Separately, in response to the COVID-19 public health emergency, since March 2020 when foreign and domestic inspections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and review timelines could be extended, including where a pre-approval inspection or an inspection of clinical sites is required, travel restrictions, or staffing shortages,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240" w:after="0"/>
        <w:jc w:val="both"/>
        <w:rPr>
          <w:rFonts w:ascii="Times New Roman" w:hAnsi="Times New Roman"/>
          <w:sz w:val="20"/>
        </w:rPr>
      </w:pPr>
      <w:r>
        <w:rPr>
          <w:rFonts w:ascii="Arial;sans-serif" w:hAnsi="Arial;sans-serif"/>
          <w:b/>
          <w:i/>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may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40" w:after="0"/>
        <w:jc w:val="both"/>
        <w:rPr>
          <w:rFonts w:ascii="Arial;sans-serif" w:hAnsi="Arial;sans-serif"/>
          <w:b w:val="false"/>
          <w:sz w:val="20"/>
        </w:rPr>
      </w:pPr>
      <w:r>
        <w:rPr>
          <w:rFonts w:ascii="Arial;sans-serif" w:hAnsi="Arial;sans-serif"/>
          <w:b w:val="false"/>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before="240" w:after="0"/>
        <w:jc w:val="both"/>
        <w:rPr>
          <w:rFonts w:ascii="Arial;sans-serif" w:hAnsi="Arial;sans-serif"/>
          <w:b w:val="false"/>
          <w:sz w:val="20"/>
        </w:rPr>
      </w:pPr>
      <w:r>
        <w:rPr>
          <w:rFonts w:ascii="Arial;sans-serif" w:hAnsi="Arial;sans-serif"/>
          <w:b w:val="false"/>
          <w:sz w:val="20"/>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In view of the recent controversy regarding the FDA’s approval of Biogen’s Aduhelm, a biologic, through the accelerated approval pathway, the FDA has requested the Office of the Inspector General to investigate the FDA’s review of Aduhelm leading up to its approval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It is unclear how these proposals, future policy changes, and changes in FDA regulation will impact new drug applications in the treatment of Alzheimer’s disease and our clinical development programs.</w:t>
      </w:r>
    </w:p>
    <w:p>
      <w:pPr>
        <w:pStyle w:val="TextBody"/>
        <w:bidi w:val="0"/>
        <w:spacing w:before="240" w:after="0"/>
        <w:jc w:val="both"/>
        <w:rPr>
          <w:rFonts w:ascii="Times New Roman" w:hAnsi="Times New Roman"/>
          <w:sz w:val="20"/>
        </w:rPr>
      </w:pPr>
      <w:r>
        <w:rPr>
          <w:rFonts w:ascii="Arial;sans-serif" w:hAnsi="Arial;sans-serif"/>
          <w:b/>
          <w:i/>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changes to our manufacturing arrangements;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additions or modifications to product labeling;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recall or discontinuation of our products; or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additional record-keeping requirements. If any such changes were to be imposed, they could adversely affect the operation of our business.</w:t>
      </w:r>
    </w:p>
    <w:p>
      <w:pPr>
        <w:pStyle w:val="TextBody"/>
        <w:bidi w:val="0"/>
        <w:spacing w:before="240" w:after="0"/>
        <w:jc w:val="both"/>
        <w:rPr>
          <w:rFonts w:ascii="Times New Roman" w:hAnsi="Times New Roman"/>
          <w:sz w:val="20"/>
        </w:rPr>
      </w:pPr>
      <w:r>
        <w:rPr>
          <w:rFonts w:ascii="Arial;sans-serif" w:hAnsi="Arial;sans-serif"/>
          <w:b w:val="false"/>
          <w:sz w:val="20"/>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or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pStyle w:val="TextBody"/>
        <w:bidi w:val="0"/>
        <w:spacing w:before="240" w:after="0"/>
        <w:jc w:val="both"/>
        <w:rPr>
          <w:rFonts w:ascii="Arial;sans-serif" w:hAnsi="Arial;sans-serif"/>
          <w:b w:val="false"/>
          <w:sz w:val="20"/>
        </w:rPr>
      </w:pPr>
      <w:r>
        <w:rPr>
          <w:rFonts w:ascii="Arial;sans-serif" w:hAnsi="Arial;sans-serif"/>
          <w:b w:val="false"/>
          <w:sz w:val="20"/>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pStyle w:val="TextBody"/>
        <w:bidi w:val="0"/>
        <w:spacing w:before="240" w:after="0"/>
        <w:jc w:val="both"/>
        <w:rPr>
          <w:rFonts w:ascii="Arial;sans-serif" w:hAnsi="Arial;sans-serif"/>
          <w:b w:val="false"/>
          <w:sz w:val="20"/>
        </w:rPr>
      </w:pPr>
      <w:r>
        <w:rPr>
          <w:rFonts w:ascii="Arial;sans-serif" w:hAnsi="Arial;sans-serif"/>
          <w:b w:val="false"/>
          <w:sz w:val="20"/>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the Consolidated Appropriations Act, 2023, the 2% Medicare sequester is extended for the first six months of FY 2032 and the sequester percentage is revised to up to 2% for FY 2030 and 2031.</w:t>
      </w:r>
    </w:p>
    <w:p>
      <w:pPr>
        <w:pStyle w:val="TextBody"/>
        <w:bidi w:val="0"/>
        <w:spacing w:before="240" w:after="0"/>
        <w:jc w:val="both"/>
        <w:rPr>
          <w:rFonts w:ascii="Times New Roman" w:hAnsi="Times New Roman"/>
          <w:sz w:val="20"/>
        </w:rPr>
      </w:pPr>
      <w:r>
        <w:rPr>
          <w:rFonts w:ascii="Arial;sans-serif" w:hAnsi="Arial;sans-serif"/>
          <w:b w:val="false"/>
          <w:sz w:val="20"/>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The impact of these judicial challenges as well as other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p>
    <w:p>
      <w:pPr>
        <w:pStyle w:val="TextBody"/>
        <w:bidi w:val="0"/>
        <w:spacing w:before="240" w:after="0"/>
        <w:jc w:val="both"/>
        <w:rPr>
          <w:rFonts w:ascii="Arial;sans-serif" w:hAnsi="Arial;sans-serif"/>
          <w:b w:val="false"/>
          <w:sz w:val="20"/>
        </w:rPr>
      </w:pPr>
      <w:r>
        <w:rPr>
          <w:rFonts w:ascii="Arial;sans-serif" w:hAnsi="Arial;sans-serif"/>
          <w:b w:val="false"/>
          <w:sz w:val="20"/>
        </w:rPr>
        <w:t>In April 2022, CMS released a finalized national policy for coverage of aducanumab, or Aduhelm, and any future monoclonal antibodies directed against amyloid approved by the FDA with an indication for use in treating Alzheimer’s disease. According to the two-part National Coverage Determination, or NCD, Medicare will cover monoclonal antibodies that target amyloid (or plaque) for the treatment of Alzheimer’s disease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National Institutes of Health approved clinical trials. In June 2023, CMS announced that Medicare will cover new Alzheimer’s drugs with traditional FDA approval when a physician and clinical team participate in CMS’ registry to collect evidence about how these drugs work in the real world. Current and future CMS coverage restrictions on classes of drugs that encompass our product candidates could have a material adverse impact on our ability to commercialize our product candidates, if approved, generate revenue and attain profitability. It is unclear how future CMS coverage decisions and policies will impact our business.</w:t>
      </w:r>
    </w:p>
    <w:p>
      <w:pPr>
        <w:pStyle w:val="TextBody"/>
        <w:bidi w:val="0"/>
        <w:spacing w:before="240" w:after="0"/>
        <w:jc w:val="both"/>
        <w:rPr>
          <w:rFonts w:ascii="Arial;sans-serif" w:hAnsi="Arial;sans-serif"/>
          <w:b w:val="false"/>
          <w:sz w:val="20"/>
        </w:rPr>
      </w:pPr>
      <w:r>
        <w:rPr>
          <w:rFonts w:ascii="Arial;sans-serif" w:hAnsi="Arial;sans-serif"/>
          <w:b w:val="false"/>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240" w:after="0"/>
        <w:jc w:val="both"/>
        <w:rPr>
          <w:rFonts w:ascii="Arial;sans-serif" w:hAnsi="Arial;sans-serif"/>
          <w:b w:val="false"/>
          <w:sz w:val="20"/>
        </w:rPr>
      </w:pPr>
      <w:r>
        <w:rPr>
          <w:rFonts w:ascii="Arial;sans-serif" w:hAnsi="Arial;sans-serif"/>
          <w:b w:val="false"/>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0"/>
        <w:jc w:val="both"/>
        <w:rPr>
          <w:rFonts w:ascii="Arial;sans-serif" w:hAnsi="Arial;sans-serif"/>
          <w:b w:val="false"/>
          <w:sz w:val="20"/>
        </w:rPr>
      </w:pPr>
      <w:r>
        <w:rPr>
          <w:rFonts w:ascii="Arial;sans-serif" w:hAnsi="Arial;sans-serif"/>
          <w:b w:val="false"/>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demand for our product candidates, if we obtain regulatory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set a price that we believe is fair for our products;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obtain coverage and reimbursement approval for a product;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ability to generate revenue and achieve or maintain profitability;</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level of taxes that we are required to pay; and</w:t>
      </w:r>
    </w:p>
    <w:p>
      <w:pPr>
        <w:pStyle w:val="TextBody"/>
        <w:bidi w:val="0"/>
        <w:spacing w:before="240" w:after="0"/>
        <w:jc w:val="center"/>
        <w:rPr>
          <w:rFonts w:ascii="Arial;sans-serif" w:hAnsi="Arial;sans-serif"/>
          <w:b w:val="false"/>
          <w:sz w:val="20"/>
        </w:rPr>
      </w:pPr>
      <w:r>
        <w:rPr>
          <w:rFonts w:ascii="Arial;sans-serif" w:hAnsi="Arial;sans-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availability of capital.</w:t>
      </w:r>
    </w:p>
    <w:p>
      <w:pPr>
        <w:pStyle w:val="TextBody"/>
        <w:bidi w:val="0"/>
        <w:spacing w:before="240" w:after="0"/>
        <w:jc w:val="both"/>
        <w:rPr>
          <w:rFonts w:ascii="Arial;sans-serif" w:hAnsi="Arial;sans-serif"/>
          <w:b w:val="false"/>
          <w:sz w:val="20"/>
        </w:rPr>
      </w:pPr>
      <w:r>
        <w:rPr>
          <w:rFonts w:ascii="Arial;sans-serif" w:hAnsi="Arial;sans-serif"/>
          <w:b w:val="false"/>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0"/>
        <w:jc w:val="both"/>
        <w:rPr>
          <w:rFonts w:ascii="Arial;sans-serif" w:hAnsi="Arial;sans-serif"/>
          <w:b w:val="false"/>
          <w:sz w:val="20"/>
        </w:rPr>
      </w:pPr>
      <w:r>
        <w:rPr>
          <w:rFonts w:ascii="Arial;sans-serif" w:hAnsi="Arial;sans-serif"/>
          <w:b w:val="false"/>
          <w:sz w:val="20"/>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0"/>
        <w:jc w:val="both"/>
        <w:rPr>
          <w:rFonts w:ascii="Times New Roman" w:hAnsi="Times New Roman"/>
          <w:sz w:val="20"/>
        </w:rPr>
      </w:pPr>
      <w:r>
        <w:rPr>
          <w:rFonts w:ascii="Arial;sans-serif" w:hAnsi="Arial;sans-serif"/>
          <w:b/>
          <w:i/>
          <w:sz w:val="20"/>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National Institutes of Health,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pStyle w:val="TextBody"/>
        <w:bidi w:val="0"/>
        <w:spacing w:before="240" w:after="0"/>
        <w:jc w:val="both"/>
        <w:rPr>
          <w:rFonts w:ascii="Arial;sans-serif" w:hAnsi="Arial;sans-serif"/>
          <w:b w:val="false"/>
          <w:sz w:val="20"/>
        </w:rPr>
      </w:pPr>
      <w:r>
        <w:rPr>
          <w:rFonts w:ascii="Arial;sans-serif" w:hAnsi="Arial;sans-serif"/>
          <w:b w:val="false"/>
          <w:sz w:val="20"/>
        </w:rPr>
        <w:t>The laws that may affect our ability to operate include, but are not limited to:</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w:t>
      </w:r>
    </w:p>
    <w:p>
      <w:pPr>
        <w:pStyle w:val="TextBody"/>
        <w:bidi w:val="0"/>
        <w:spacing w:before="240" w:after="0"/>
        <w:jc w:val="center"/>
        <w:rPr>
          <w:rFonts w:ascii="Arial;sans-serif" w:hAnsi="Arial;sans-serif"/>
          <w:b w:val="false"/>
          <w:sz w:val="20"/>
        </w:rPr>
      </w:pPr>
      <w:r>
        <w:rPr>
          <w:rFonts w:ascii="Arial;sans-serif" w:hAnsi="Arial;sans-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Arial;sans-serif" w:hAnsi="Arial;sans-serif"/>
          <w:b w:val="false"/>
          <w:sz w:val="20"/>
        </w:rPr>
      </w:pPr>
      <w:r>
        <w:rPr>
          <w:rFonts w:ascii="Arial;sans-serif" w:hAnsi="Arial;sans-serif"/>
          <w:b w:val="false"/>
          <w:sz w:val="20"/>
        </w:rPr>
        <w:t>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federal consumer protection and unfair competition laws, which broadly regulate marketplace activities and activities that potentially harm consumers.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0"/>
        <w:jc w:val="both"/>
        <w:rPr>
          <w:rFonts w:ascii="Times New Roman" w:hAnsi="Times New Roman"/>
          <w:sz w:val="20"/>
        </w:rPr>
      </w:pPr>
      <w:r>
        <w:rPr>
          <w:rFonts w:ascii="Arial;sans-serif" w:hAnsi="Arial;sans-serif"/>
          <w:b w:val="false"/>
          <w:sz w:val="20"/>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240" w:after="0"/>
        <w:jc w:val="both"/>
        <w:rPr>
          <w:rFonts w:ascii="Times New Roman" w:hAnsi="Times New Roman"/>
          <w:sz w:val="20"/>
        </w:rPr>
      </w:pPr>
      <w:r>
        <w:rPr>
          <w:rFonts w:ascii="Arial;sans-serif" w:hAnsi="Arial;sans-serif"/>
          <w:b/>
          <w:i/>
          <w:sz w:val="20"/>
        </w:rPr>
        <w:t>Our employees, independent contractors, consultants, commercial collaborators, principal investigators, CROs, suppliers and vendors may engage in misconduct or other improper activities, including noncompliance with regulatory standards and requirements.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40" w:after="0"/>
        <w:jc w:val="both"/>
        <w:rPr>
          <w:rFonts w:ascii="Times New Roman" w:hAnsi="Times New Roman"/>
          <w:sz w:val="20"/>
        </w:rPr>
      </w:pPr>
      <w:r>
        <w:rPr>
          <w:rFonts w:ascii="Arial;sans-serif" w:hAnsi="Arial;sans-serif"/>
          <w:b/>
          <w:i/>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0"/>
        <w:jc w:val="both"/>
        <w:rPr>
          <w:rFonts w:ascii="Times New Roman" w:hAnsi="Times New Roman"/>
          <w:sz w:val="20"/>
        </w:rPr>
      </w:pPr>
      <w:r>
        <w:rPr>
          <w:rFonts w:ascii="Arial;sans-serif" w:hAnsi="Arial;sans-serif"/>
          <w:b/>
          <w:i/>
          <w:sz w:val="20"/>
        </w:rPr>
        <w:t>We are subject to certain U.S. and foreign anti-corruption, anti-money laundering, export control, sanctions, and other trade laws and regulations. We can face serious consequences for violations.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240" w:after="0"/>
        <w:jc w:val="both"/>
        <w:rPr>
          <w:rFonts w:ascii="Arial;sans-serif" w:hAnsi="Arial;sans-serif"/>
          <w:b/>
          <w:sz w:val="20"/>
        </w:rPr>
      </w:pPr>
      <w:r>
        <w:rPr>
          <w:rFonts w:ascii="Arial;sans-serif" w:hAnsi="Arial;sans-serif"/>
          <w:b/>
          <w:sz w:val="20"/>
        </w:rPr>
        <w:t>Risks Relating to Our Reliance on Third Parties</w:t>
      </w:r>
    </w:p>
    <w:p>
      <w:pPr>
        <w:pStyle w:val="TextBody"/>
        <w:bidi w:val="0"/>
        <w:spacing w:before="240" w:after="0"/>
        <w:jc w:val="both"/>
        <w:rPr>
          <w:rFonts w:ascii="Times New Roman" w:hAnsi="Times New Roman"/>
          <w:sz w:val="20"/>
        </w:rPr>
      </w:pPr>
      <w:r>
        <w:rPr>
          <w:rFonts w:ascii="Arial;sans-serif" w:hAnsi="Arial;sans-serif"/>
          <w:b/>
          <w:i/>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utilize and depend upon independent investigators and collaborators, such as medical institutions, CROs, CMOs, and strategic partners to conduct and support our nonclinical studies and clinical trials under agreements with us.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0"/>
        <w:jc w:val="both"/>
        <w:rPr>
          <w:rFonts w:ascii="Arial;sans-serif" w:hAnsi="Arial;sans-serif"/>
          <w:b w:val="false"/>
          <w:sz w:val="20"/>
        </w:rPr>
      </w:pPr>
      <w:r>
        <w:rPr>
          <w:rFonts w:ascii="Arial;sans-serif" w:hAnsi="Arial;sans-serif"/>
          <w:b w:val="false"/>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before="240" w:after="0"/>
        <w:jc w:val="both"/>
        <w:rPr>
          <w:rFonts w:ascii="Arial;sans-serif" w:hAnsi="Arial;sans-serif"/>
          <w:b w:val="false"/>
          <w:sz w:val="20"/>
        </w:rPr>
      </w:pPr>
      <w:r>
        <w:rPr>
          <w:rFonts w:ascii="Arial;sans-serif" w:hAnsi="Arial;sans-serif"/>
          <w:b w:val="false"/>
          <w:sz w:val="20"/>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240" w:after="0"/>
        <w:jc w:val="both"/>
        <w:rPr>
          <w:rFonts w:ascii="Times New Roman" w:hAnsi="Times New Roman"/>
          <w:sz w:val="20"/>
        </w:rPr>
      </w:pPr>
      <w:r>
        <w:rPr>
          <w:rFonts w:ascii="Arial;sans-serif" w:hAnsi="Arial;sans-serif"/>
          <w:b/>
          <w:i/>
          <w:sz w:val="20"/>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i/>
          <w:sz w:val="20"/>
        </w:rPr>
      </w:pPr>
      <w:r>
        <w:rPr>
          <w:rFonts w:ascii="Arial;sans-serif" w:hAnsi="Arial;sans-serif"/>
          <w:b/>
          <w:i/>
          <w:sz w:val="20"/>
        </w:rPr>
        <w:t>or drugs or such quantities at an acceptable cost, which could delay, prevent or impair our development or commercialization efforts.</w:t>
      </w:r>
    </w:p>
    <w:p>
      <w:pPr>
        <w:pStyle w:val="TextBody"/>
        <w:bidi w:val="0"/>
        <w:spacing w:before="240" w:after="0"/>
        <w:jc w:val="both"/>
        <w:rPr>
          <w:rFonts w:ascii="Arial;sans-serif" w:hAnsi="Arial;sans-serif"/>
          <w:b w:val="false"/>
          <w:sz w:val="20"/>
        </w:rPr>
      </w:pPr>
      <w:r>
        <w:rPr>
          <w:rFonts w:ascii="Arial;sans-serif" w:hAnsi="Arial;sans-serif"/>
          <w:b w:val="false"/>
          <w:sz w:val="20"/>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and sometimes involve long lead times from order to receipt of the materials.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reduction or termination of production or deliveries by suppliers, or the raising of prices or renegotiation of terms;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termination or nonrenewal of arrangements or agreements by our third-party contractors at a time that is costly or inconvenient for us;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breach by the third-party contractors of our agreements with them;</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failure of third-party contractors to comply with applicable regulatory requirements;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failure of the third party to manufacture our product candidates according to our specifications;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mislabeling of clinical supplies, potentially resulting in the wrong dose amounts being supplied or active drug or placebo not being properly identified;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misappropriation of our proprietary information, including our trade secrets and know-how.</w:t>
      </w:r>
    </w:p>
    <w:p>
      <w:pPr>
        <w:pStyle w:val="TextBody"/>
        <w:bidi w:val="0"/>
        <w:spacing w:before="240" w:after="0"/>
        <w:jc w:val="both"/>
        <w:rPr>
          <w:rFonts w:ascii="Arial;sans-serif" w:hAnsi="Arial;sans-serif"/>
          <w:b w:val="false"/>
          <w:sz w:val="20"/>
        </w:rPr>
      </w:pPr>
      <w:r>
        <w:rPr>
          <w:rFonts w:ascii="Arial;sans-serif" w:hAnsi="Arial;sans-serif"/>
          <w:b w:val="false"/>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pStyle w:val="TextBody"/>
        <w:bidi w:val="0"/>
        <w:spacing w:before="240" w:after="0"/>
        <w:jc w:val="center"/>
        <w:rPr>
          <w:rFonts w:ascii="Arial;sans-serif" w:hAnsi="Arial;sans-serif"/>
          <w:b w:val="false"/>
          <w:sz w:val="20"/>
        </w:rPr>
      </w:pPr>
      <w:r>
        <w:rPr>
          <w:rFonts w:ascii="Arial;sans-serif" w:hAnsi="Arial;sans-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pStyle w:val="TextBody"/>
        <w:bidi w:val="0"/>
        <w:spacing w:before="240" w:after="0"/>
        <w:jc w:val="both"/>
        <w:rPr>
          <w:rFonts w:ascii="Arial;sans-serif" w:hAnsi="Arial;sans-serif"/>
          <w:b/>
          <w:i/>
          <w:sz w:val="20"/>
        </w:rPr>
      </w:pPr>
      <w:r>
        <w:rPr>
          <w:rFonts w:ascii="Arial;sans-serif" w:hAnsi="Arial;sans-serif"/>
          <w:b/>
          <w:i/>
          <w:sz w:val="20"/>
        </w:rPr>
        <w:t>If our third-party manufacturers use hazardous materials in a manner that causes injury or violates applicable law, we may be liable for damages.</w:t>
      </w:r>
    </w:p>
    <w:p>
      <w:pPr>
        <w:pStyle w:val="TextBody"/>
        <w:bidi w:val="0"/>
        <w:spacing w:before="240" w:after="0"/>
        <w:jc w:val="both"/>
        <w:rPr>
          <w:rFonts w:ascii="Arial;sans-serif" w:hAnsi="Arial;sans-serif"/>
          <w:b w:val="false"/>
          <w:sz w:val="20"/>
        </w:rPr>
      </w:pPr>
      <w:r>
        <w:rPr>
          <w:rFonts w:ascii="Arial;sans-serif" w:hAnsi="Arial;sans-serif"/>
          <w:b w:val="false"/>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40" w:after="0"/>
        <w:jc w:val="both"/>
        <w:rPr>
          <w:rFonts w:ascii="Times New Roman" w:hAnsi="Times New Roman"/>
          <w:sz w:val="20"/>
        </w:rPr>
      </w:pPr>
      <w:r>
        <w:rPr>
          <w:rFonts w:ascii="Arial;sans-serif" w:hAnsi="Arial;sans-serif"/>
          <w:b/>
          <w:i/>
          <w:sz w:val="20"/>
        </w:rPr>
        <w:t>We may use strategic collaborations, licensing arrangements or partnerships to accelerate the development and maximize the commercial potential of our programs,</w:t>
      </w:r>
      <w:r>
        <w:rPr>
          <w:rFonts w:ascii="Times New Roman" w:hAnsi="Times New Roman"/>
          <w:sz w:val="20"/>
        </w:rPr>
        <w:t xml:space="preserve"> </w:t>
      </w:r>
      <w:r>
        <w:rPr>
          <w:rFonts w:ascii="Arial;sans-serif" w:hAnsi="Arial;sans-serif"/>
          <w:b/>
          <w:i/>
          <w:sz w:val="20"/>
        </w:rPr>
        <w:t>and we may not realize the benefits of such collaborations, arrangements or partnerships.</w:t>
      </w:r>
    </w:p>
    <w:p>
      <w:pPr>
        <w:pStyle w:val="TextBody"/>
        <w:bidi w:val="0"/>
        <w:spacing w:before="240" w:after="0"/>
        <w:jc w:val="both"/>
        <w:rPr>
          <w:rFonts w:ascii="Arial;sans-serif" w:hAnsi="Arial;sans-serif"/>
          <w:b w:val="false"/>
          <w:sz w:val="20"/>
        </w:rPr>
      </w:pPr>
      <w:r>
        <w:rPr>
          <w:rFonts w:ascii="Arial;sans-serif" w:hAnsi="Arial;sans-serif"/>
          <w:b w:val="false"/>
          <w:sz w:val="20"/>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240" w:after="0"/>
        <w:jc w:val="both"/>
        <w:rPr>
          <w:rFonts w:ascii="Times New Roman" w:hAnsi="Times New Roman"/>
          <w:sz w:val="20"/>
        </w:rPr>
      </w:pPr>
      <w:r>
        <w:rPr>
          <w:rFonts w:ascii="Arial;sans-serif" w:hAnsi="Arial;sans-serif"/>
          <w:b w:val="false"/>
          <w:sz w:val="20"/>
        </w:rPr>
        <w:t>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In addition, the effects to our business and reputation discussed in “—</w:t>
      </w:r>
      <w:r>
        <w:rPr>
          <w:rFonts w:ascii="Arial;sans-serif" w:hAnsi="Arial;sans-serif"/>
          <w:b w:val="false"/>
          <w:i/>
          <w:sz w:val="20"/>
        </w:rPr>
        <w:t>An independent special committee of our board of directors engaged in a review of 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Arial;sans-serif" w:hAnsi="Arial;sans-serif"/>
          <w:b w:val="false"/>
          <w:sz w:val="20"/>
        </w:rPr>
        <w:t>,” may discourage potential counterparties from entering into relationships with us.</w:t>
      </w:r>
    </w:p>
    <w:p>
      <w:pPr>
        <w:pStyle w:val="TextBody"/>
        <w:bidi w:val="0"/>
        <w:spacing w:before="240" w:after="0"/>
        <w:jc w:val="center"/>
        <w:rPr>
          <w:rFonts w:ascii="Arial;sans-serif" w:hAnsi="Arial;sans-serif"/>
          <w:b w:val="false"/>
          <w:sz w:val="20"/>
        </w:rPr>
      </w:pPr>
      <w:r>
        <w:rPr>
          <w:rFonts w:ascii="Arial;sans-serif" w:hAnsi="Arial;sans-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240" w:after="0"/>
        <w:jc w:val="both"/>
        <w:rPr>
          <w:rFonts w:ascii="Arial;sans-serif" w:hAnsi="Arial;sans-serif"/>
          <w:b w:val="false"/>
          <w:sz w:val="20"/>
        </w:rPr>
      </w:pPr>
      <w:r>
        <w:rPr>
          <w:rFonts w:ascii="Arial;sans-serif" w:hAnsi="Arial;sans-serif"/>
          <w:b w:val="false"/>
          <w:sz w:val="20"/>
        </w:rPr>
        <w:t>Even if we are successful in entering into collaborations involving our product candidates, these relationships are subject to numerous risks, which may include the following: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collaborators have significant discretion in determining the efforts and resources that they will apply to a collaboration;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collaborators may delay clinical trials, provide insufficient funding for a clinical trial, stop a clinical trial, abandon a product candidate, repeat or conduct new clinical trials or require a new formulation of a product candidate for clinical testing;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collaborators could independently develop, or develop with third parties, products that compete directly or indirectly with our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 collaborator with marketing and distribution rights to one or more products may not commit sufficient resources to their marketing and distribution;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collaborations may be terminated and, if terminated, may result in a need for additional capital to pursue further development or commercialization of the applicable product candidates;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collaborators may own or co-own intellectual property covering our products that results from our collaborating with them, and in such cases, we would not have the exclusive right to commercialize such intellectual property.</w:t>
      </w:r>
    </w:p>
    <w:p>
      <w:pPr>
        <w:pStyle w:val="TextBody"/>
        <w:bidi w:val="0"/>
        <w:spacing w:before="240" w:after="0"/>
        <w:jc w:val="both"/>
        <w:rPr>
          <w:rFonts w:ascii="Arial;sans-serif" w:hAnsi="Arial;sans-serif"/>
          <w:b w:val="false"/>
          <w:sz w:val="20"/>
        </w:rPr>
      </w:pPr>
      <w:r>
        <w:rPr>
          <w:rFonts w:ascii="Arial;sans-serif" w:hAnsi="Arial;sans-serif"/>
          <w:b w:val="false"/>
          <w:sz w:val="20"/>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before="240" w:after="0"/>
        <w:jc w:val="both"/>
        <w:rPr>
          <w:rFonts w:ascii="Arial;sans-serif" w:hAnsi="Arial;sans-serif"/>
          <w:b/>
          <w:i/>
          <w:sz w:val="20"/>
        </w:rPr>
      </w:pPr>
      <w:r>
        <w:rPr>
          <w:rFonts w:ascii="Arial;sans-serif" w:hAnsi="Arial;sans-serif"/>
          <w:b/>
          <w:i/>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240" w:after="0"/>
        <w:jc w:val="both"/>
        <w:rPr>
          <w:rFonts w:ascii="Arial;sans-serif" w:hAnsi="Arial;sans-serif"/>
          <w:b w:val="false"/>
          <w:sz w:val="20"/>
        </w:rPr>
      </w:pPr>
      <w:r>
        <w:rPr>
          <w:rFonts w:ascii="Arial;sans-serif" w:hAnsi="Arial;sans-serif"/>
          <w:b w:val="false"/>
          <w:sz w:val="20"/>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increased operating expenses and cash requirements;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assumption of additional indebtedness or contingent liabilities;</w:t>
      </w:r>
    </w:p>
    <w:p>
      <w:pPr>
        <w:pStyle w:val="TextBody"/>
        <w:bidi w:val="0"/>
        <w:spacing w:before="240" w:after="0"/>
        <w:jc w:val="center"/>
        <w:rPr>
          <w:rFonts w:ascii="Arial;sans-serif" w:hAnsi="Arial;sans-serif"/>
          <w:b w:val="false"/>
          <w:sz w:val="20"/>
        </w:rPr>
      </w:pPr>
      <w:r>
        <w:rPr>
          <w:rFonts w:ascii="Arial;sans-serif" w:hAnsi="Arial;sans-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issuance of our equity securities;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assimilation of operations, intellectual property and products of an acquired company, including difficulties associated with integrating new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diversion of our management’s attention from our existing programs and initiatives in pursuing such a strategic merger or acquisition;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retention of key employees, the loss of key personnel and uncertainties in our ability to maintain key business relationships;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0"/>
        <w:jc w:val="both"/>
        <w:rPr>
          <w:rFonts w:ascii="Arial;sans-serif" w:hAnsi="Arial;sans-serif"/>
          <w:b/>
          <w:sz w:val="20"/>
        </w:rPr>
      </w:pPr>
      <w:r>
        <w:rPr>
          <w:rFonts w:ascii="Arial;sans-serif" w:hAnsi="Arial;sans-serif"/>
          <w:b/>
          <w:sz w:val="20"/>
        </w:rPr>
        <w:t>Risks Relating to Our Ability to Commercialize our Product</w:t>
      </w:r>
    </w:p>
    <w:p>
      <w:pPr>
        <w:pStyle w:val="TextBody"/>
        <w:bidi w:val="0"/>
        <w:spacing w:before="240" w:after="0"/>
        <w:jc w:val="both"/>
        <w:rPr>
          <w:rFonts w:ascii="Times New Roman" w:hAnsi="Times New Roman"/>
          <w:sz w:val="20"/>
        </w:rPr>
      </w:pPr>
      <w:r>
        <w:rPr>
          <w:rFonts w:ascii="Arial;sans-serif" w:hAnsi="Arial;sans-serif"/>
          <w:b/>
          <w:i/>
          <w:sz w:val="20"/>
        </w:rPr>
        <w:t>Even if approved, our product candidates may not achieve adequate market acceptance among physicians, patients, healthcare payors and others in the medical community necessary for commercial success.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Even if our product candidates receive regulatory approval, they may not gain adequate market acceptance among physicians, patients, healthcare payors and others in the medical community. The degree of market acceptance or reimbursement of any of our approved product candidates will depend on a number of factors,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efficacy and safety profile as demonstrated in clinical trials compared to alternative treatments;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timing of market introduction of the product candidate as well as competitive products;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clinical indications for which the product candidate is approved;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extent of physician acceptance of FDA-approved therapies for AD or other target indications;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restrictions on the use of our product candidates, such as boxed warnings or contraindications in labeling, or a REMS, if any, which may not be required of alternative treatments and competitor products;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potential and perceived advantages of product candidates over alternative treatments;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cost of treatment in relation to alternative treatments;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pricing and the availability of coverage and adequate reimbursement by third-party payors, including government authorities;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availability of the approved product candidate for use as a combination therapy;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relative convenience and ease of administration;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willingness of the target patient population to try new therapies and of physicians to prescribe these therapies;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effectiveness of sales and marketing efforts;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unfavorable publicity relating to our products or product candidates or similar approved products or product candidates in development by third parties;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approval of other new therapies for the same indications.</w:t>
      </w:r>
    </w:p>
    <w:p>
      <w:pPr>
        <w:pStyle w:val="TextBody"/>
        <w:bidi w:val="0"/>
        <w:spacing w:before="240" w:after="0"/>
        <w:jc w:val="both"/>
        <w:rPr>
          <w:rFonts w:ascii="Arial;sans-serif" w:hAnsi="Arial;sans-serif"/>
          <w:b w:val="false"/>
          <w:sz w:val="20"/>
        </w:rPr>
      </w:pPr>
      <w:r>
        <w:rPr>
          <w:rFonts w:ascii="Arial;sans-serif" w:hAnsi="Arial;sans-serif"/>
          <w:b w:val="false"/>
          <w:sz w:val="20"/>
        </w:rPr>
        <w:t>If any of our product candidates are approved but do not achieve an adequate level of acceptance by physicians, hospitals, healthcare payors and patients, we may not generate or derive sufficient revenue from such product candidates and our financial results could be negatively impacted.</w:t>
      </w:r>
    </w:p>
    <w:p>
      <w:pPr>
        <w:pStyle w:val="TextBody"/>
        <w:bidi w:val="0"/>
        <w:spacing w:before="240" w:after="0"/>
        <w:jc w:val="center"/>
        <w:rPr>
          <w:rFonts w:ascii="Arial;sans-serif" w:hAnsi="Arial;sans-serif"/>
          <w:b w:val="false"/>
          <w:sz w:val="20"/>
        </w:rPr>
      </w:pPr>
      <w:r>
        <w:rPr>
          <w:rFonts w:ascii="Arial;sans-serif" w:hAnsi="Arial;sans-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We have never commercialized a product candidate before and may lack the necessary expertise, personnel and resources to successfully commercialize any products on our own or together with suitable collaborators.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have never commercialized a product candidate. We may license certain rights with respect to our product candidates to collaborators, and, if so,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pStyle w:val="TextBody"/>
        <w:bidi w:val="0"/>
        <w:spacing w:before="240" w:after="0"/>
        <w:jc w:val="both"/>
        <w:rPr>
          <w:rFonts w:ascii="Arial;sans-serif" w:hAnsi="Arial;sans-serif"/>
          <w:b w:val="false"/>
          <w:sz w:val="20"/>
        </w:rPr>
      </w:pPr>
      <w:r>
        <w:rPr>
          <w:rFonts w:ascii="Arial;sans-serif" w:hAnsi="Arial;sans-serif"/>
          <w:b w:val="false"/>
          <w:sz w:val="20"/>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pStyle w:val="TextBody"/>
        <w:bidi w:val="0"/>
        <w:spacing w:before="240" w:after="0"/>
        <w:jc w:val="both"/>
        <w:rPr>
          <w:rFonts w:ascii="Arial;sans-serif" w:hAnsi="Arial;sans-serif"/>
          <w:b/>
          <w:i/>
          <w:sz w:val="20"/>
        </w:rPr>
      </w:pPr>
      <w:r>
        <w:rPr>
          <w:rFonts w:ascii="Arial;sans-serif" w:hAnsi="Arial;sans-serif"/>
          <w:b/>
          <w:i/>
          <w:sz w:val="20"/>
        </w:rPr>
        <w:t>If the market opportunity for any product candidate that we develop is smaller than we believe, our revenue may be adversely affected and our business may suffer.</w:t>
      </w:r>
    </w:p>
    <w:p>
      <w:pPr>
        <w:pStyle w:val="TextBody"/>
        <w:bidi w:val="0"/>
        <w:spacing w:before="240" w:after="0"/>
        <w:jc w:val="both"/>
        <w:rPr>
          <w:rFonts w:ascii="Arial;sans-serif" w:hAnsi="Arial;sans-serif"/>
          <w:b w:val="false"/>
          <w:sz w:val="20"/>
        </w:rPr>
      </w:pPr>
      <w:r>
        <w:rPr>
          <w:rFonts w:ascii="Arial;sans-serif" w:hAnsi="Arial;sans-serif"/>
          <w:b w:val="false"/>
          <w:sz w:val="20"/>
        </w:rPr>
        <w:t>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For example, pre-specified subgroup analysis based on topline data from our ACT-AD clinical trial identified a potential diminished effect of the combination of standard-of-care (AChEIs) and fosgonimeton. If such hypothesis is supported by additional research, patients receiving AChEIs could be excluded from the addressable patient population for fosgonimeton.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bidi w:val="0"/>
        <w:spacing w:before="240" w:after="0"/>
        <w:jc w:val="both"/>
        <w:rPr>
          <w:rFonts w:ascii="Times New Roman" w:hAnsi="Times New Roman"/>
          <w:sz w:val="20"/>
        </w:rPr>
      </w:pPr>
      <w:r>
        <w:rPr>
          <w:rFonts w:ascii="Arial;sans-serif" w:hAnsi="Arial;sans-serif"/>
          <w:b/>
          <w:i/>
          <w:sz w:val="20"/>
        </w:rPr>
        <w:t>If product liability lawsuits are brought against us, we may incur substantial liabilities and may be required to limit commercialization of our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face an inherent risk of product liability as a result of the planned clinical testing of our product candidates and will face an even greater risk if we commercialize any products. For example, we may be sued if our product candidates cause or are</w:t>
      </w:r>
      <w:r>
        <w:rPr>
          <w:rFonts w:ascii="Times New Roman" w:hAnsi="Times New Roman"/>
          <w:sz w:val="20"/>
        </w:rPr>
        <w:t xml:space="preserve"> </w:t>
      </w:r>
      <w:r>
        <w:rPr>
          <w:rFonts w:ascii="Arial;sans-serif" w:hAnsi="Arial;sans-serif"/>
          <w:b w:val="false"/>
          <w:sz w:val="20"/>
        </w:rPr>
        <w:t>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decreased demand for our product candidates or products that we may develop;</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injury to our reputation;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withdrawal of clinical trial participants;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initiation of investigations by regulators;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costs to defend the related litigation;</w:t>
      </w:r>
    </w:p>
    <w:p>
      <w:pPr>
        <w:pStyle w:val="TextBody"/>
        <w:bidi w:val="0"/>
        <w:spacing w:before="240" w:after="0"/>
        <w:jc w:val="center"/>
        <w:rPr>
          <w:rFonts w:ascii="Arial;sans-serif" w:hAnsi="Arial;sans-serif"/>
          <w:b w:val="false"/>
          <w:sz w:val="20"/>
        </w:rPr>
      </w:pPr>
      <w:r>
        <w:rPr>
          <w:rFonts w:ascii="Arial;sans-serif" w:hAnsi="Arial;sans-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diversion of management’s time and our resources;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substantial monetary awards to clinical trial participants or patients;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product recalls, withdrawals or labeling, marketing or promotional restrictions;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loss of revenue;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exhaustion of any available insurance and our capital resources;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inability to commercialize any product candidate;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 decline in our share price.</w:t>
      </w:r>
    </w:p>
    <w:p>
      <w:pPr>
        <w:pStyle w:val="TextBody"/>
        <w:bidi w:val="0"/>
        <w:spacing w:before="240" w:after="0"/>
        <w:jc w:val="both"/>
        <w:rPr>
          <w:rFonts w:ascii="Times New Roman" w:hAnsi="Times New Roman"/>
          <w:sz w:val="20"/>
        </w:rPr>
      </w:pPr>
      <w:r>
        <w:rPr>
          <w:rFonts w:ascii="Arial;sans-serif" w:hAnsi="Arial;sans-serif"/>
          <w:b w:val="false"/>
          <w:sz w:val="20"/>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240" w:after="0"/>
        <w:jc w:val="both"/>
        <w:rPr>
          <w:rFonts w:ascii="Arial;sans-serif" w:hAnsi="Arial;sans-serif"/>
          <w:b w:val="false"/>
          <w:sz w:val="20"/>
        </w:rPr>
      </w:pPr>
      <w:r>
        <w:rPr>
          <w:rFonts w:ascii="Arial;sans-serif" w:hAnsi="Arial;sans-serif"/>
          <w:b w:val="false"/>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 covered benefit under its health plan;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safe, effective and medically necessary;</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appropriate for the specific patient;</w:t>
      </w:r>
    </w:p>
    <w:p>
      <w:pPr>
        <w:pStyle w:val="TextBody"/>
        <w:bidi w:val="0"/>
        <w:spacing w:before="240" w:after="0"/>
        <w:jc w:val="center"/>
        <w:rPr>
          <w:rFonts w:ascii="Arial;sans-serif" w:hAnsi="Arial;sans-serif"/>
          <w:b w:val="false"/>
          <w:sz w:val="20"/>
        </w:rPr>
      </w:pPr>
      <w:r>
        <w:rPr>
          <w:rFonts w:ascii="Arial;sans-serif" w:hAnsi="Arial;sans-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cost-effective;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neither experimental nor investigational.</w:t>
      </w:r>
    </w:p>
    <w:p>
      <w:pPr>
        <w:pStyle w:val="TextBody"/>
        <w:bidi w:val="0"/>
        <w:spacing w:before="240" w:after="0"/>
        <w:jc w:val="both"/>
        <w:rPr>
          <w:rFonts w:ascii="Times New Roman" w:hAnsi="Times New Roman"/>
          <w:sz w:val="20"/>
        </w:rPr>
      </w:pPr>
      <w:r>
        <w:rPr>
          <w:rFonts w:ascii="Arial;sans-serif" w:hAnsi="Arial;sans-serif"/>
          <w:b w:val="false"/>
          <w:sz w:val="20"/>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w:t>
      </w:r>
      <w:r>
        <w:rPr>
          <w:rFonts w:ascii="Times New Roman" w:hAnsi="Times New Roman"/>
          <w:sz w:val="20"/>
        </w:rPr>
        <w:t xml:space="preserve"> </w:t>
      </w:r>
      <w:r>
        <w:rPr>
          <w:rFonts w:ascii="Arial;sans-serif" w:hAnsi="Arial;sans-serif"/>
          <w:b w:val="false"/>
          <w:sz w:val="20"/>
        </w:rPr>
        <w:t>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pStyle w:val="TextBody"/>
        <w:bidi w:val="0"/>
        <w:spacing w:before="240" w:after="0"/>
        <w:jc w:val="both"/>
        <w:rPr>
          <w:rFonts w:ascii="Arial;sans-serif" w:hAnsi="Arial;sans-serif"/>
          <w:b w:val="false"/>
          <w:sz w:val="20"/>
        </w:rPr>
      </w:pPr>
      <w:r>
        <w:rPr>
          <w:rFonts w:ascii="Arial;sans-serif" w:hAnsi="Arial;sans-serif"/>
          <w:b w:val="false"/>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pStyle w:val="TextBody"/>
        <w:bidi w:val="0"/>
        <w:spacing w:before="240" w:after="0"/>
        <w:jc w:val="both"/>
        <w:rPr>
          <w:rFonts w:ascii="Arial;sans-serif" w:hAnsi="Arial;sans-serif"/>
          <w:b w:val="false"/>
          <w:sz w:val="20"/>
        </w:rPr>
      </w:pPr>
      <w:r>
        <w:rPr>
          <w:rFonts w:ascii="Arial;sans-serif" w:hAnsi="Arial;sans-serif"/>
          <w:b w:val="false"/>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pStyle w:val="TextBody"/>
        <w:bidi w:val="0"/>
        <w:spacing w:before="240" w:after="0"/>
        <w:jc w:val="both"/>
        <w:rPr>
          <w:rFonts w:ascii="Times New Roman" w:hAnsi="Times New Roman"/>
          <w:sz w:val="20"/>
        </w:rPr>
      </w:pPr>
      <w:r>
        <w:rPr>
          <w:rFonts w:ascii="Arial;sans-serif" w:hAnsi="Arial;sans-serif"/>
          <w:b w:val="false"/>
          <w:sz w:val="20"/>
        </w:rPr>
        <w:t>Increasingly, third-party payors are requiring that drug companies provide them with predetermined discounts from list prices and are challenging the prices charged for medical products. We cannot be sure that reimbursement will be available for any</w:t>
      </w:r>
      <w:r>
        <w:rPr>
          <w:rFonts w:ascii="Times New Roman" w:hAnsi="Times New Roman"/>
          <w:sz w:val="20"/>
        </w:rPr>
        <w:t xml:space="preserve"> </w:t>
      </w:r>
      <w:r>
        <w:rPr>
          <w:rFonts w:ascii="Arial;sans-serif" w:hAnsi="Arial;sans-serif"/>
          <w:b w:val="false"/>
          <w:sz w:val="20"/>
        </w:rPr>
        <w:t>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before="240" w:after="0"/>
        <w:jc w:val="both"/>
        <w:rPr>
          <w:rFonts w:ascii="Times New Roman" w:hAnsi="Times New Roman"/>
          <w:sz w:val="20"/>
        </w:rPr>
      </w:pPr>
      <w:r>
        <w:rPr>
          <w:rFonts w:ascii="Arial;sans-serif" w:hAnsi="Arial;sans-serif"/>
          <w:b/>
          <w:i/>
          <w:sz w:val="20"/>
        </w:rPr>
        <w:t>A variety of risks associated with marketing our product candidates internationally may materially adversely affect our business.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differing regulatory requirements in foreign countries, such as the lack of pathways for accelerated drug approval, may result in foreign regulatory approvals taking longer and being more costly than obtaining approval in the United States;</w:t>
      </w:r>
    </w:p>
    <w:p>
      <w:pPr>
        <w:pStyle w:val="TextBody"/>
        <w:bidi w:val="0"/>
        <w:spacing w:before="240" w:after="0"/>
        <w:jc w:val="center"/>
        <w:rPr>
          <w:rFonts w:ascii="Arial;sans-serif" w:hAnsi="Arial;sans-serif"/>
          <w:b w:val="false"/>
          <w:sz w:val="20"/>
        </w:rPr>
      </w:pPr>
      <w:r>
        <w:rPr>
          <w:rFonts w:ascii="Arial;sans-serif" w:hAnsi="Arial;sans-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foreign regulatory authorities may disagree with the design, implementation or results of our clinical trials or our interpretation of data from nonclinical studies or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approval policies or regulations of foreign regulatory authorities may significantly change in a manner rendering our clinical data insufficient for approval;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impact of health epidemics, including COVID-19, on our ability to produce our product candidates and conduct clinical trials in foreign countries;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unexpected changes in tariffs, trade barriers, price and exchange controls and other regulatory requirements;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economic weakness, including inflation, or political instability in particular foreign economies and markets;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compliance with legal requirements applicable to privacy, data protection, information security and other matters;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compliance with tax, employment, immigration and labor laws for employees living or traveling abroad;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foreign taxes, including withholding of payroll taxes;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foreign currency fluctuations, which could result in increased operating expenses and reduced revenue, and other obligations incident to doing business in another country;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difficulties staffing and managing foreign operations;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complexities associated with managing multiple payor reimbursement regimes and government payors in foreign countries;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workforce uncertainty in countries where labor unrest is more common than in the United States;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potential liability under the Foreign Corrupt Practices Act of 1977 or comparable foreign regulations;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production shortages resulting from any events affecting raw material supply or manufacturing capabilities abroad;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business interruptions resulting from geo-political actions, including war and terrorism.</w:t>
      </w:r>
    </w:p>
    <w:p>
      <w:pPr>
        <w:pStyle w:val="TextBody"/>
        <w:bidi w:val="0"/>
        <w:spacing w:before="240" w:after="0"/>
        <w:jc w:val="both"/>
        <w:rPr>
          <w:rFonts w:ascii="Arial;sans-serif" w:hAnsi="Arial;sans-serif"/>
          <w:b w:val="false"/>
          <w:sz w:val="20"/>
        </w:rPr>
      </w:pPr>
      <w:r>
        <w:rPr>
          <w:rFonts w:ascii="Arial;sans-serif" w:hAnsi="Arial;sans-serif"/>
          <w:b w:val="false"/>
          <w:sz w:val="20"/>
        </w:rPr>
        <w:t>These and other risks associated with international operations may materially adversely affect our ability to attain or maintain profitable operations.</w:t>
      </w:r>
    </w:p>
    <w:p>
      <w:pPr>
        <w:pStyle w:val="TextBody"/>
        <w:bidi w:val="0"/>
        <w:spacing w:before="240" w:after="0"/>
        <w:jc w:val="both"/>
        <w:rPr>
          <w:rFonts w:ascii="Arial;sans-serif" w:hAnsi="Arial;sans-serif"/>
          <w:b/>
          <w:sz w:val="20"/>
        </w:rPr>
      </w:pPr>
      <w:r>
        <w:rPr>
          <w:rFonts w:ascii="Arial;sans-serif" w:hAnsi="Arial;sans-serif"/>
          <w:b/>
          <w:sz w:val="20"/>
        </w:rPr>
        <w:t>Risks Relating to Our Intellectual Property</w:t>
      </w:r>
    </w:p>
    <w:p>
      <w:pPr>
        <w:pStyle w:val="TextBody"/>
        <w:bidi w:val="0"/>
        <w:spacing w:before="240" w:after="0"/>
        <w:jc w:val="both"/>
        <w:rPr>
          <w:rFonts w:ascii="Times New Roman" w:hAnsi="Times New Roman"/>
          <w:sz w:val="20"/>
        </w:rPr>
      </w:pPr>
      <w:r>
        <w:rPr>
          <w:rFonts w:ascii="Arial;sans-serif" w:hAnsi="Arial;sans-serif"/>
          <w:b/>
          <w:i/>
          <w:sz w:val="20"/>
        </w:rPr>
        <w:t>Our success depends on our ability to protect our intellectual property and our proprietary technologies.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pStyle w:val="TextBody"/>
        <w:bidi w:val="0"/>
        <w:spacing w:before="240" w:after="0"/>
        <w:jc w:val="both"/>
        <w:rPr>
          <w:rFonts w:ascii="Arial;sans-serif" w:hAnsi="Arial;sans-serif"/>
          <w:b w:val="false"/>
          <w:sz w:val="20"/>
        </w:rPr>
      </w:pPr>
      <w:r>
        <w:rPr>
          <w:rFonts w:ascii="Arial;sans-serif" w:hAnsi="Arial;sans-serif"/>
          <w:b w:val="false"/>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pStyle w:val="TextBody"/>
        <w:bidi w:val="0"/>
        <w:spacing w:before="240" w:after="0"/>
        <w:jc w:val="both"/>
        <w:rPr>
          <w:rFonts w:ascii="Times New Roman" w:hAnsi="Times New Roman"/>
          <w:sz w:val="20"/>
        </w:rPr>
      </w:pPr>
      <w:r>
        <w:rPr>
          <w:rFonts w:ascii="Arial;sans-serif" w:hAnsi="Arial;sans-serif"/>
          <w:b w:val="false"/>
          <w:sz w:val="20"/>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in our ability to properly protect the intellectual property rights relating to our product candidates could have a material adverse effect on our financial condition and results of operations.</w:t>
      </w:r>
    </w:p>
    <w:p>
      <w:pPr>
        <w:pStyle w:val="TextBody"/>
        <w:bidi w:val="0"/>
        <w:spacing w:before="240" w:after="0"/>
        <w:jc w:val="both"/>
        <w:rPr>
          <w:rFonts w:ascii="Arial;sans-serif" w:hAnsi="Arial;sans-serif"/>
          <w:b w:val="false"/>
          <w:sz w:val="20"/>
        </w:rPr>
      </w:pPr>
      <w:r>
        <w:rPr>
          <w:rFonts w:ascii="Arial;sans-serif" w:hAnsi="Arial;sans-serif"/>
          <w:b w:val="false"/>
          <w:sz w:val="20"/>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pStyle w:val="TextBody"/>
        <w:bidi w:val="0"/>
        <w:spacing w:before="240" w:after="0"/>
        <w:jc w:val="both"/>
        <w:rPr>
          <w:rFonts w:ascii="Arial;sans-serif" w:hAnsi="Arial;sans-serif"/>
          <w:b w:val="false"/>
          <w:sz w:val="20"/>
        </w:rPr>
      </w:pPr>
      <w:r>
        <w:rPr>
          <w:rFonts w:ascii="Arial;sans-serif" w:hAnsi="Arial;sans-serif"/>
          <w:b w:val="false"/>
          <w:sz w:val="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patent applications may not result in any patents being issued;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patents and patent applications may be challenged, invalidated, modified, revoked, circumvented, found to be unenforceable or otherwise may not provide any competitive advantage;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changes to patent laws in the United States or in other countries may limit the ability to obtain, defend or enforce patents, or may apply retroactively to affect the terms or scope of patents;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240" w:after="0"/>
        <w:jc w:val="both"/>
        <w:rPr>
          <w:rFonts w:ascii="Arial;sans-serif" w:hAnsi="Arial;sans-serif"/>
          <w:b w:val="false"/>
          <w:sz w:val="20"/>
        </w:rPr>
      </w:pPr>
      <w:r>
        <w:rPr>
          <w:rFonts w:ascii="Arial;sans-serif" w:hAnsi="Arial;sans-serif"/>
          <w:b w:val="false"/>
          <w:sz w:val="20"/>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pStyle w:val="TextBody"/>
        <w:bidi w:val="0"/>
        <w:spacing w:before="240" w:after="0"/>
        <w:jc w:val="both"/>
        <w:rPr>
          <w:rFonts w:ascii="Arial;sans-serif" w:hAnsi="Arial;sans-serif"/>
          <w:b w:val="false"/>
          <w:sz w:val="20"/>
        </w:rPr>
      </w:pPr>
      <w:r>
        <w:rPr>
          <w:rFonts w:ascii="Arial;sans-serif" w:hAnsi="Arial;sans-serif"/>
          <w:b w:val="false"/>
          <w:sz w:val="20"/>
        </w:rPr>
        <w:t>Given the amount of time required for the development, testing and regulatory review of new product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240" w:after="0"/>
        <w:jc w:val="both"/>
        <w:rPr>
          <w:rFonts w:ascii="Times New Roman" w:hAnsi="Times New Roman"/>
          <w:sz w:val="20"/>
        </w:rPr>
      </w:pPr>
      <w:r>
        <w:rPr>
          <w:rFonts w:ascii="Arial;sans-serif" w:hAnsi="Arial;sans-serif"/>
          <w:b/>
          <w:i/>
          <w:sz w:val="20"/>
        </w:rPr>
        <w:t>If the scope of any patent protection we obtain is not sufficiently broad, or if we lose any of our patent protection, our ability to prevent our competitors from commercializing similar or identical product candidates would be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patent position of biopharmaceutical companies generally is highly uncertain, involves complex legal and factual questions, and has been the subject of much litigation in recent years. As a result, the issuance, scope, validity,</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enforceability and commercial value of our patent rights are highly uncertain. Our pending and future patent applications and those of any current or future licensors may not result in patents being issued which protect our product candidates or their use or which effectively prevent others from commercializing competitive product candidates.</w:t>
      </w:r>
    </w:p>
    <w:p>
      <w:pPr>
        <w:pStyle w:val="TextBody"/>
        <w:bidi w:val="0"/>
        <w:spacing w:before="240" w:after="0"/>
        <w:jc w:val="both"/>
        <w:rPr>
          <w:rFonts w:ascii="Arial;sans-serif" w:hAnsi="Arial;sans-serif"/>
          <w:b w:val="false"/>
          <w:sz w:val="20"/>
        </w:rPr>
      </w:pPr>
      <w:r>
        <w:rPr>
          <w:rFonts w:ascii="Arial;sans-serif" w:hAnsi="Arial;sans-serif"/>
          <w:b w:val="false"/>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product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pStyle w:val="TextBody"/>
        <w:bidi w:val="0"/>
        <w:spacing w:before="240" w:after="0"/>
        <w:jc w:val="both"/>
        <w:rPr>
          <w:rFonts w:ascii="Times New Roman" w:hAnsi="Times New Roman"/>
          <w:sz w:val="20"/>
        </w:rPr>
      </w:pPr>
      <w:r>
        <w:rPr>
          <w:rFonts w:ascii="Arial;sans-serif" w:hAnsi="Arial;sans-serif"/>
          <w:b w:val="false"/>
          <w:sz w:val="20"/>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sans-serif" w:hAnsi="Arial;sans-serif"/>
          <w:b w:val="false"/>
          <w:i/>
          <w:sz w:val="20"/>
        </w:rPr>
        <w:t xml:space="preserve">inter partes </w:t>
      </w:r>
      <w:r>
        <w:rPr>
          <w:rFonts w:ascii="Arial;sans-serif" w:hAnsi="Arial;sans-serif"/>
          <w:b w:val="false"/>
          <w:sz w:val="20"/>
        </w:rPr>
        <w:t>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pStyle w:val="TextBody"/>
        <w:bidi w:val="0"/>
        <w:spacing w:before="240" w:after="0"/>
        <w:jc w:val="both"/>
        <w:rPr>
          <w:rFonts w:ascii="Times New Roman" w:hAnsi="Times New Roman"/>
          <w:sz w:val="20"/>
        </w:rPr>
      </w:pPr>
      <w:r>
        <w:rPr>
          <w:rFonts w:ascii="Arial;sans-serif" w:hAnsi="Arial;sans-serif"/>
          <w:b w:val="false"/>
          <w:sz w:val="20"/>
        </w:rPr>
        <w:t>For example, in view of the lawsuits disclosed elsewhere in this report including in this “Risk Factors” section under the heading “</w:t>
      </w:r>
      <w:r>
        <w:rPr>
          <w:rFonts w:ascii="Times New Roman" w:hAnsi="Times New Roman"/>
          <w:sz w:val="20"/>
        </w:rPr>
        <w:t>—</w:t>
      </w:r>
      <w:r>
        <w:rPr>
          <w:rFonts w:ascii="Arial;sans-serif" w:hAnsi="Arial;sans-serif"/>
          <w:b w:val="false"/>
          <w:i/>
          <w:sz w:val="20"/>
        </w:rPr>
        <w:t>We and certain of our directors and executive officers have been, and may in the future be, named as defendants in lawsuits that could result in substantial costs and divert management’s attention</w:t>
      </w:r>
      <w:r>
        <w:rPr>
          <w:rFonts w:ascii="Arial;sans-serif" w:hAnsi="Arial;sans-serif"/>
          <w:b w:val="false"/>
          <w:sz w:val="20"/>
        </w:rPr>
        <w:t>,” and in “Part II, Item 1—Legal Proceedings,” third parties may challenge the validity 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product candidates. Further, these proceedings could have a material adverse effect on our business, results of operations and financial condition.</w:t>
      </w:r>
    </w:p>
    <w:p>
      <w:pPr>
        <w:pStyle w:val="TextBody"/>
        <w:bidi w:val="0"/>
        <w:spacing w:before="240" w:after="0"/>
        <w:jc w:val="both"/>
        <w:rPr>
          <w:rFonts w:ascii="Arial;sans-serif" w:hAnsi="Arial;sans-serif"/>
          <w:b w:val="false"/>
          <w:sz w:val="20"/>
        </w:rPr>
      </w:pPr>
      <w:r>
        <w:rPr>
          <w:rFonts w:ascii="Arial;sans-serif" w:hAnsi="Arial;sans-serif"/>
          <w:b w:val="false"/>
          <w:sz w:val="20"/>
        </w:rPr>
        <w:t>Even though we own patents and patent applications covering fosgonimeton and its use, our patents and any future patents we obtain may not effectively prevent others from developing or commercializing products similar to our product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product candidates, even if the eventual outcome is favorable to us.</w:t>
      </w:r>
    </w:p>
    <w:p>
      <w:pPr>
        <w:pStyle w:val="TextBody"/>
        <w:bidi w:val="0"/>
        <w:spacing w:before="240" w:after="0"/>
        <w:jc w:val="both"/>
        <w:rPr>
          <w:rFonts w:ascii="Arial;sans-serif" w:hAnsi="Arial;sans-serif"/>
          <w:b w:val="false"/>
          <w:sz w:val="20"/>
        </w:rPr>
      </w:pPr>
      <w:r>
        <w:rPr>
          <w:rFonts w:ascii="Arial;sans-serif" w:hAnsi="Arial;sans-serif"/>
          <w:b w:val="false"/>
          <w:sz w:val="20"/>
        </w:rPr>
        <w:t>We 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pStyle w:val="TextBody"/>
        <w:bidi w:val="0"/>
        <w:spacing w:before="240" w:after="0"/>
        <w:jc w:val="center"/>
        <w:rPr>
          <w:rFonts w:ascii="Arial;sans-serif" w:hAnsi="Arial;sans-serif"/>
          <w:b w:val="false"/>
          <w:sz w:val="20"/>
        </w:rPr>
      </w:pPr>
      <w:r>
        <w:rPr>
          <w:rFonts w:ascii="Arial;sans-serif" w:hAnsi="Arial;sans-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Intellectual property rights do not necessarily address all potential threats to our competitive advantage.</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others may be able to develop products that are similar to our product candidates but that are not covered by the claims of the patents that we own or license;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or any current or future licensors or collaborators might not have been the first to make the inventions covered by the issued patents or patent application that we own or license;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or any current or future licensors or collaborators might not have been the first to file patent applications covering certain of our or their inventions;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others may independently develop similar or alternative technologies or duplicate any of our technologies without infringing our intellectual property rights;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it is possible that the pending patent applications we own or license will not lead to issued patents;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issued patents that we own or license may be held invalid or unenforceable, as a result of legal challenges by our competitors;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we may not develop additional proprietary technologies that are patentable;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patents of others may have an adverse effect on our business;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we may choose not to file a patent in order to maintain certain trade secrets or know-how, and a third party may subsequently file a patent covering such intellectual property.</w:t>
      </w:r>
    </w:p>
    <w:p>
      <w:pPr>
        <w:pStyle w:val="TextBody"/>
        <w:bidi w:val="0"/>
        <w:spacing w:before="240" w:after="0"/>
        <w:jc w:val="both"/>
        <w:rPr>
          <w:rFonts w:ascii="Arial;sans-serif" w:hAnsi="Arial;sans-serif"/>
          <w:b w:val="false"/>
          <w:sz w:val="20"/>
        </w:rPr>
      </w:pPr>
      <w:r>
        <w:rPr>
          <w:rFonts w:ascii="Arial;sans-serif" w:hAnsi="Arial;sans-serif"/>
          <w:b w:val="false"/>
          <w:sz w:val="20"/>
        </w:rPr>
        <w:t>Should any of these events occur, it could significantly harm our business, results of operations and prospects.</w:t>
      </w:r>
    </w:p>
    <w:p>
      <w:pPr>
        <w:pStyle w:val="TextBody"/>
        <w:bidi w:val="0"/>
        <w:spacing w:before="240" w:after="0"/>
        <w:jc w:val="both"/>
        <w:rPr>
          <w:rFonts w:ascii="Arial;sans-serif" w:hAnsi="Arial;sans-serif"/>
          <w:b/>
          <w:i/>
          <w:sz w:val="20"/>
        </w:rPr>
      </w:pPr>
      <w:r>
        <w:rPr>
          <w:rFonts w:ascii="Arial;sans-serif" w:hAnsi="Arial;sans-serif"/>
          <w:b/>
          <w:i/>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240" w:after="0"/>
        <w:jc w:val="both"/>
        <w:rPr>
          <w:rFonts w:ascii="Arial;sans-serif" w:hAnsi="Arial;sans-serif"/>
          <w:b w:val="false"/>
          <w:sz w:val="20"/>
        </w:rPr>
      </w:pPr>
      <w:r>
        <w:rPr>
          <w:rFonts w:ascii="Arial;sans-serif" w:hAnsi="Arial;sans-serif"/>
          <w:b w:val="false"/>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compositions, materials, formulations, methods of manufacture or methods for treatment related to the use or manufacture of our product candidates.</w:t>
      </w:r>
    </w:p>
    <w:p>
      <w:pPr>
        <w:pStyle w:val="TextBody"/>
        <w:bidi w:val="0"/>
        <w:spacing w:before="240" w:after="0"/>
        <w:jc w:val="both"/>
        <w:rPr>
          <w:rFonts w:ascii="Times New Roman" w:hAnsi="Times New Roman"/>
          <w:sz w:val="20"/>
        </w:rPr>
      </w:pPr>
      <w:r>
        <w:rPr>
          <w:rFonts w:ascii="Arial;sans-serif" w:hAnsi="Arial;sans-serif"/>
          <w:b w:val="false"/>
          <w:sz w:val="20"/>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product candidates, and we cannot be certain that we were the first to file a patent application related to a product candidate, its use, or our technology. Moreover, because patent applications can take many years to issue, there may be currently-pending patent applications that may later result in issued patents that our product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or import our product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result in costly litigation that may cause negative publicity;</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divert the time and attention of our technical personnel and management;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cause development delays;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prevent us from commercializing any of our product candidates until the asserted patent expires or is held finally invalid or not infringed in a court of law;</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require us to develop non-infringing technology, which may not be possible on a cost-effective basis;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subject us to significant liability to third parties; or</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240" w:after="0"/>
        <w:jc w:val="both"/>
        <w:rPr>
          <w:rFonts w:ascii="Arial;sans-serif" w:hAnsi="Arial;sans-serif"/>
          <w:b w:val="false"/>
          <w:sz w:val="20"/>
        </w:rPr>
      </w:pPr>
      <w:r>
        <w:rPr>
          <w:rFonts w:ascii="Arial;sans-serif" w:hAnsi="Arial;sans-serif"/>
          <w:b w:val="false"/>
          <w:sz w:val="20"/>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240" w:after="0"/>
        <w:jc w:val="both"/>
        <w:rPr>
          <w:rFonts w:ascii="Arial;sans-serif" w:hAnsi="Arial;sans-serif"/>
          <w:b w:val="false"/>
          <w:sz w:val="20"/>
        </w:rPr>
      </w:pPr>
      <w:r>
        <w:rPr>
          <w:rFonts w:ascii="Arial;sans-serif" w:hAnsi="Arial;sans-serif"/>
          <w:b w:val="false"/>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240" w:after="0"/>
        <w:jc w:val="both"/>
        <w:rPr>
          <w:rFonts w:ascii="Times New Roman" w:hAnsi="Times New Roman"/>
          <w:sz w:val="20"/>
        </w:rPr>
      </w:pPr>
      <w:r>
        <w:rPr>
          <w:rFonts w:ascii="Arial;sans-serif" w:hAnsi="Arial;sans-serif"/>
          <w:b/>
          <w:i/>
          <w:sz w:val="20"/>
        </w:rPr>
        <w:t>We may not be successful in obtaining or maintaining necessary rights to our product candidates through acquisitions and in-licenses.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240" w:after="0"/>
        <w:jc w:val="center"/>
        <w:rPr>
          <w:rFonts w:ascii="Arial;sans-serif" w:hAnsi="Arial;sans-serif"/>
          <w:b w:val="false"/>
          <w:sz w:val="20"/>
        </w:rPr>
      </w:pPr>
      <w:r>
        <w:rPr>
          <w:rFonts w:ascii="Arial;sans-serif" w:hAnsi="Arial;sans-serif"/>
          <w:b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product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pStyle w:val="TextBody"/>
        <w:bidi w:val="0"/>
        <w:spacing w:before="240" w:after="0"/>
        <w:jc w:val="both"/>
        <w:rPr>
          <w:rFonts w:ascii="Arial;sans-serif" w:hAnsi="Arial;sans-serif"/>
          <w:b w:val="false"/>
          <w:sz w:val="20"/>
        </w:rPr>
      </w:pPr>
      <w:r>
        <w:rPr>
          <w:rFonts w:ascii="Arial;sans-serif" w:hAnsi="Arial;sans-serif"/>
          <w:b w:val="false"/>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product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pStyle w:val="TextBody"/>
        <w:bidi w:val="0"/>
        <w:spacing w:before="240" w:after="0"/>
        <w:jc w:val="both"/>
        <w:rPr>
          <w:rFonts w:ascii="Arial;sans-serif" w:hAnsi="Arial;sans-serif"/>
          <w:b w:val="false"/>
          <w:sz w:val="20"/>
        </w:rPr>
      </w:pPr>
      <w:r>
        <w:rPr>
          <w:rFonts w:ascii="Arial;sans-serif" w:hAnsi="Arial;sans-serif"/>
          <w:b w:val="false"/>
          <w:sz w:val="20"/>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pStyle w:val="TextBody"/>
        <w:bidi w:val="0"/>
        <w:spacing w:before="240" w:after="0"/>
        <w:jc w:val="both"/>
        <w:rPr>
          <w:rFonts w:ascii="Arial;sans-serif" w:hAnsi="Arial;sans-serif"/>
          <w:b w:val="false"/>
          <w:sz w:val="20"/>
        </w:rPr>
      </w:pPr>
      <w:r>
        <w:rPr>
          <w:rFonts w:ascii="Arial;sans-serif" w:hAnsi="Arial;sans-serif"/>
          <w:b w:val="false"/>
          <w:sz w:val="20"/>
        </w:rPr>
        <w:t>If a third party were to prevail on a legal assertion of invalidity or unenforceability, we may lose at least part, and perhaps all, of the patent protection on such product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product candidates. Such a loss of patent protection would have a material adverse impact on our business.</w:t>
      </w:r>
    </w:p>
    <w:p>
      <w:pPr>
        <w:pStyle w:val="TextBody"/>
        <w:bidi w:val="0"/>
        <w:spacing w:before="240" w:after="0"/>
        <w:jc w:val="both"/>
        <w:rPr>
          <w:rFonts w:ascii="Arial;sans-serif" w:hAnsi="Arial;sans-serif"/>
          <w:b w:val="false"/>
          <w:sz w:val="20"/>
        </w:rPr>
      </w:pPr>
      <w:r>
        <w:rPr>
          <w:rFonts w:ascii="Arial;sans-serif" w:hAnsi="Arial;sans-serif"/>
          <w:b w:val="false"/>
          <w:sz w:val="20"/>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240" w:after="0"/>
        <w:jc w:val="both"/>
        <w:rPr>
          <w:rFonts w:ascii="Arial;sans-serif" w:hAnsi="Arial;sans-serif"/>
          <w:b w:val="false"/>
          <w:sz w:val="20"/>
        </w:rPr>
      </w:pPr>
      <w:r>
        <w:rPr>
          <w:rFonts w:ascii="Arial;sans-serif" w:hAnsi="Arial;sans-serif"/>
          <w:b w:val="false"/>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0"/>
        <w:jc w:val="center"/>
        <w:rPr>
          <w:rFonts w:ascii="Arial;sans-serif" w:hAnsi="Arial;sans-serif"/>
          <w:b w:val="false"/>
          <w:sz w:val="20"/>
        </w:rPr>
      </w:pPr>
      <w:r>
        <w:rPr>
          <w:rFonts w:ascii="Arial;sans-serif" w:hAnsi="Arial;sans-serif"/>
          <w:b w:val="false"/>
          <w:sz w:val="20"/>
        </w:rPr>
        <w:t>78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bidi w:val="0"/>
        <w:spacing w:before="240" w:after="0"/>
        <w:jc w:val="both"/>
        <w:rPr>
          <w:rFonts w:ascii="Arial;sans-serif" w:hAnsi="Arial;sans-serif"/>
          <w:b/>
          <w:i/>
          <w:sz w:val="20"/>
        </w:rPr>
      </w:pPr>
      <w:r>
        <w:rPr>
          <w:rFonts w:ascii="Arial;sans-serif" w:hAnsi="Arial;sans-serif"/>
          <w:b/>
          <w:i/>
          <w:sz w:val="20"/>
        </w:rPr>
        <w:t>Intellectual property litigation or legal proceedings may lead to unfavorable publicity that harms our reputation and causes the market price of our common stock to decline.</w:t>
      </w:r>
    </w:p>
    <w:p>
      <w:pPr>
        <w:pStyle w:val="TextBody"/>
        <w:bidi w:val="0"/>
        <w:spacing w:before="240" w:after="0"/>
        <w:jc w:val="both"/>
        <w:rPr>
          <w:rFonts w:ascii="Arial;sans-serif" w:hAnsi="Arial;sans-serif"/>
          <w:b w:val="false"/>
          <w:sz w:val="20"/>
        </w:rPr>
      </w:pPr>
      <w:r>
        <w:rPr>
          <w:rFonts w:ascii="Arial;sans-serif" w:hAnsi="Arial;sans-serif"/>
          <w:b w:val="false"/>
          <w:sz w:val="20"/>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before="240" w:after="0"/>
        <w:jc w:val="both"/>
        <w:rPr>
          <w:rFonts w:ascii="Times New Roman" w:hAnsi="Times New Roman"/>
          <w:sz w:val="20"/>
        </w:rPr>
      </w:pPr>
      <w:r>
        <w:rPr>
          <w:rFonts w:ascii="Arial;sans-serif" w:hAnsi="Arial;sans-serif"/>
          <w:b/>
          <w:i/>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pStyle w:val="TextBody"/>
        <w:bidi w:val="0"/>
        <w:spacing w:before="240" w:after="0"/>
        <w:jc w:val="both"/>
        <w:rPr>
          <w:rFonts w:ascii="Times New Roman" w:hAnsi="Times New Roman"/>
          <w:sz w:val="20"/>
        </w:rPr>
      </w:pPr>
      <w:r>
        <w:rPr>
          <w:rFonts w:ascii="Arial;sans-serif" w:hAnsi="Arial;sans-serif"/>
          <w:b/>
          <w:i/>
          <w:sz w:val="20"/>
        </w:rPr>
        <w:t>Patent reform legislation could increase the uncertainties and costs surrounding the prosecution of our patent applications or those of any current or future licensors and the enforcement or defense of our issued patents or those of any current or future licensors.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product candidates, their use, or our technology or (2) invent any of the inventions claimed in the patents or patent applications.</w:t>
      </w:r>
    </w:p>
    <w:p>
      <w:pPr>
        <w:pStyle w:val="TextBody"/>
        <w:bidi w:val="0"/>
        <w:spacing w:before="240" w:after="0"/>
        <w:jc w:val="both"/>
        <w:rPr>
          <w:rFonts w:ascii="Arial;sans-serif" w:hAnsi="Arial;sans-serif"/>
          <w:b w:val="false"/>
          <w:sz w:val="20"/>
        </w:rPr>
      </w:pPr>
      <w:r>
        <w:rPr>
          <w:rFonts w:ascii="Arial;sans-serif" w:hAnsi="Arial;sans-serif"/>
          <w:b w:val="false"/>
          <w:sz w:val="20"/>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40" w:after="0"/>
        <w:jc w:val="both"/>
        <w:rPr>
          <w:rFonts w:ascii="Times New Roman" w:hAnsi="Times New Roman"/>
          <w:sz w:val="20"/>
        </w:rPr>
      </w:pPr>
      <w:r>
        <w:rPr>
          <w:rFonts w:ascii="Arial;sans-serif" w:hAnsi="Arial;sans-serif"/>
          <w:b w:val="false"/>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79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pStyle w:val="TextBody"/>
        <w:bidi w:val="0"/>
        <w:spacing w:before="240" w:after="0"/>
        <w:jc w:val="both"/>
        <w:rPr>
          <w:rFonts w:ascii="Times New Roman" w:hAnsi="Times New Roman"/>
          <w:sz w:val="20"/>
        </w:rPr>
      </w:pPr>
      <w:r>
        <w:rPr>
          <w:rFonts w:ascii="Arial;sans-serif" w:hAnsi="Arial;sans-serif"/>
          <w:b/>
          <w:i/>
          <w:sz w:val="20"/>
        </w:rPr>
        <w:t>Changes in U.S. patent law, or laws in other countries, could diminish the value of patents in general, thereby impairing our ability to protect our product candidates.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0"/>
        <w:jc w:val="both"/>
        <w:rPr>
          <w:rFonts w:ascii="Arial;sans-serif" w:hAnsi="Arial;sans-serif"/>
          <w:b w:val="false"/>
          <w:sz w:val="20"/>
        </w:rPr>
      </w:pPr>
      <w:r>
        <w:rPr>
          <w:rFonts w:ascii="Arial;sans-serif" w:hAnsi="Arial;sans-serif"/>
          <w:b w:val="false"/>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or UPC. The option of a Unitary Patent is a significant change in European patent practice. As the UPC is a new court system, there is no precedent for the court, increasing the uncertainty of any litigation in the UPC.</w:t>
      </w:r>
    </w:p>
    <w:p>
      <w:pPr>
        <w:pStyle w:val="TextBody"/>
        <w:bidi w:val="0"/>
        <w:spacing w:before="240" w:after="0"/>
        <w:jc w:val="both"/>
        <w:rPr>
          <w:rFonts w:ascii="Times New Roman" w:hAnsi="Times New Roman"/>
          <w:sz w:val="20"/>
        </w:rPr>
      </w:pPr>
      <w:r>
        <w:rPr>
          <w:rFonts w:ascii="Arial;sans-serif" w:hAnsi="Arial;sans-serif"/>
          <w:b/>
          <w:i/>
          <w:sz w:val="20"/>
        </w:rPr>
        <w:t>We may be subject to claims challenging the inventorship or ownership of our patents and other intellectual property.</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240" w:after="0"/>
        <w:jc w:val="both"/>
        <w:rPr>
          <w:rFonts w:ascii="Times New Roman" w:hAnsi="Times New Roman"/>
          <w:sz w:val="20"/>
        </w:rPr>
      </w:pPr>
      <w:r>
        <w:rPr>
          <w:rFonts w:ascii="Arial;sans-serif" w:hAnsi="Arial;sans-serif"/>
          <w:b/>
          <w:i/>
          <w:sz w:val="20"/>
        </w:rPr>
        <w:t>Patent terms may be inadequate to protect our competitive position on our product candidates for an adequate amount of time.</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or their use are obtained, once the patent life has expired, we may be open to competition from competitive products, including generic versions of our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240" w:after="0"/>
        <w:jc w:val="both"/>
        <w:rPr>
          <w:rFonts w:ascii="Times New Roman" w:hAnsi="Times New Roman"/>
          <w:sz w:val="20"/>
        </w:rPr>
      </w:pPr>
      <w:r>
        <w:rPr>
          <w:rFonts w:ascii="Arial;sans-serif" w:hAnsi="Arial;sans-serif"/>
          <w:b/>
          <w:i/>
          <w:sz w:val="20"/>
        </w:rPr>
        <w:t>If we do not obtain patent term extension for our product candidates, our business may be materially harmed.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Depending upon the timing, duration and specifics of FDA marketing approval of our product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term extension may also be available in certain foreign countries upon regulatory approval of our product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pStyle w:val="TextBody"/>
        <w:bidi w:val="0"/>
        <w:spacing w:before="240" w:after="0"/>
        <w:jc w:val="both"/>
        <w:rPr>
          <w:rFonts w:ascii="Times New Roman" w:hAnsi="Times New Roman"/>
          <w:sz w:val="20"/>
        </w:rPr>
      </w:pPr>
      <w:r>
        <w:rPr>
          <w:rFonts w:ascii="Arial;sans-serif" w:hAnsi="Arial;sans-serif"/>
          <w:b/>
          <w:i/>
          <w:sz w:val="20"/>
        </w:rPr>
        <w:t>We will not be able to protect our intellectual property rights throughout the world.</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current or future licensors, or other intellectual property rights may not be effective or sufficient to prevent them from competing.</w:t>
      </w:r>
    </w:p>
    <w:p>
      <w:pPr>
        <w:pStyle w:val="TextBody"/>
        <w:bidi w:val="0"/>
        <w:spacing w:before="240" w:after="0"/>
        <w:jc w:val="both"/>
        <w:rPr>
          <w:rFonts w:ascii="Arial;sans-serif" w:hAnsi="Arial;sans-serif"/>
          <w:b w:val="false"/>
          <w:sz w:val="20"/>
        </w:rPr>
      </w:pPr>
      <w:r>
        <w:rPr>
          <w:rFonts w:ascii="Arial;sans-serif" w:hAnsi="Arial;sans-serif"/>
          <w:b w:val="false"/>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0"/>
        <w:jc w:val="both"/>
        <w:rPr>
          <w:rFonts w:ascii="Arial;sans-serif" w:hAnsi="Arial;sans-serif"/>
          <w:b w:val="false"/>
          <w:sz w:val="20"/>
        </w:rPr>
      </w:pPr>
      <w:r>
        <w:rPr>
          <w:rFonts w:ascii="Arial;sans-serif" w:hAnsi="Arial;sans-serif"/>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0"/>
        <w:jc w:val="left"/>
        <w:rPr>
          <w:rFonts w:ascii="Arial;sans-serif" w:hAnsi="Arial;sans-serif"/>
          <w:b w:val="false"/>
          <w:sz w:val="20"/>
        </w:rPr>
      </w:pPr>
      <w:r>
        <w:rPr>
          <w:rFonts w:ascii="Arial;sans-serif" w:hAnsi="Arial;sans-serif"/>
          <w:b w:val="false"/>
          <w:sz w:val="20"/>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0"/>
        <w:jc w:val="center"/>
        <w:rPr>
          <w:rFonts w:ascii="Arial;sans-serif" w:hAnsi="Arial;sans-serif"/>
          <w:b w:val="false"/>
          <w:sz w:val="20"/>
        </w:rPr>
      </w:pPr>
      <w:r>
        <w:rPr>
          <w:rFonts w:ascii="Arial;sans-serif" w:hAnsi="Arial;sans-serif"/>
          <w:b w:val="false"/>
          <w:sz w:val="20"/>
        </w:rPr>
        <w:t>81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i/>
          <w:sz w:val="20"/>
        </w:rPr>
      </w:pPr>
      <w:r>
        <w:rPr>
          <w:rFonts w:ascii="Arial;sans-serif" w:hAnsi="Arial;sans-serif"/>
          <w:b/>
          <w:i/>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240" w:after="0"/>
        <w:jc w:val="both"/>
        <w:rPr>
          <w:rFonts w:ascii="Arial;sans-serif" w:hAnsi="Arial;sans-serif"/>
          <w:b w:val="false"/>
          <w:sz w:val="20"/>
        </w:rPr>
      </w:pPr>
      <w:r>
        <w:rPr>
          <w:rFonts w:ascii="Arial;sans-serif" w:hAnsi="Arial;sans-serif"/>
          <w:b w:val="false"/>
          <w:sz w:val="20"/>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240" w:after="0"/>
        <w:jc w:val="both"/>
        <w:rPr>
          <w:rFonts w:ascii="Times New Roman" w:hAnsi="Times New Roman"/>
          <w:sz w:val="20"/>
        </w:rPr>
      </w:pPr>
      <w:r>
        <w:rPr>
          <w:rFonts w:ascii="Arial;sans-serif" w:hAnsi="Arial;sans-serif"/>
          <w:b/>
          <w:i/>
          <w:sz w:val="20"/>
        </w:rPr>
        <w:t>If our trademarks and trade names are not adequately protected, then we may not be able to build name recognition in our markets of interest and our business may be adversely affected.</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240" w:after="0"/>
        <w:jc w:val="both"/>
        <w:rPr>
          <w:rFonts w:ascii="Times New Roman" w:hAnsi="Times New Roman"/>
          <w:sz w:val="20"/>
        </w:rPr>
      </w:pPr>
      <w:r>
        <w:rPr>
          <w:rFonts w:ascii="Arial;sans-serif" w:hAnsi="Arial;sans-serif"/>
          <w:b/>
          <w:i/>
          <w:sz w:val="20"/>
        </w:rPr>
        <w:t>If we are unable to protect the confidentiality of our trade secrets, our business and competitive position would be harmed.</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0"/>
        <w:jc w:val="both"/>
        <w:rPr>
          <w:rFonts w:ascii="Arial;sans-serif" w:hAnsi="Arial;sans-serif"/>
          <w:b w:val="false"/>
          <w:sz w:val="20"/>
        </w:rPr>
      </w:pPr>
      <w:r>
        <w:rPr>
          <w:rFonts w:ascii="Arial;sans-serif" w:hAnsi="Arial;sans-serif"/>
          <w:b w:val="false"/>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240" w:after="0"/>
        <w:jc w:val="both"/>
        <w:rPr>
          <w:rFonts w:ascii="Times New Roman" w:hAnsi="Times New Roman"/>
          <w:sz w:val="20"/>
        </w:rPr>
      </w:pPr>
      <w:r>
        <w:rPr>
          <w:rFonts w:ascii="Arial;sans-serif" w:hAnsi="Arial;sans-serif"/>
          <w:b/>
          <w:i/>
          <w:sz w:val="20"/>
        </w:rPr>
        <w:t>We may be subject to claims that we or our employees have wrongfully used or disclosed alleged confidential information or trade secrets of third parties.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0"/>
        <w:jc w:val="both"/>
        <w:rPr>
          <w:rFonts w:ascii="Arial;sans-serif" w:hAnsi="Arial;sans-serif"/>
          <w:b w:val="false"/>
          <w:sz w:val="20"/>
        </w:rPr>
      </w:pPr>
      <w:r>
        <w:rPr>
          <w:rFonts w:ascii="Arial;sans-serif" w:hAnsi="Arial;sans-serif"/>
          <w:b w:val="false"/>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pStyle w:val="TextBody"/>
        <w:bidi w:val="0"/>
        <w:spacing w:before="240" w:after="0"/>
        <w:jc w:val="both"/>
        <w:rPr>
          <w:rFonts w:ascii="Times New Roman" w:hAnsi="Times New Roman"/>
          <w:sz w:val="20"/>
        </w:rPr>
      </w:pPr>
      <w:r>
        <w:rPr>
          <w:rFonts w:ascii="Arial;sans-serif" w:hAnsi="Arial;sans-serif"/>
          <w:b/>
          <w:i/>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0"/>
        <w:jc w:val="both"/>
        <w:rPr>
          <w:rFonts w:ascii="Times New Roman" w:hAnsi="Times New Roman"/>
          <w:sz w:val="20"/>
        </w:rPr>
      </w:pPr>
      <w:r>
        <w:rPr>
          <w:rFonts w:ascii="Arial;sans-serif" w:hAnsi="Arial;sans-serif"/>
          <w:b/>
          <w:i/>
          <w:sz w:val="20"/>
        </w:rPr>
        <w:t>Our rights to develop and commercialize our product candidates may be subject, in part, to the terms and conditions of licenses granted to us by others.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have entered into license agreements with third parties and we may enter into additional license agreements in the future with others to advance our research and development or allow commercialization of product candidates. These and other licenses may not provide exclusive rights to use such intellectual property and other rights in all relevant fields of use and in all territories in which we may wish to develop or commercialize our product candidates in the future. Further, these and other licenses may also include certain restrictions or obligations that limit our ability to engage with third parties, including potential restrictions on sublicensing or outsourcing certain activities.</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subject to the terms of any such license agreements, we may not have the right to control the preparation, filing, prosecution, maintenance, enforcement, and defense of patents and patent applications covering our product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product candidates that are subject of such licensed rights could be adversely affected.</w:t>
      </w:r>
    </w:p>
    <w:p>
      <w:pPr>
        <w:pStyle w:val="TextBody"/>
        <w:bidi w:val="0"/>
        <w:spacing w:before="240" w:after="0"/>
        <w:jc w:val="both"/>
        <w:rPr>
          <w:rFonts w:ascii="Arial;sans-serif" w:hAnsi="Arial;sans-serif"/>
          <w:b w:val="false"/>
          <w:sz w:val="20"/>
        </w:rPr>
      </w:pPr>
      <w:r>
        <w:rPr>
          <w:rFonts w:ascii="Arial;sans-serif" w:hAnsi="Arial;sans-serif"/>
          <w:b w:val="false"/>
          <w:sz w:val="20"/>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products similar or identical to our product candidates. This could have a material adverse effect on our competitive position, business, financial condition, results of operations, and prospects.</w:t>
      </w:r>
    </w:p>
    <w:p>
      <w:pPr>
        <w:pStyle w:val="TextBody"/>
        <w:bidi w:val="0"/>
        <w:spacing w:before="240" w:after="0"/>
        <w:jc w:val="both"/>
        <w:rPr>
          <w:rFonts w:ascii="Times New Roman" w:hAnsi="Times New Roman"/>
          <w:sz w:val="20"/>
        </w:rPr>
      </w:pPr>
      <w:r>
        <w:rPr>
          <w:rFonts w:ascii="Arial;sans-serif" w:hAnsi="Arial;sans-serif"/>
          <w:b w:val="false"/>
          <w:sz w:val="20"/>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product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manufacturing methods, product candidates, methods of use, or future methods or product candidates resulting in either an injunction prohibiting our manufacture or future sales, or, with respect to our future sales, an obligation on our part to pay royalties or other forms of compensation to third parties, which could be significant.</w:t>
      </w:r>
    </w:p>
    <w:p>
      <w:pPr>
        <w:pStyle w:val="TextBody"/>
        <w:bidi w:val="0"/>
        <w:spacing w:before="240" w:after="0"/>
        <w:jc w:val="both"/>
        <w:rPr>
          <w:rFonts w:ascii="Arial;sans-serif" w:hAnsi="Arial;sans-serif"/>
          <w:b/>
          <w:i/>
          <w:sz w:val="20"/>
        </w:rPr>
      </w:pPr>
      <w:r>
        <w:rPr>
          <w:rFonts w:ascii="Arial;sans-serif" w:hAnsi="Arial;sans-serif"/>
          <w:b/>
          <w:i/>
          <w:sz w:val="20"/>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pStyle w:val="TextBody"/>
        <w:bidi w:val="0"/>
        <w:spacing w:before="240" w:after="0"/>
        <w:jc w:val="both"/>
        <w:rPr>
          <w:rFonts w:ascii="Arial;sans-serif" w:hAnsi="Arial;sans-serif"/>
          <w:b w:val="false"/>
          <w:sz w:val="20"/>
        </w:rPr>
      </w:pPr>
      <w:r>
        <w:rPr>
          <w:rFonts w:ascii="Arial;sans-serif" w:hAnsi="Arial;sans-serif"/>
          <w:b w:val="false"/>
          <w:sz w:val="20"/>
        </w:rPr>
        <w:t>Disputes may arise between us and our current or future licensors regarding intellectual property and other rights subject to a license agreement,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scope of rights granted under the license agreement and other interpretation-related issues;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whether and the extent to which our product candidates infringe on intellectual property of the licensor that is not subject to the licensing agreement;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right to sublicense to third parties;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diligence obligations under the license agreement and what activities satisfy those diligence obligations;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our right to transfer or assign the license;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inventorship and ownership of inventions and know-how resulting from the joint creation or use of intellectual property by our licensors and us and our partners;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the priority of invention of patented technology.</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before="240" w:after="0"/>
        <w:jc w:val="both"/>
        <w:rPr>
          <w:rFonts w:ascii="Arial;sans-serif" w:hAnsi="Arial;sans-serif"/>
          <w:b w:val="false"/>
          <w:sz w:val="20"/>
        </w:rPr>
      </w:pPr>
      <w:r>
        <w:rPr>
          <w:rFonts w:ascii="Arial;sans-serif" w:hAnsi="Arial;sans-serif"/>
          <w:b w:val="false"/>
          <w:sz w:val="20"/>
        </w:rPr>
        <w:t>In spite of our best efforts, our licensors might conclude that we have materially breached our license agreements and might therefore terminate the license agreements, thereby removing our ability to develop and commercialize product candidates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 results of operations, and prospects.</w:t>
      </w:r>
    </w:p>
    <w:p>
      <w:pPr>
        <w:pStyle w:val="TextBody"/>
        <w:bidi w:val="0"/>
        <w:spacing w:before="240" w:after="0"/>
        <w:jc w:val="both"/>
        <w:rPr>
          <w:rFonts w:ascii="Times New Roman" w:hAnsi="Times New Roman"/>
          <w:sz w:val="20"/>
        </w:rPr>
      </w:pPr>
      <w:r>
        <w:rPr>
          <w:rFonts w:ascii="Arial;sans-serif" w:hAnsi="Arial;sans-serif"/>
          <w:b/>
          <w:i/>
          <w:sz w:val="20"/>
        </w:rPr>
        <w:t>The patent protection and patent prosecution for some of our product candidates may be dependent on third parties.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While we normally seek to obtain the right to control prosecution, maintenance and enforcement of the patent applications and patents relating to our product candidates and their use, there may be times when the filing and prosecution activities for patent applications and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products similar or identical to our product candidates. In addition, even where we have the right to control patent prosecution of patents and patent applications we have licensed to and from third parties, we may still be adversely affected or prejudiced by actions or</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inactions of our licensees, our licensors and their counsel that took place prior to the date upon which we assumed control over patent prosecution.</w:t>
      </w:r>
    </w:p>
    <w:p>
      <w:pPr>
        <w:pStyle w:val="TextBody"/>
        <w:bidi w:val="0"/>
        <w:spacing w:before="240" w:after="0"/>
        <w:jc w:val="both"/>
        <w:rPr>
          <w:rFonts w:ascii="Times New Roman" w:hAnsi="Times New Roman"/>
          <w:sz w:val="20"/>
        </w:rPr>
      </w:pPr>
      <w:r>
        <w:rPr>
          <w:rFonts w:ascii="Arial;sans-serif" w:hAnsi="Arial;sans-serif"/>
          <w:b/>
          <w:i/>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products.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We entered an exclusive license agreement with WSU for certain licensed patents that include intellectual property that was generated through the use of U.S. government funding, and we received a grant from the National Institute on Aging of the National Institute on Health to support our ACT-AD clinical trial. Pursuant to the Bayh-Dole Act of 1980, or the Bayh-Dole Act, the U.S. government may have certain rights in any invention developed or reduced to practice with government funding. In addition, in the future we may discover, develop, acquire, or license new intellectual property that has been generated through the use of U.S. government funding or grants in which the U.S. government may have certain rights pursuant to the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Reporting of a subject invention and compliance with the Bayh-Dole requirements were delayed for the patent family directed to methods of treating Alzheimer’s disease with fosgonimeton. As such, this patent family may be subject to U.S. government action which may include loss of rights in the subject invention, suspending or terminating the grant or future awards, or withholding further awards.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products and have a material adverse effect on our business, financial condition, results of operations, and prospects.</w:t>
      </w:r>
    </w:p>
    <w:p>
      <w:pPr>
        <w:pStyle w:val="TextBody"/>
        <w:bidi w:val="0"/>
        <w:spacing w:before="240" w:after="0"/>
        <w:jc w:val="both"/>
        <w:rPr>
          <w:rFonts w:ascii="Arial;sans-serif" w:hAnsi="Arial;sans-serif"/>
          <w:b/>
          <w:sz w:val="20"/>
        </w:rPr>
      </w:pPr>
      <w:r>
        <w:rPr>
          <w:rFonts w:ascii="Arial;sans-serif" w:hAnsi="Arial;sans-serif"/>
          <w:b/>
          <w:sz w:val="20"/>
        </w:rPr>
        <w:t>Risks Relating to Cybersecurity</w:t>
      </w:r>
    </w:p>
    <w:p>
      <w:pPr>
        <w:pStyle w:val="TextBody"/>
        <w:bidi w:val="0"/>
        <w:spacing w:before="240" w:after="0"/>
        <w:jc w:val="both"/>
        <w:rPr>
          <w:rFonts w:ascii="Times New Roman" w:hAnsi="Times New Roman"/>
          <w:sz w:val="20"/>
        </w:rPr>
      </w:pPr>
      <w:r>
        <w:rPr>
          <w:rFonts w:ascii="Arial;sans-serif" w:hAnsi="Arial;sans-serif"/>
          <w:b/>
          <w:i/>
          <w:sz w:val="20"/>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0"/>
        <w:jc w:val="both"/>
        <w:rPr>
          <w:rFonts w:ascii="Arial;sans-serif" w:hAnsi="Arial;sans-serif"/>
          <w:b w:val="false"/>
          <w:sz w:val="20"/>
        </w:rPr>
      </w:pPr>
      <w:r>
        <w:rPr>
          <w:rFonts w:ascii="Arial;sans-serif" w:hAnsi="Arial;sans-serif"/>
          <w:b w:val="false"/>
          <w:sz w:val="20"/>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240" w:after="0"/>
        <w:jc w:val="both"/>
        <w:rPr>
          <w:rFonts w:ascii="Arial;sans-serif" w:hAnsi="Arial;sans-serif"/>
          <w:b w:val="false"/>
          <w:sz w:val="20"/>
        </w:rPr>
      </w:pPr>
      <w:r>
        <w:rPr>
          <w:rFonts w:ascii="Arial;sans-serif" w:hAnsi="Arial;sans-serif"/>
          <w:b w:val="false"/>
          <w:sz w:val="20"/>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0"/>
        <w:jc w:val="both"/>
        <w:rPr>
          <w:rFonts w:ascii="Arial;sans-serif" w:hAnsi="Arial;sans-serif"/>
          <w:b w:val="false"/>
          <w:sz w:val="20"/>
        </w:rPr>
      </w:pPr>
      <w:r>
        <w:rPr>
          <w:rFonts w:ascii="Arial;sans-serif" w:hAnsi="Arial;sans-serif"/>
          <w:b w:val="false"/>
          <w:sz w:val="20"/>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pStyle w:val="TextBody"/>
        <w:bidi w:val="0"/>
        <w:spacing w:before="240" w:after="0"/>
        <w:jc w:val="both"/>
        <w:rPr>
          <w:rFonts w:ascii="Times New Roman" w:hAnsi="Times New Roman"/>
          <w:sz w:val="20"/>
        </w:rPr>
      </w:pPr>
      <w:r>
        <w:rPr>
          <w:rFonts w:ascii="Arial;sans-serif" w:hAnsi="Arial;sans-serif"/>
          <w:b w:val="false"/>
          <w:sz w:val="20"/>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product candidates could be delayed. While we have invested, and continue to invest, in the protection of our data and information technology infrastructure, there can be no assurance that</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0"/>
        <w:jc w:val="both"/>
        <w:rPr>
          <w:rFonts w:ascii="Times New Roman" w:hAnsi="Times New Roman"/>
          <w:sz w:val="20"/>
        </w:rPr>
      </w:pPr>
      <w:r>
        <w:rPr>
          <w:rFonts w:ascii="Arial;sans-serif" w:hAnsi="Arial;sans-serif"/>
          <w:b/>
          <w:i/>
          <w:sz w:val="20"/>
        </w:rPr>
        <w:t>Data collection is governed by restrictive regulations governing the use, processing and cross-border transfer of personal information.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a July 2020 decision by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 transferring personal data across borders and may require us to review and amend our mechanisms relating to cross-border data transfer.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and potential liability with respect to other personal data we maintain about California residents. Additionally, numerous other states have proposed or enacted laws addressing privacy and security, many of which impose obligations similar to those of the CCPA.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pStyle w:val="TextBody"/>
        <w:bidi w:val="0"/>
        <w:spacing w:before="240" w:after="0"/>
        <w:jc w:val="both"/>
        <w:rPr>
          <w:rFonts w:ascii="Arial;sans-serif" w:hAnsi="Arial;sans-serif"/>
          <w:b w:val="false"/>
          <w:sz w:val="20"/>
        </w:rPr>
      </w:pPr>
      <w:r>
        <w:rPr>
          <w:rFonts w:ascii="Arial;sans-serif" w:hAnsi="Arial;sans-serif"/>
          <w:b w:val="false"/>
          <w:sz w:val="20"/>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0"/>
        <w:jc w:val="both"/>
        <w:rPr>
          <w:rFonts w:ascii="Times New Roman" w:hAnsi="Times New Roman"/>
          <w:sz w:val="20"/>
        </w:rPr>
      </w:pPr>
      <w:r>
        <w:rPr>
          <w:rFonts w:ascii="Arial;sans-serif" w:hAnsi="Arial;sans-serif"/>
          <w:b w:val="false"/>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pStyle w:val="TextBody"/>
        <w:bidi w:val="0"/>
        <w:spacing w:before="240" w:after="0"/>
        <w:jc w:val="both"/>
        <w:rPr>
          <w:rFonts w:ascii="Arial;sans-serif" w:hAnsi="Arial;sans-serif"/>
          <w:b/>
          <w:sz w:val="20"/>
        </w:rPr>
      </w:pPr>
      <w:r>
        <w:rPr>
          <w:rFonts w:ascii="Arial;sans-serif" w:hAnsi="Arial;sans-serif"/>
          <w:b/>
          <w:sz w:val="20"/>
        </w:rPr>
        <w:t>Risks Relating to Ownership of Our Common Stock</w:t>
      </w:r>
    </w:p>
    <w:p>
      <w:pPr>
        <w:pStyle w:val="TextBody"/>
        <w:bidi w:val="0"/>
        <w:spacing w:before="240" w:after="0"/>
        <w:jc w:val="both"/>
        <w:rPr>
          <w:rFonts w:ascii="Times New Roman" w:hAnsi="Times New Roman"/>
          <w:sz w:val="20"/>
        </w:rPr>
      </w:pPr>
      <w:r>
        <w:rPr>
          <w:rFonts w:ascii="Arial;sans-serif" w:hAnsi="Arial;sans-serif"/>
          <w:b/>
          <w:i/>
          <w:sz w:val="20"/>
        </w:rPr>
        <w:t>We and certain of our directors and executive officers have been, and may in the future be, named as defendants in lawsuits that could result in substantial costs and divert management’s attention.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described elsewhere in this report in “Part II, Item 1—Legal Proceedings,” we and certain of our executive officers and directors have been named as defendants in class action lawsuits that generally allege that we and certain of our officers and directors violated Sections 10(b) or 20(a) of the Exchange Act and Rule 10b-5 promulgated thereunder by making allegedly false or misleading statements and omitted material adverse facts regarding the Company’s business. These complaints seek unspecified compensatory and punitive damages, and reasonable costs and expenses, including attorneys’ fees. 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 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88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the conclusion of which in a manner adverse to us and for which we incur substantial costs or damages not covered by our directors’ and officers’ liability insurance would have a material adverse effect on our financial condition and business.</w:t>
      </w:r>
      <w:r>
        <w:rPr>
          <w:rFonts w:ascii="Times New Roman" w:hAnsi="Times New Roman"/>
          <w:sz w:val="20"/>
        </w:rPr>
        <w:t xml:space="preserve"> </w:t>
      </w:r>
    </w:p>
    <w:p>
      <w:pPr>
        <w:pStyle w:val="TextBody"/>
        <w:bidi w:val="0"/>
        <w:spacing w:before="240" w:after="0"/>
        <w:jc w:val="left"/>
        <w:rPr>
          <w:rFonts w:ascii="Arial;sans-serif" w:hAnsi="Arial;sans-serif"/>
          <w:b/>
          <w:i/>
          <w:sz w:val="20"/>
        </w:rPr>
      </w:pPr>
      <w:r>
        <w:rPr>
          <w:rFonts w:ascii="Arial;sans-serif" w:hAnsi="Arial;sans-serif"/>
          <w:b/>
          <w:i/>
          <w:sz w:val="20"/>
        </w:rPr>
        <w:t>Actions by activist stockholders have in the past been, and may in the future be, disruptive and could cause uncertainty about the strategic direction of our business.</w:t>
      </w:r>
    </w:p>
    <w:p>
      <w:pPr>
        <w:pStyle w:val="TextBody"/>
        <w:bidi w:val="0"/>
        <w:spacing w:before="240" w:after="0"/>
        <w:jc w:val="both"/>
        <w:rPr>
          <w:rFonts w:ascii="Times New Roman" w:hAnsi="Times New Roman"/>
          <w:sz w:val="20"/>
        </w:rPr>
      </w:pPr>
      <w:r>
        <w:rPr>
          <w:rFonts w:ascii="Arial;sans-serif" w:hAnsi="Arial;sans-serif"/>
          <w:b w:val="false"/>
          <w:sz w:val="20"/>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as of the date of this report, our market capitalization was less than the aggregate value of our cash, cash equivalents and investments. Other similarly situated biotechnology companies have received proposals from shareholder activists to liquidate and return capital to investors.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strive to maintain constructive communications with our stockholders and welcome their views and opinions with the goal of enhancing value for all stockholders. However, a proxy contest or other activist behaviors could have an adverse effect on us because: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actions by activist stockholders may interfere with any efforts that we undertake in the future to raise capital;</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actions by activist stockholders could cause significant fluctuations in our stock price based on temporary or speculative market perceptions or other factors that do not necessarily reflect the underlying fundamentals and prospects of our business;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if individuals are elected to our board of directors with a specific agenda as a result of a proxy contest, it may adversely affect our ability to effectively implement our business strategy and to create additional value for our stockholders.</w:t>
      </w:r>
    </w:p>
    <w:p>
      <w:pPr>
        <w:pStyle w:val="TextBody"/>
        <w:bidi w:val="0"/>
        <w:spacing w:before="240" w:after="0"/>
        <w:jc w:val="left"/>
        <w:rPr>
          <w:rFonts w:ascii="Arial;sans-serif" w:hAnsi="Arial;sans-serif"/>
          <w:b w:val="false"/>
          <w:sz w:val="20"/>
        </w:rPr>
      </w:pPr>
      <w:r>
        <w:rPr>
          <w:rFonts w:ascii="Arial;sans-serif" w:hAnsi="Arial;sans-serif"/>
          <w:b w:val="false"/>
          <w:sz w:val="20"/>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pStyle w:val="TextBody"/>
        <w:bidi w:val="0"/>
        <w:spacing w:before="240" w:after="0"/>
        <w:jc w:val="both"/>
        <w:rPr>
          <w:rFonts w:ascii="Times New Roman" w:hAnsi="Times New Roman"/>
          <w:sz w:val="20"/>
        </w:rPr>
      </w:pPr>
      <w:r>
        <w:rPr>
          <w:rFonts w:ascii="Arial;sans-serif" w:hAnsi="Arial;sans-serif"/>
          <w:b/>
          <w:i/>
          <w:sz w:val="20"/>
        </w:rPr>
        <w:t>We do not know whether an active market for our common stock will be sustained, and, as a result, it may be difficult for you to sell your shares of our common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The market price of our common stock may be volatile, which could result in substantial losses for investors.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market price of our common stock may be volatile. As a result, you may not be able to sell your common stock at or above the price that you paid for such shares. Some of the factors that may cause the market price of our common stock to fluctuate include: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results of nonclinical studies and clinical trials;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potential impact of health epidemics, including COVID-19, on our business;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the success of existing or new competitive products or technologies; </w:t>
      </w:r>
    </w:p>
    <w:p>
      <w:pPr>
        <w:pStyle w:val="TextBody"/>
        <w:bidi w:val="0"/>
        <w:spacing w:before="240" w:after="0"/>
        <w:jc w:val="center"/>
        <w:rPr>
          <w:rFonts w:ascii="Arial;sans-serif" w:hAnsi="Arial;sans-serif"/>
          <w:b w:val="false"/>
          <w:sz w:val="20"/>
        </w:rPr>
      </w:pPr>
      <w:r>
        <w:rPr>
          <w:rFonts w:ascii="Arial;sans-serif" w:hAnsi="Arial;sans-serif"/>
          <w:b w:val="false"/>
          <w:sz w:val="20"/>
        </w:rPr>
        <w:t>89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timing and results of clinical trials for our current product candidates and any future product candidates that we may develop;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commencement or termination of collaborations for our product candidates;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failure or discontinuation of any of our product candidates;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results of nonclinical studies, clinical trials or regulatory approvals of product candidates of our competitors, or announcements about new research programs or product candidates of our competitors;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investor reactions to other companies’ drug development results, including product failures or negative responses from regulatory authorities;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regulatory or legal developments in the United States and other countries;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developments or disputes concerning patent applications, issued patents or other proprietary rights;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recruitment or departure of key personnel;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negative press coverage;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status of ongoing litigation and government investigations and potential commencement of additional litigation or investigations;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the results of the investigation by the independent special committee of the board of directors and the separate ongoing investigation by WSU;</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level of expenses related to any of our research programs, product candidates that we may develop;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the results of our efforts to develop additional product candidates or products;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actual or anticipated changes in estimates as to financial results, development timelines or recommendations by securities analysts;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announcement or expectation of additional financing efforts, including, but not limited to, under our ATM offering;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sales of our common stock by us, our insiders, or other stockholders;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variations in our financial results or those of companies that are perceived to be similar to us;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changes in estimates or recommendations by securities analysts, if any, that cover our stock;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changes in the structure of healthcare payment systems;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market conditions in the pharmaceutical and biotechnology sectors;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volatility with the banking system; </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direct or indirect impacts on our business, our suppliers and other third parties and our clinical sites as a result of geopolitical events, including the Russia-Ukraine war;</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 xml:space="preserve">general economic, industry, and market conditions; and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 xml:space="preserve">the other factors described in this “Part II, Item 1A—Risk Factors” section. </w:t>
      </w:r>
    </w:p>
    <w:p>
      <w:pPr>
        <w:pStyle w:val="TextBody"/>
        <w:bidi w:val="0"/>
        <w:spacing w:before="240" w:after="0"/>
        <w:jc w:val="both"/>
        <w:rPr>
          <w:rFonts w:ascii="Times New Roman" w:hAnsi="Times New Roman"/>
          <w:sz w:val="20"/>
        </w:rPr>
      </w:pPr>
      <w:r>
        <w:rPr>
          <w:rFonts w:ascii="Arial;sans-serif" w:hAnsi="Arial;sans-serif"/>
          <w:b w:val="false"/>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Sales of a substantial number of shares of our common stock in the public market could occur at any time. These sales, or the perception in the market that the holders of a large number of shares of common stock intend to sell shares,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90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val="false"/>
          <w:sz w:val="20"/>
        </w:rPr>
        <w:t>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Moreover, as of June 30, 2023, the holders of approximately 5.1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r>
        <w:rPr>
          <w:rFonts w:ascii="Times New Roman" w:hAnsi="Times New Roman"/>
          <w:sz w:val="20"/>
        </w:rPr>
        <w:t xml:space="preserve"> </w:t>
      </w:r>
    </w:p>
    <w:p>
      <w:pPr>
        <w:pStyle w:val="TextBody"/>
        <w:bidi w:val="0"/>
        <w:spacing w:before="240" w:after="0"/>
        <w:jc w:val="both"/>
        <w:rPr>
          <w:rFonts w:ascii="Arial;sans-serif" w:hAnsi="Arial;sans-serif"/>
          <w:b/>
          <w:i/>
          <w:sz w:val="20"/>
        </w:rPr>
      </w:pPr>
      <w:r>
        <w:rPr>
          <w:rFonts w:ascii="Arial;sans-serif" w:hAnsi="Arial;sans-serif"/>
          <w:b/>
          <w:i/>
          <w:sz w:val="20"/>
        </w:rPr>
        <w:t>Our directors, executive officers and significant stockholders own a substantial percentage of our common stock, which could limit your ability to affect the outcome of key transactions, including a change of control.</w:t>
      </w:r>
    </w:p>
    <w:p>
      <w:pPr>
        <w:pStyle w:val="TextBody"/>
        <w:bidi w:val="0"/>
        <w:spacing w:before="240" w:after="0"/>
        <w:jc w:val="both"/>
        <w:rPr>
          <w:rFonts w:ascii="Times New Roman" w:hAnsi="Times New Roman"/>
          <w:sz w:val="20"/>
        </w:rPr>
      </w:pPr>
      <w:r>
        <w:rPr>
          <w:rFonts w:ascii="Arial;sans-serif" w:hAnsi="Arial;sans-serif"/>
          <w:b w:val="false"/>
          <w:sz w:val="20"/>
        </w:rPr>
        <w:t>Our directors, executive officers, significant holders of our outstanding common stock and their respective affiliates beneficially own a substantial amount of our outstanding common stock as of June 30, 2023.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We are an “emerging growth company,” and the reduced disclosure requirements applicable to emerging growth companies may make our common stock less attractive to investors.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Failure to build and maintain our finance infrastructure and improve our accounting systems and controls could impair our ability to comply with the financial reporting and internal controls requirements for publicly traded companies.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pStyle w:val="TextBody"/>
        <w:bidi w:val="0"/>
        <w:spacing w:before="240" w:after="0"/>
        <w:jc w:val="both"/>
        <w:rPr>
          <w:rFonts w:ascii="Times New Roman" w:hAnsi="Times New Roman"/>
          <w:sz w:val="20"/>
        </w:rPr>
      </w:pPr>
      <w:r>
        <w:rPr>
          <w:rFonts w:ascii="Arial;sans-serif" w:hAnsi="Arial;sans-serif"/>
          <w:b w:val="false"/>
          <w:sz w:val="20"/>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91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Arial;sans-serif" w:hAnsi="Arial;sans-serif"/>
          <w:b w:val="false"/>
          <w:sz w:val="20"/>
        </w:rPr>
      </w:pPr>
      <w:r>
        <w:rPr>
          <w:rFonts w:ascii="Arial;sans-serif" w:hAnsi="Arial;sans-serif"/>
          <w:b w:val="false"/>
          <w:sz w:val="20"/>
        </w:rPr>
        <w:t>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0"/>
        <w:jc w:val="both"/>
        <w:rPr>
          <w:rFonts w:ascii="Arial;sans-serif" w:hAnsi="Arial;sans-serif"/>
          <w:b w:val="false"/>
          <w:sz w:val="20"/>
        </w:rPr>
      </w:pPr>
      <w:r>
        <w:rPr>
          <w:rFonts w:ascii="Arial;sans-serif" w:hAnsi="Arial;sans-serif"/>
          <w:b w:val="false"/>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pStyle w:val="TextBody"/>
        <w:bidi w:val="0"/>
        <w:spacing w:before="240" w:after="0"/>
        <w:jc w:val="both"/>
        <w:rPr>
          <w:rFonts w:ascii="Times New Roman" w:hAnsi="Times New Roman"/>
          <w:sz w:val="20"/>
        </w:rPr>
      </w:pPr>
      <w:r>
        <w:rPr>
          <w:rFonts w:ascii="Arial;sans-serif" w:hAnsi="Arial;sans-serif"/>
          <w:b/>
          <w:i/>
          <w:sz w:val="20"/>
        </w:rPr>
        <w:t>Anti-takeover provisions in our charter documents and under Delaware or Washington law could make an acquisition of us difficult, limit attempts by our stockholders to replace or remove our current management and limit our stock price.</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permit the board of directors to issue up to 100,000,000 shares of preferred stock, with any rights, preferences and privileges as they may designate;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provide that the authorized number of directors may be changed only by resolution of the board of directors;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provide that all vacancies, including newly-created directorships, may, except as otherwise required by law, be filled by the affirmative vote of a majority of directors then in office, even if less than a quorum;</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divide the board of directors into three classes;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provide that a director may only be removed from the board of directors by the stockholders for cause;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require that any action to be taken by our stockholders must be effected at a duly called annual or special meeting of stockholders and may not be taken by written consent;</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prevent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120" w:after="0"/>
        <w:jc w:val="both"/>
        <w:rPr/>
      </w:pPr>
      <w:r>
        <w:rPr/>
        <w:t>•</w:t>
      </w:r>
    </w:p>
    <w:p>
      <w:pPr>
        <w:pStyle w:val="TextBody"/>
        <w:bidi w:val="0"/>
        <w:spacing w:before="120" w:after="0"/>
        <w:jc w:val="both"/>
        <w:rPr>
          <w:rFonts w:ascii="Arial;sans-serif" w:hAnsi="Arial;sans-serif"/>
          <w:b w:val="false"/>
          <w:sz w:val="20"/>
        </w:rPr>
      </w:pPr>
      <w:r>
        <w:rPr>
          <w:rFonts w:ascii="Arial;sans-serif" w:hAnsi="Arial;sans-serif"/>
          <w:b w:val="false"/>
          <w:sz w:val="20"/>
        </w:rPr>
        <w:t>provide that special meetings of our stockholders may be called only by the chairman of the board, our chief executive officer or by the board of directors; and</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20"/>
        </w:rPr>
      </w:pPr>
      <w:r>
        <w:rPr>
          <w:rFonts w:ascii="Arial;sans-serif" w:hAnsi="Arial;sans-serif"/>
          <w:b w:val="false"/>
          <w:sz w:val="20"/>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pStyle w:val="TextBody"/>
        <w:bidi w:val="0"/>
        <w:spacing w:before="240" w:after="0"/>
        <w:jc w:val="both"/>
        <w:rPr>
          <w:rFonts w:ascii="Arial;sans-serif" w:hAnsi="Arial;sans-serif"/>
          <w:b w:val="false"/>
          <w:sz w:val="20"/>
        </w:rPr>
      </w:pPr>
      <w:r>
        <w:rPr>
          <w:rFonts w:ascii="Arial;sans-serif" w:hAnsi="Arial;sans-serif"/>
          <w:b w:val="false"/>
          <w:sz w:val="20"/>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240" w:after="0"/>
        <w:jc w:val="both"/>
        <w:rPr>
          <w:rFonts w:ascii="Times New Roman" w:hAnsi="Times New Roman"/>
          <w:sz w:val="20"/>
        </w:rPr>
      </w:pPr>
      <w:r>
        <w:rPr>
          <w:rFonts w:ascii="Arial;sans-serif" w:hAnsi="Arial;sans-serif"/>
          <w:b/>
          <w:i/>
          <w:sz w:val="20"/>
        </w:rPr>
        <w:t>Our amended and restated bylaws provide that the Court of Chancery of the State of Delaware and the federal district courts of the United States are the exclusive forums for substantially all disputes between us and our</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92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Our amended and restated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pStyle w:val="TextBody"/>
        <w:bidi w:val="0"/>
        <w:spacing w:before="240" w:after="0"/>
        <w:jc w:val="both"/>
        <w:rPr>
          <w:rFonts w:ascii="Arial;sans-serif" w:hAnsi="Arial;sans-serif"/>
          <w:b w:val="false"/>
          <w:sz w:val="20"/>
        </w:rPr>
      </w:pPr>
      <w:r>
        <w:rPr>
          <w:rFonts w:ascii="Arial;sans-serif" w:hAnsi="Arial;sans-serif"/>
          <w:b w:val="false"/>
          <w:sz w:val="20"/>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pStyle w:val="TextBody"/>
        <w:bidi w:val="0"/>
        <w:spacing w:before="240" w:after="0"/>
        <w:jc w:val="both"/>
        <w:rPr>
          <w:rFonts w:ascii="Arial;sans-serif" w:hAnsi="Arial;sans-serif"/>
          <w:b w:val="false"/>
          <w:sz w:val="20"/>
        </w:rPr>
      </w:pPr>
      <w:r>
        <w:rPr>
          <w:rFonts w:ascii="Arial;sans-serif" w:hAnsi="Arial;sans-serif"/>
          <w:b w:val="false"/>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pStyle w:val="TextBody"/>
        <w:bidi w:val="0"/>
        <w:spacing w:before="240" w:after="0"/>
        <w:jc w:val="both"/>
        <w:rPr>
          <w:rFonts w:ascii="Arial;sans-serif" w:hAnsi="Arial;sans-serif"/>
          <w:b/>
          <w:sz w:val="20"/>
        </w:rPr>
      </w:pPr>
      <w:r>
        <w:rPr>
          <w:rFonts w:ascii="Arial;sans-serif" w:hAnsi="Arial;sans-serif"/>
          <w:b/>
          <w:sz w:val="20"/>
        </w:rPr>
        <w:t>General Risk Factors</w:t>
      </w:r>
    </w:p>
    <w:p>
      <w:pPr>
        <w:pStyle w:val="TextBody"/>
        <w:bidi w:val="0"/>
        <w:spacing w:before="240" w:after="0"/>
        <w:jc w:val="both"/>
        <w:rPr>
          <w:rFonts w:ascii="Arial;sans-serif" w:hAnsi="Arial;sans-serif"/>
          <w:b/>
          <w:i/>
          <w:sz w:val="20"/>
        </w:rPr>
      </w:pPr>
      <w:r>
        <w:rPr>
          <w:rFonts w:ascii="Arial;sans-serif" w:hAnsi="Arial;sans-serif"/>
          <w:b/>
          <w:i/>
          <w:sz w:val="20"/>
        </w:rPr>
        <w:t>Our advisors and consultants are classified as independent contractors, and we can face consequences if it is determined that they are misclassified as such.</w:t>
      </w:r>
    </w:p>
    <w:p>
      <w:pPr>
        <w:pStyle w:val="TextBody"/>
        <w:bidi w:val="0"/>
        <w:spacing w:before="240" w:after="0"/>
        <w:jc w:val="both"/>
        <w:rPr>
          <w:rFonts w:ascii="Times New Roman" w:hAnsi="Times New Roman"/>
          <w:sz w:val="20"/>
        </w:rPr>
      </w:pPr>
      <w:r>
        <w:rPr>
          <w:rFonts w:ascii="Arial;sans-serif" w:hAnsi="Arial;sans-serif"/>
          <w:b w:val="false"/>
          <w:sz w:val="20"/>
        </w:rPr>
        <w:t>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divergent</w:t>
      </w:r>
      <w:r>
        <w:rPr>
          <w:rFonts w:ascii="Times New Roman" w:hAnsi="Times New Roman"/>
          <w:sz w:val="20"/>
        </w:rPr>
        <w:t xml:space="preserve"> </w:t>
      </w:r>
      <w:r>
        <w:rPr>
          <w:rFonts w:ascii="Arial;sans-serif" w:hAnsi="Arial;sans-serif"/>
          <w:b w:val="false"/>
          <w:sz w:val="20"/>
        </w:rPr>
        <w:t>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pStyle w:val="TextBody"/>
        <w:bidi w:val="0"/>
        <w:spacing w:before="240" w:after="0"/>
        <w:jc w:val="both"/>
        <w:rPr>
          <w:rFonts w:ascii="Times New Roman" w:hAnsi="Times New Roman"/>
          <w:sz w:val="20"/>
        </w:rPr>
      </w:pPr>
      <w:r>
        <w:rPr>
          <w:rFonts w:ascii="Arial;sans-serif" w:hAnsi="Arial;sans-serif"/>
          <w:b/>
          <w:i/>
          <w:sz w:val="20"/>
        </w:rPr>
        <w:t>If securities</w:t>
      </w:r>
      <w:r>
        <w:rPr>
          <w:rFonts w:ascii="Times New Roman" w:hAnsi="Times New Roman"/>
          <w:sz w:val="20"/>
        </w:rPr>
        <w:t xml:space="preserve"> </w:t>
      </w:r>
      <w:r>
        <w:rPr>
          <w:rFonts w:ascii="Arial;sans-serif" w:hAnsi="Arial;sans-serif"/>
          <w:b/>
          <w:i/>
          <w:sz w:val="20"/>
        </w:rPr>
        <w:t>analysts do not publish research or reports about our business or if they publish negative evaluations of our stock, the price of our stock could decline.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93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Arial;sans-serif" w:hAnsi="Arial;sans-serif"/>
          <w:b/>
          <w:i/>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If we are unable to maintain effective internal controls, our business, financial position and results of operations could be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val="false"/>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Arial;sans-serif" w:hAnsi="Arial;sans-serif"/>
          <w:b/>
          <w:i/>
          <w:sz w:val="20"/>
        </w:rPr>
        <w:t>Attention to ESG (environmental, social and governance) matters may cause us to incur additional costs or expose us to additional risks.</w:t>
      </w:r>
      <w:r>
        <w:rPr>
          <w:rFonts w:ascii="Times New Roman" w:hAnsi="Times New Roman"/>
          <w:sz w:val="20"/>
        </w:rPr>
        <w:t xml:space="preserve"> </w:t>
      </w:r>
    </w:p>
    <w:p>
      <w:pPr>
        <w:pStyle w:val="TextBody"/>
        <w:bidi w:val="0"/>
        <w:spacing w:before="240" w:after="0"/>
        <w:jc w:val="both"/>
        <w:rPr>
          <w:rFonts w:ascii="Arial;sans-serif" w:hAnsi="Arial;sans-serif"/>
          <w:b w:val="false"/>
          <w:sz w:val="20"/>
        </w:rPr>
      </w:pPr>
      <w:r>
        <w:rPr>
          <w:rFonts w:ascii="Arial;sans-serif" w:hAnsi="Arial;sans-serif"/>
          <w:b w:val="false"/>
          <w:sz w:val="20"/>
        </w:rPr>
        <w:t>A variety of stakeholder groups, including investors, governmental and nongovernmental organizations are focused on corporate environmental, social and governance, or ESG, practices. Our ESG practices may not meet the standards of our investors or other stakeholders, and they as well as advocacy groups may campaign for us to change our business, operations or practices to better address ESG-related concerns. A failure, or perceived failure, of us to respond to any such campaigns could harm our business and reputation and have a negative impact on the market price of our common stock. Moreover, if ESG best practices, reporting standards and disclosure requirements continue to develop, we may incur increasing costs related to ESG monitoring and reporting.</w:t>
      </w:r>
    </w:p>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94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80" w:after="0"/>
        <w:jc w:val="both"/>
        <w:rPr>
          <w:rFonts w:ascii="Arial;sans-serif" w:hAnsi="Arial;sans-serif"/>
          <w:b/>
          <w:sz w:val="20"/>
        </w:rPr>
      </w:pPr>
      <w:bookmarkStart w:id="15" w:name="item_2_unregistered_sales_equity_securit"/>
      <w:bookmarkEnd w:id="15"/>
      <w:r>
        <w:rPr>
          <w:rFonts w:ascii="Arial;sans-serif" w:hAnsi="Arial;sans-serif"/>
          <w:b/>
          <w:sz w:val="20"/>
        </w:rPr>
        <w:t>Item 2. Unregistered Sales of Equity Securities and Use of Proceeds.</w:t>
      </w:r>
    </w:p>
    <w:p>
      <w:pPr>
        <w:pStyle w:val="TextBody"/>
        <w:bidi w:val="0"/>
        <w:spacing w:before="280" w:after="0"/>
        <w:jc w:val="both"/>
        <w:rPr>
          <w:rFonts w:ascii="Arial;sans-serif" w:hAnsi="Arial;sans-serif"/>
          <w:b/>
          <w:i/>
          <w:sz w:val="20"/>
        </w:rPr>
      </w:pPr>
      <w:r>
        <w:rPr>
          <w:rFonts w:ascii="Arial;sans-serif" w:hAnsi="Arial;sans-serif"/>
          <w:b/>
          <w:i/>
          <w:sz w:val="20"/>
        </w:rPr>
        <w:t>Recent Sales of Unregistered Equity Securities</w:t>
      </w:r>
    </w:p>
    <w:p>
      <w:pPr>
        <w:pStyle w:val="TextBody"/>
        <w:bidi w:val="0"/>
        <w:spacing w:before="280" w:after="0"/>
        <w:jc w:val="both"/>
        <w:rPr>
          <w:rFonts w:ascii="Arial;sans-serif" w:hAnsi="Arial;sans-serif"/>
          <w:b w:val="false"/>
          <w:sz w:val="20"/>
        </w:rPr>
      </w:pPr>
      <w:r>
        <w:rPr>
          <w:rFonts w:ascii="Arial;sans-serif" w:hAnsi="Arial;sans-serif"/>
          <w:b w:val="false"/>
          <w:sz w:val="20"/>
        </w:rPr>
        <w:t>None.</w:t>
      </w:r>
    </w:p>
    <w:p>
      <w:pPr>
        <w:pStyle w:val="TextBody"/>
        <w:bidi w:val="0"/>
        <w:spacing w:before="280" w:after="0"/>
        <w:jc w:val="both"/>
        <w:rPr>
          <w:rFonts w:ascii="Arial;sans-serif" w:hAnsi="Arial;sans-serif"/>
          <w:b/>
          <w:i/>
          <w:sz w:val="20"/>
        </w:rPr>
      </w:pPr>
      <w:r>
        <w:rPr>
          <w:rFonts w:ascii="Arial;sans-serif" w:hAnsi="Arial;sans-serif"/>
          <w:b/>
          <w:i/>
          <w:sz w:val="20"/>
        </w:rPr>
        <w:t>Use of Proceeds from Initial Public Offering</w:t>
      </w:r>
    </w:p>
    <w:p>
      <w:pPr>
        <w:pStyle w:val="TextBody"/>
        <w:bidi w:val="0"/>
        <w:spacing w:before="280" w:after="0"/>
        <w:jc w:val="both"/>
        <w:rPr>
          <w:rFonts w:ascii="Times New Roman" w:hAnsi="Times New Roman"/>
          <w:sz w:val="20"/>
        </w:rPr>
      </w:pPr>
      <w:r>
        <w:rPr>
          <w:rFonts w:ascii="Arial;sans-serif" w:hAnsi="Arial;sans-serif"/>
          <w:b w:val="false"/>
          <w:sz w:val="20"/>
        </w:rPr>
        <w:t>On September 22, 2020, we closed our IPO, in which we sold and issued 12,000,000 shares of our common stock at a price to the public of $17.00 per share. On October 16, 2020, we sold and issued an additional 1,397,712 shares of common stock at $17.00 per share, less underwriting discounts and commissions, to the underwriters of our IPO following the partial exercise of their option to purchase additional shares of common stock.</w:t>
      </w:r>
      <w:r>
        <w:rPr>
          <w:rFonts w:ascii="Times New Roman" w:hAnsi="Times New Roman"/>
          <w:sz w:val="20"/>
        </w:rPr>
        <w:t xml:space="preserve"> </w:t>
      </w:r>
    </w:p>
    <w:p>
      <w:pPr>
        <w:pStyle w:val="TextBody"/>
        <w:bidi w:val="0"/>
        <w:spacing w:before="280" w:after="0"/>
        <w:jc w:val="both"/>
        <w:rPr>
          <w:rFonts w:ascii="Arial;sans-serif" w:hAnsi="Arial;sans-serif"/>
          <w:b w:val="false"/>
          <w:sz w:val="20"/>
        </w:rPr>
      </w:pPr>
      <w:r>
        <w:rPr>
          <w:rFonts w:ascii="Arial;sans-serif" w:hAnsi="Arial;sans-serif"/>
          <w:b w:val="false"/>
          <w:sz w:val="20"/>
        </w:rPr>
        <w:t>The offer and sale of all of the shares of our common stock in our IPO were registered under the Securities Act pursuant to a registration statement on Form S-1 (File No. 333-248428), which was declared effective by the SEC on September 17, 2020.</w:t>
      </w:r>
    </w:p>
    <w:p>
      <w:pPr>
        <w:pStyle w:val="TextBody"/>
        <w:bidi w:val="0"/>
        <w:spacing w:before="280" w:after="0"/>
        <w:jc w:val="both"/>
        <w:rPr>
          <w:rFonts w:ascii="Arial;sans-serif" w:hAnsi="Arial;sans-serif"/>
          <w:b w:val="false"/>
          <w:sz w:val="20"/>
        </w:rPr>
      </w:pPr>
      <w:r>
        <w:rPr>
          <w:rFonts w:ascii="Arial;sans-serif" w:hAnsi="Arial;sans-serif"/>
          <w:b w:val="false"/>
          <w:sz w:val="20"/>
        </w:rPr>
        <w:t>There has been no material change in our planned use of the net proceeds from our IPO as described in our final prospectus filed pursuant to Rule 424(b)(4) under the Securities Act with the SEC on September 18, 2020.</w:t>
      </w:r>
    </w:p>
    <w:p>
      <w:pPr>
        <w:pStyle w:val="TextBody"/>
        <w:bidi w:val="0"/>
        <w:spacing w:before="280" w:after="0"/>
        <w:jc w:val="both"/>
        <w:rPr>
          <w:rFonts w:ascii="Arial;sans-serif" w:hAnsi="Arial;sans-serif"/>
          <w:b/>
          <w:sz w:val="20"/>
        </w:rPr>
      </w:pPr>
      <w:bookmarkStart w:id="16" w:name="item_3_defaults_upon_senior_securities"/>
      <w:bookmarkEnd w:id="16"/>
      <w:r>
        <w:rPr>
          <w:rFonts w:ascii="Arial;sans-serif" w:hAnsi="Arial;sans-serif"/>
          <w:b/>
          <w:sz w:val="20"/>
        </w:rPr>
        <w:t>Item 3. Defaults Upon Senior Securities.</w:t>
      </w:r>
    </w:p>
    <w:p>
      <w:pPr>
        <w:pStyle w:val="TextBody"/>
        <w:bidi w:val="0"/>
        <w:spacing w:before="280" w:after="0"/>
        <w:jc w:val="both"/>
        <w:rPr>
          <w:rFonts w:ascii="Arial;sans-serif" w:hAnsi="Arial;sans-serif"/>
          <w:b w:val="false"/>
          <w:sz w:val="20"/>
        </w:rPr>
      </w:pPr>
      <w:r>
        <w:rPr>
          <w:rFonts w:ascii="Arial;sans-serif" w:hAnsi="Arial;sans-serif"/>
          <w:b w:val="false"/>
          <w:sz w:val="20"/>
        </w:rPr>
        <w:t>Not applicable.</w:t>
      </w:r>
    </w:p>
    <w:p>
      <w:pPr>
        <w:pStyle w:val="TextBody"/>
        <w:bidi w:val="0"/>
        <w:spacing w:before="280" w:after="0"/>
        <w:jc w:val="both"/>
        <w:rPr>
          <w:rFonts w:ascii="Arial;sans-serif" w:hAnsi="Arial;sans-serif"/>
          <w:b/>
          <w:sz w:val="20"/>
        </w:rPr>
      </w:pPr>
      <w:bookmarkStart w:id="17" w:name="item_4_mine_safety_disclosures"/>
      <w:bookmarkEnd w:id="17"/>
      <w:r>
        <w:rPr>
          <w:rFonts w:ascii="Arial;sans-serif" w:hAnsi="Arial;sans-serif"/>
          <w:b/>
          <w:sz w:val="20"/>
        </w:rPr>
        <w:t>Item 4. Mine Safety Disclosures.</w:t>
      </w:r>
    </w:p>
    <w:p>
      <w:pPr>
        <w:pStyle w:val="TextBody"/>
        <w:bidi w:val="0"/>
        <w:spacing w:before="280" w:after="0"/>
        <w:jc w:val="both"/>
        <w:rPr>
          <w:rFonts w:ascii="Arial;sans-serif" w:hAnsi="Arial;sans-serif"/>
          <w:b w:val="false"/>
          <w:sz w:val="20"/>
        </w:rPr>
      </w:pPr>
      <w:r>
        <w:rPr>
          <w:rFonts w:ascii="Arial;sans-serif" w:hAnsi="Arial;sans-serif"/>
          <w:b w:val="false"/>
          <w:sz w:val="20"/>
        </w:rPr>
        <w:t>Not applicable.</w:t>
      </w:r>
    </w:p>
    <w:p>
      <w:pPr>
        <w:pStyle w:val="TextBody"/>
        <w:bidi w:val="0"/>
        <w:spacing w:before="280" w:after="0"/>
        <w:jc w:val="both"/>
        <w:rPr>
          <w:rFonts w:ascii="Arial;sans-serif" w:hAnsi="Arial;sans-serif"/>
          <w:b/>
          <w:sz w:val="20"/>
        </w:rPr>
      </w:pPr>
      <w:bookmarkStart w:id="18" w:name="item_5_or_information"/>
      <w:bookmarkEnd w:id="18"/>
      <w:r>
        <w:rPr>
          <w:rFonts w:ascii="Arial;sans-serif" w:hAnsi="Arial;sans-serif"/>
          <w:b/>
          <w:sz w:val="20"/>
        </w:rPr>
        <w:t>Item 5. Other Information.</w:t>
      </w:r>
    </w:p>
    <w:p>
      <w:pPr>
        <w:pStyle w:val="TextBody"/>
        <w:bidi w:val="0"/>
        <w:spacing w:before="280" w:after="0"/>
        <w:jc w:val="both"/>
        <w:rPr>
          <w:rFonts w:ascii="Arial;sans-serif" w:hAnsi="Arial;sans-serif"/>
          <w:b w:val="false"/>
          <w:sz w:val="20"/>
        </w:rPr>
      </w:pPr>
      <w:r>
        <w:rPr>
          <w:rFonts w:ascii="Arial;sans-serif" w:hAnsi="Arial;sans-serif"/>
          <w:b w:val="false"/>
          <w:sz w:val="20"/>
        </w:rPr>
        <w:t>Not applicable.</w:t>
      </w:r>
    </w:p>
    <w:p>
      <w:pPr>
        <w:pStyle w:val="TextBody"/>
        <w:bidi w:val="0"/>
        <w:spacing w:before="240" w:after="0"/>
        <w:jc w:val="center"/>
        <w:rPr>
          <w:rFonts w:ascii="Arial;sans-serif" w:hAnsi="Arial;sans-serif"/>
          <w:b w:val="false"/>
          <w:sz w:val="20"/>
        </w:rPr>
      </w:pPr>
      <w:r>
        <w:rPr>
          <w:rFonts w:ascii="Arial;sans-serif" w:hAnsi="Arial;sans-serif"/>
          <w:b w:val="false"/>
          <w:sz w:val="20"/>
        </w:rPr>
        <w:t>95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Arial;sans-serif" w:hAnsi="Arial;sans-serif"/>
          <w:b/>
          <w:sz w:val="20"/>
        </w:rPr>
      </w:pPr>
      <w:bookmarkStart w:id="19" w:name="item_6_exhibits"/>
      <w:bookmarkEnd w:id="19"/>
      <w:r>
        <w:rPr>
          <w:rFonts w:ascii="Arial;sans-serif" w:hAnsi="Arial;sans-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6103"/>
        <w:gridCol w:w="526"/>
        <w:gridCol w:w="729"/>
        <w:gridCol w:w="661"/>
        <w:gridCol w:w="1250"/>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166" w:type="dxa"/>
            <w:gridSpan w:val="4"/>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Incorporated by Reference</w:t>
            </w:r>
          </w:p>
        </w:tc>
      </w:tr>
      <w:tr>
        <w:trPr/>
        <w:tc>
          <w:tcPr>
            <w:tcW w:w="790"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Exhibit</w:t>
            </w:r>
          </w:p>
          <w:p>
            <w:pPr>
              <w:pStyle w:val="TableContents"/>
              <w:bidi w:val="0"/>
              <w:spacing w:before="0" w:after="0"/>
              <w:ind w:left="0" w:right="0" w:hanging="0"/>
              <w:jc w:val="center"/>
              <w:rPr>
                <w:rFonts w:ascii="Arial;sans-serif" w:hAnsi="Arial;sans-serif"/>
                <w:b/>
                <w:sz w:val="16"/>
              </w:rPr>
            </w:pPr>
            <w:r>
              <w:rPr>
                <w:rFonts w:ascii="Arial;sans-serif" w:hAnsi="Arial;sans-serif"/>
                <w:b/>
                <w:sz w:val="16"/>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03"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Description</w:t>
            </w:r>
          </w:p>
        </w:tc>
        <w:tc>
          <w:tcPr>
            <w:tcW w:w="52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Form</w:t>
            </w:r>
          </w:p>
        </w:tc>
        <w:tc>
          <w:tcPr>
            <w:tcW w:w="729"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File No.</w:t>
            </w:r>
          </w:p>
        </w:tc>
        <w:tc>
          <w:tcPr>
            <w:tcW w:w="66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Exhibit</w:t>
            </w:r>
          </w:p>
        </w:tc>
        <w:tc>
          <w:tcPr>
            <w:tcW w:w="1250"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Filing Date</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Arial;sans-serif" w:hAnsi="Arial;sans-serif"/>
                  <w:b w:val="false"/>
                  <w:sz w:val="20"/>
                  <w:u w:val="single"/>
                </w:rPr>
                <w:t>Amended and Restated Certificate of Incorporation of the Company</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10-Q</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001-39503</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3.1</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November 12, 2020</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Arial;sans-serif" w:hAnsi="Arial;sans-serif"/>
                  <w:b w:val="false"/>
                  <w:sz w:val="20"/>
                  <w:u w:val="single"/>
                </w:rPr>
                <w:t>Amended and Restated Bylaws of the Company</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8-K</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001-39503</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3.1</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November 18, 2022</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Arial;sans-serif" w:hAnsi="Arial;sans-serif"/>
                  <w:b w:val="false"/>
                  <w:sz w:val="20"/>
                  <w:u w:val="single"/>
                </w:rPr>
                <w:t>Employment Offer Letter between the Company and Andrew Gengos, dated as of May 18, 2023.</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8-K</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001-39503</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10.1</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May 22, 2023</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6">
              <w:r>
                <w:rPr>
                  <w:rStyle w:val="InternetLink"/>
                  <w:rFonts w:ascii="Arial;sans-serif" w:hAnsi="Arial;sans-serif"/>
                  <w:b w:val="false"/>
                  <w:sz w:val="20"/>
                  <w:u w:val="single"/>
                </w:rPr>
                <w:t>Change in Control and Severance Agreement between the Company and Andrew Gengos, dated as of May 18, 2023.</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8-K</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001-39503</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10.2</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May 22, 2023</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10.3*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7">
              <w:r>
                <w:rPr>
                  <w:rStyle w:val="InternetLink"/>
                  <w:rFonts w:ascii="Arial;sans-serif" w:hAnsi="Arial;sans-serif"/>
                  <w:b w:val="false"/>
                  <w:sz w:val="20"/>
                  <w:u w:val="single"/>
                </w:rPr>
                <w:t>Transition Services Agreement between the Company and Glenna Mileson, dated as of May 18, 2023.</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8-K</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001-39503</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10.3</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May 22, 2023</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tha-ex31_1.htm">
              <w:r>
                <w:rPr>
                  <w:rStyle w:val="InternetLink"/>
                  <w:rFonts w:ascii="Arial;sans-serif" w:hAnsi="Arial;sans-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tha-ex31_2.htm">
              <w:r>
                <w:rPr>
                  <w:rStyle w:val="InternetLink"/>
                  <w:rFonts w:ascii="Arial;sans-serif" w:hAnsi="Arial;sans-serif"/>
                  <w:b w:val="false"/>
                  <w:sz w:val="20"/>
                  <w:u w:val="single"/>
                </w:rPr>
                <w:t>Certification of Principal Accounting and Financial Officer Pursuant to Rules 13a-14(a) and 15d-14(a)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tha-ex32_1.htm">
              <w:r>
                <w:rPr>
                  <w:rStyle w:val="InternetLink"/>
                  <w:rFonts w:ascii="Arial;sans-serif" w:hAnsi="Arial;sans-serif"/>
                  <w:b w:val="false"/>
                  <w:sz w:val="20"/>
                  <w:u w:val="single"/>
                </w:rPr>
                <w:t>Certification of Principal Executive Officer Pursuant to 18 U.S.C. Section 1350, as Adopted Pursuant to Section 906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Arial;sans-serif" w:hAnsi="Arial;sans-serif"/>
                <w:b w:val="false"/>
                <w:sz w:val="20"/>
              </w:rPr>
              <w:t>32.2**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atha-ex32_2.htm">
              <w:r>
                <w:rPr>
                  <w:rStyle w:val="InternetLink"/>
                  <w:rFonts w:ascii="Arial;sans-serif" w:hAnsi="Arial;sans-serif"/>
                  <w:b w:val="false"/>
                  <w:sz w:val="20"/>
                  <w:u w:val="single"/>
                </w:rPr>
                <w:t>Certification of Principal Accounting and Financial Officer Pursuant to 18 U.S.C. Section 1350, as Adopted Pursuant to Section 906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Instance Document</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Schema Document</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Calculation Linkbase Document</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Definition Linkbase Document</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Label Linkbase Document</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Inline XBRL Taxonomy Extension Presentation Linkbase Document</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10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Cover Page Interactive Data File (formatted in Inline XBRL and included in Exhibit 101)</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5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Arial;sans-serif" w:hAnsi="Arial;sans-serif"/>
          <w:b w:val="false"/>
          <w:sz w:val="16"/>
        </w:rPr>
      </w:pPr>
      <w:r>
        <w:rPr>
          <w:rFonts w:ascii="Arial;sans-serif" w:hAnsi="Arial;sans-serif"/>
          <w:b w:val="false"/>
          <w:sz w:val="16"/>
        </w:rPr>
        <w:t>* Indicates a management contract or compensatory plan.</w:t>
      </w:r>
    </w:p>
    <w:p>
      <w:pPr>
        <w:pStyle w:val="TextBody"/>
        <w:bidi w:val="0"/>
        <w:spacing w:before="40" w:after="0"/>
        <w:jc w:val="both"/>
        <w:rPr>
          <w:rFonts w:ascii="Arial;sans-serif" w:hAnsi="Arial;sans-serif"/>
          <w:b w:val="false"/>
          <w:sz w:val="16"/>
        </w:rPr>
      </w:pPr>
      <w:r>
        <w:rPr>
          <w:rFonts w:ascii="Arial;sans-serif" w:hAnsi="Arial;sans-serif"/>
          <w:b w:val="false"/>
          <w:sz w:val="16"/>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96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bookmarkStart w:id="20" w:name="signatures"/>
      <w:bookmarkEnd w:id="20"/>
      <w:r>
        <w:rPr>
          <w:rFonts w:ascii="Arial;sans-serif" w:hAnsi="Arial;sans-serif"/>
          <w:b/>
          <w:sz w:val="20"/>
        </w:rPr>
        <w:t>SIGNATURES</w:t>
      </w:r>
    </w:p>
    <w:p>
      <w:pPr>
        <w:pStyle w:val="TextBody"/>
        <w:bidi w:val="0"/>
        <w:spacing w:before="280" w:after="0"/>
        <w:jc w:val="both"/>
        <w:rPr>
          <w:rFonts w:ascii="Arial;sans-serif" w:hAnsi="Arial;sans-serif"/>
          <w:b w:val="false"/>
          <w:sz w:val="20"/>
        </w:rPr>
      </w:pPr>
      <w:r>
        <w:rPr>
          <w:rFonts w:ascii="Arial;sans-serif" w:hAnsi="Arial;sans-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953"/>
        <w:gridCol w:w="109"/>
        <w:gridCol w:w="401"/>
        <w:gridCol w:w="7742"/>
      </w:tblGrid>
      <w:tr>
        <w:trPr/>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42" w:type="dxa"/>
            <w:tcBorders/>
            <w:vAlign w:val="center"/>
          </w:tcPr>
          <w:p>
            <w:pPr>
              <w:pStyle w:val="TableContents"/>
              <w:bidi w:val="0"/>
              <w:spacing w:before="0" w:after="283"/>
              <w:jc w:val="left"/>
              <w:rPr>
                <w:sz w:val="4"/>
                <w:szCs w:val="4"/>
              </w:rPr>
            </w:pPr>
            <w:r>
              <w:rPr>
                <w:sz w:val="4"/>
                <w:szCs w:val="4"/>
              </w:rPr>
            </w:r>
          </w:p>
        </w:tc>
      </w:tr>
      <w:tr>
        <w:trPr/>
        <w:tc>
          <w:tcPr>
            <w:tcW w:w="195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43"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Athira Pharma, Inc.</w:t>
            </w:r>
          </w:p>
        </w:tc>
      </w:tr>
      <w:tr>
        <w:trPr/>
        <w:tc>
          <w:tcPr>
            <w:tcW w:w="195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74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774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Mark Litton</w:t>
            </w:r>
          </w:p>
        </w:tc>
      </w:tr>
      <w:tr>
        <w:trPr/>
        <w:tc>
          <w:tcPr>
            <w:tcW w:w="195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742"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Mark Litton</w:t>
            </w:r>
          </w:p>
        </w:tc>
      </w:tr>
      <w:tr>
        <w:trPr/>
        <w:tc>
          <w:tcPr>
            <w:tcW w:w="195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74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4"/>
              </w:rPr>
            </w:pPr>
            <w:r>
              <w:rPr>
                <w:rFonts w:ascii="Arial;sans-serif" w:hAnsi="Arial;sans-serif"/>
                <w:b w:val="false"/>
                <w:sz w:val="20"/>
              </w:rPr>
              <w:t>President and Chief Executive Officer (</w:t>
            </w:r>
            <w:r>
              <w:rPr>
                <w:rFonts w:ascii="Arial;sans-serif" w:hAnsi="Arial;sans-serif"/>
                <w:b w:val="false"/>
                <w:i/>
                <w:sz w:val="20"/>
              </w:rPr>
              <w:t>Principal Executive Officer</w:t>
            </w:r>
            <w:r>
              <w:rPr>
                <w:rFonts w:ascii="Arial;sans-serif" w:hAnsi="Arial;sans-serif"/>
                <w:b w:val="false"/>
                <w:sz w:val="20"/>
              </w:rPr>
              <w:t>)</w:t>
            </w:r>
            <w:r>
              <w:rPr>
                <w:rFonts w:ascii="Times New Roman" w:hAnsi="Times New Roman"/>
                <w:sz w:val="24"/>
              </w:rPr>
              <w:t xml:space="preserve"> </w:t>
            </w:r>
          </w:p>
        </w:tc>
      </w:tr>
      <w:tr>
        <w:trPr/>
        <w:tc>
          <w:tcPr>
            <w:tcW w:w="19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74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3"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August 10,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774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 Andrew Gengos</w:t>
            </w:r>
          </w:p>
        </w:tc>
      </w:tr>
      <w:tr>
        <w:trPr/>
        <w:tc>
          <w:tcPr>
            <w:tcW w:w="195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742"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Andrew Gengos</w:t>
            </w:r>
          </w:p>
        </w:tc>
      </w:tr>
      <w:tr>
        <w:trPr/>
        <w:tc>
          <w:tcPr>
            <w:tcW w:w="195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74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Chief Financial Officer and Chief Business Officer (</w:t>
            </w:r>
            <w:r>
              <w:rPr>
                <w:rFonts w:ascii="Arial;sans-serif" w:hAnsi="Arial;sans-serif"/>
                <w:b w:val="false"/>
                <w:i/>
                <w:sz w:val="20"/>
              </w:rPr>
              <w:t>Principal Financial and Accounting Officer</w:t>
            </w:r>
            <w:r>
              <w:rPr>
                <w:rFonts w:ascii="Arial;sans-serif" w:hAnsi="Arial;sans-serif"/>
                <w:b w:val="false"/>
                <w:sz w:val="20"/>
              </w:rPr>
              <w:t>)</w:t>
            </w:r>
          </w:p>
        </w:tc>
      </w:tr>
    </w:tbl>
    <w:p>
      <w:pPr>
        <w:pStyle w:val="TextBody"/>
        <w:bidi w:val="0"/>
        <w:spacing w:before="0" w:after="0"/>
        <w:jc w:val="both"/>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97</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1" w:name="atha-ex31_1.htm"/>
      <w:bookmarkStart w:id="22" w:name="ksathaex31_1"/>
      <w:bookmarkEnd w:id="21"/>
      <w:bookmarkEnd w:id="22"/>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THE PRINCIPAL EXECUTIVE OFFICER PURSUANT TO EXCHANGE ACT RULE 13a-14(a)/15d-14(a)</w:t>
        <w:b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Mark Litton,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Athira Pharma,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sz w:val="20"/>
        </w:rPr>
      </w:pPr>
      <w:r>
        <w:rPr>
          <w:rFonts w:ascii="Times New Roman;serif" w:hAnsi="Times New Roman;serif"/>
          <w:b w:val="false"/>
          <w:sz w:val="20"/>
        </w:rPr>
        <w:t>Date: August 10, 2023</w:t>
      </w:r>
      <w:r>
        <w:rPr>
          <w:rFonts w:ascii="Times New Roman" w:hAnsi="Times New Roman"/>
          <w:sz w:val="20"/>
        </w:rPr>
        <w:t xml:space="preserve">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ind w:left="0" w:right="0" w:hanging="0"/>
              <w:jc w:val="left"/>
              <w:rPr>
                <w:rFonts w:ascii="Times New Roman;serif" w:hAnsi="Times New Roman;serif"/>
                <w:b w:val="false"/>
                <w:sz w:val="20"/>
              </w:rPr>
            </w:pPr>
            <w:r>
              <w:rPr>
                <w:rFonts w:ascii="Times New Roman;serif" w:hAnsi="Times New Roman;serif"/>
                <w:b w:val="false"/>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ind w:left="0" w:right="0" w:hanging="0"/>
              <w:jc w:val="left"/>
              <w:rPr>
                <w:rFonts w:ascii="Times New Roman;serif" w:hAnsi="Times New Roman;serif"/>
                <w:b w:val="false"/>
                <w:sz w:val="20"/>
              </w:rPr>
            </w:pPr>
            <w:r>
              <w:rPr>
                <w:rFonts w:ascii="Times New Roman;serif" w:hAnsi="Times New Roman;serif"/>
                <w:b w:val="false"/>
                <w:sz w:val="20"/>
              </w:rPr>
              <w:t>Mark Litton</w:t>
            </w:r>
          </w:p>
        </w:tc>
        <w:tc>
          <w:tcPr>
            <w:tcW w:w="191" w:type="dxa"/>
            <w:tcBorders/>
            <w:vAlign w:val="center"/>
          </w:tcPr>
          <w:p>
            <w:pPr>
              <w:pStyle w:val="TableContents"/>
              <w:bidi w:val="0"/>
              <w:spacing w:before="0" w:after="0"/>
              <w:ind w:left="0" w:right="0" w:hanging="0"/>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President and Chief Executive Officer</w:t>
            </w:r>
          </w:p>
        </w:tc>
        <w:tc>
          <w:tcPr>
            <w:tcW w:w="191" w:type="dxa"/>
            <w:tcBorders/>
            <w:vAlign w:val="center"/>
          </w:tcPr>
          <w:p>
            <w:pPr>
              <w:pStyle w:val="TableContents"/>
              <w:bidi w:val="0"/>
              <w:spacing w:before="0" w:after="0"/>
              <w:ind w:left="0" w:right="0" w:hanging="0"/>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0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atha-ex31_2.htm"/>
      <w:bookmarkStart w:id="24" w:name="ksathaex31_2"/>
      <w:bookmarkEnd w:id="23"/>
      <w:bookmarkEnd w:id="24"/>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THE PRINCIPAL FINANCIAL OFFICER PURSUANT TO EXCHANGE ACT RULE 13a-14(a)/15d-14(a)</w:t>
        <w:b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Andrew Gengos,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Athira Pharma,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serif" w:hAnsi="Times New Roman;serif"/>
          <w:b w:val="false"/>
          <w:sz w:val="20"/>
        </w:rPr>
      </w:pPr>
      <w:r>
        <w:rPr>
          <w:rFonts w:ascii="Times New Roman;serif" w:hAnsi="Times New Roman;serif"/>
          <w:b w:val="false"/>
          <w:sz w:val="20"/>
        </w:rPr>
        <w:t>Date: August 10, 2023</w:t>
      </w:r>
    </w:p>
    <w:tbl>
      <w:tblPr>
        <w:tblW w:w="4452" w:type="dxa"/>
        <w:jc w:val="left"/>
        <w:tblInd w:w="0" w:type="dxa"/>
        <w:tblLayout w:type="fixed"/>
        <w:tblCellMar>
          <w:top w:w="28" w:type="dxa"/>
          <w:left w:w="28" w:type="dxa"/>
          <w:bottom w:w="28" w:type="dxa"/>
          <w:right w:w="28" w:type="dxa"/>
        </w:tblCellMar>
      </w:tblPr>
      <w:tblGrid>
        <w:gridCol w:w="42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8" w:space="0" w:color="000000"/>
            </w:tcBorders>
            <w:tcMar>
              <w:top w:w="0" w:type="dxa"/>
              <w:left w:w="0" w:type="dxa"/>
              <w:right w:w="0" w:type="dxa"/>
            </w:tcMar>
            <w:vAlign w:val="center"/>
          </w:tcPr>
          <w:p>
            <w:pPr>
              <w:pStyle w:val="TableContents"/>
              <w:bidi w:val="0"/>
              <w:spacing w:before="53" w:after="30"/>
              <w:ind w:left="0" w:right="0" w:hanging="0"/>
              <w:jc w:val="left"/>
              <w:rPr>
                <w:rFonts w:ascii="Times New Roman;serif" w:hAnsi="Times New Roman;serif"/>
                <w:b w:val="false"/>
                <w:sz w:val="20"/>
              </w:rPr>
            </w:pPr>
            <w:r>
              <w:rPr>
                <w:rFonts w:ascii="Times New Roman;serif" w:hAnsi="Times New Roman;serif"/>
                <w:b w:val="false"/>
                <w:sz w:val="20"/>
              </w:rPr>
              <w:t>/s/ Andrew Gengos</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33" w:after="30"/>
              <w:ind w:left="0" w:right="0" w:hanging="0"/>
              <w:jc w:val="left"/>
              <w:rPr>
                <w:rFonts w:ascii="Times New Roman;serif" w:hAnsi="Times New Roman;serif"/>
                <w:b w:val="false"/>
                <w:sz w:val="20"/>
              </w:rPr>
            </w:pPr>
            <w:r>
              <w:rPr>
                <w:rFonts w:ascii="Times New Roman;serif" w:hAnsi="Times New Roman;serif"/>
                <w:b w:val="false"/>
                <w:sz w:val="20"/>
              </w:rPr>
              <w:t>Andrew Gengos</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Chief Financial Officer and Chief Business Officer</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(Principal Financial and Accounting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0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atha-ex32_1.htm"/>
      <w:bookmarkStart w:id="26" w:name="ksathaex32_1"/>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240" w:after="0"/>
        <w:jc w:val="center"/>
        <w:rPr>
          <w:rFonts w:ascii="Times New Roman;serif" w:hAnsi="Times New Roman;serif"/>
          <w:b/>
          <w:sz w:val="20"/>
        </w:rPr>
      </w:pPr>
      <w:r>
        <w:rPr>
          <w:rFonts w:ascii="Times New Roman;serif" w:hAnsi="Times New Roman;serif"/>
          <w:b/>
          <w:sz w:val="20"/>
        </w:rPr>
        <w:t>ATHIRA PHARMA, INC.</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18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0" w:after="240"/>
        <w:jc w:val="left"/>
        <w:rPr>
          <w:rFonts w:ascii="Times New Roman" w:hAnsi="Times New Roman"/>
          <w:sz w:val="20"/>
        </w:rPr>
      </w:pPr>
      <w:r>
        <w:rPr>
          <w:rFonts w:ascii="Times New Roman;serif" w:hAnsi="Times New Roman;serif"/>
          <w:b w:val="false"/>
          <w:sz w:val="20"/>
        </w:rPr>
        <w:t xml:space="preserve">In connection with the Quarterly Report on Form 10-Q of Athira Pharma, Inc. (the “Company”) for the quarter ended June 30, 2023, as filed with the Securities and Exchange Commission on the date hereof (the “Report”), I, Mark Litton, President and Chief Executive Officer </w:t>
      </w:r>
      <w:r>
        <w:rPr>
          <w:rFonts w:ascii="Times New Roman;serif" w:hAnsi="Times New Roman;serif"/>
          <w:b w:val="false"/>
          <w:i/>
          <w:sz w:val="20"/>
        </w:rPr>
        <w:t>(Principal Executive Officer)</w:t>
      </w:r>
      <w:r>
        <w:rPr>
          <w:rFonts w:ascii="Times New Roman" w:hAnsi="Times New Roman"/>
          <w:sz w:val="20"/>
        </w:rPr>
        <w:t xml:space="preserve"> </w:t>
      </w:r>
      <w:r>
        <w:rPr>
          <w:rFonts w:ascii="Times New Roman;serif" w:hAnsi="Times New Roman;serif"/>
          <w:b w:val="false"/>
          <w:sz w:val="20"/>
        </w:rPr>
        <w:t>of the Company, certify, pursuant to 18 U.S.C. Section 1350, as adopted pursuant to Section 906 of the Sarbanes-Oxley Act of 2002, that, to my knowledge:</w:t>
      </w:r>
      <w:r>
        <w:rPr>
          <w:rFonts w:ascii="Times New Roman" w:hAnsi="Times New Roman"/>
          <w:sz w:val="20"/>
        </w:rPr>
        <w:t xml:space="preserve"> </w:t>
      </w:r>
    </w:p>
    <w:p>
      <w:pPr>
        <w:pStyle w:val="TextBody"/>
        <w:bidi w:val="0"/>
        <w:spacing w:before="0" w:after="240"/>
        <w:jc w:val="left"/>
        <w:rPr>
          <w:rFonts w:ascii="Times New Roman" w:hAnsi="Times New Roman"/>
          <w:b w:val="false"/>
          <w:sz w:val="20"/>
        </w:rPr>
      </w:pPr>
      <w:r>
        <w:rPr>
          <w:rFonts w:ascii="Times New Roman" w:hAnsi="Times New Roman"/>
          <w:b w:val="false"/>
          <w:sz w:val="20"/>
        </w:rPr>
        <w:t>(1)</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as applicable, of the Securities Exchange Act of 1934; and</w:t>
      </w:r>
    </w:p>
    <w:p>
      <w:pPr>
        <w:pStyle w:val="TextBody"/>
        <w:bidi w:val="0"/>
        <w:spacing w:before="0" w:after="340"/>
        <w:jc w:val="left"/>
        <w:rPr>
          <w:rFonts w:ascii="Times New Roman" w:hAnsi="Times New Roman"/>
          <w:b w:val="false"/>
          <w:sz w:val="20"/>
        </w:rPr>
      </w:pPr>
      <w:r>
        <w:rPr>
          <w:rFonts w:ascii="Times New Roman" w:hAnsi="Times New Roman"/>
          <w:b w:val="false"/>
          <w:sz w:val="20"/>
        </w:rPr>
        <w:t>(2)</w:t>
      </w:r>
    </w:p>
    <w:p>
      <w:pPr>
        <w:pStyle w:val="TextBody"/>
        <w:bidi w:val="0"/>
        <w:spacing w:before="0" w:after="34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340"/>
        <w:jc w:val="left"/>
        <w:rPr>
          <w:rFonts w:ascii="Times New Roman;serif" w:hAnsi="Times New Roman;serif"/>
          <w:b w:val="false"/>
          <w:sz w:val="20"/>
        </w:rPr>
      </w:pPr>
      <w:r>
        <w:rPr>
          <w:rFonts w:ascii="Times New Roman;serif" w:hAnsi="Times New Roman;serif"/>
          <w:b w:val="false"/>
          <w:sz w:val="20"/>
        </w:rPr>
        <w:t>Date: August 10, 2023</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ind w:left="0" w:right="0" w:hanging="0"/>
              <w:jc w:val="left"/>
              <w:rPr>
                <w:rFonts w:ascii="Times New Roman;serif" w:hAnsi="Times New Roman;serif"/>
                <w:b w:val="false"/>
                <w:sz w:val="20"/>
              </w:rPr>
            </w:pPr>
            <w:r>
              <w:rPr>
                <w:rFonts w:ascii="Times New Roman;serif" w:hAnsi="Times New Roman;serif"/>
                <w:b w:val="false"/>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ind w:left="0" w:right="0" w:hanging="0"/>
              <w:jc w:val="left"/>
              <w:rPr>
                <w:rFonts w:ascii="Times New Roman;serif" w:hAnsi="Times New Roman;serif"/>
                <w:b w:val="false"/>
                <w:sz w:val="20"/>
              </w:rPr>
            </w:pPr>
            <w:r>
              <w:rPr>
                <w:rFonts w:ascii="Times New Roman;serif" w:hAnsi="Times New Roman;serif"/>
                <w:b w:val="false"/>
                <w:sz w:val="20"/>
              </w:rPr>
              <w:t>Mark Litton</w:t>
            </w:r>
          </w:p>
        </w:tc>
        <w:tc>
          <w:tcPr>
            <w:tcW w:w="191" w:type="dxa"/>
            <w:tcBorders/>
            <w:vAlign w:val="center"/>
          </w:tcPr>
          <w:p>
            <w:pPr>
              <w:pStyle w:val="TableContents"/>
              <w:bidi w:val="0"/>
              <w:spacing w:before="0" w:after="0"/>
              <w:ind w:left="0" w:right="0" w:hanging="0"/>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President and Chief Executive Officer</w:t>
            </w:r>
          </w:p>
        </w:tc>
        <w:tc>
          <w:tcPr>
            <w:tcW w:w="191" w:type="dxa"/>
            <w:tcBorders/>
            <w:vAlign w:val="center"/>
          </w:tcPr>
          <w:p>
            <w:pPr>
              <w:pStyle w:val="TableContents"/>
              <w:bidi w:val="0"/>
              <w:spacing w:before="0" w:after="0"/>
              <w:ind w:left="0" w:right="0" w:hanging="0"/>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atha-ex32_2.htm"/>
      <w:bookmarkStart w:id="28" w:name="ksathaex32_2"/>
      <w:bookmarkEnd w:id="27"/>
      <w:bookmarkEnd w:id="28"/>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240" w:after="0"/>
        <w:jc w:val="center"/>
        <w:rPr>
          <w:rFonts w:ascii="Times New Roman;serif" w:hAnsi="Times New Roman;serif"/>
          <w:b/>
          <w:sz w:val="20"/>
        </w:rPr>
      </w:pPr>
      <w:r>
        <w:rPr>
          <w:rFonts w:ascii="Times New Roman;serif" w:hAnsi="Times New Roman;serif"/>
          <w:b/>
          <w:sz w:val="20"/>
        </w:rPr>
        <w:t>ATHIRA PHARMA, INC.</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18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0" w:after="120"/>
        <w:jc w:val="left"/>
        <w:rPr>
          <w:rFonts w:ascii="Times New Roman" w:hAnsi="Times New Roman"/>
          <w:sz w:val="20"/>
        </w:rPr>
      </w:pPr>
      <w:r>
        <w:rPr>
          <w:rFonts w:ascii="Times New Roman;serif" w:hAnsi="Times New Roman;serif"/>
          <w:b w:val="false"/>
          <w:sz w:val="20"/>
        </w:rPr>
        <w:t xml:space="preserve">In connection with the Quarterly Report on Form 10-Q of Athira Pharma, Inc. (the “Company”) for the quarter ended June 30, 2023, as filed with the Securities and Exchange Commission on the date hereof (the “Report”), I, Andrew Gengos, Chief Financial Officer and Chief Business Officer </w:t>
      </w:r>
      <w:r>
        <w:rPr>
          <w:rFonts w:ascii="Times New Roman;serif" w:hAnsi="Times New Roman;serif"/>
          <w:b w:val="false"/>
          <w:i/>
          <w:sz w:val="20"/>
        </w:rPr>
        <w:t xml:space="preserve">(Principal Financial and Accounting Officer) </w:t>
      </w:r>
      <w:r>
        <w:rPr>
          <w:rFonts w:ascii="Times New Roman;serif" w:hAnsi="Times New Roman;serif"/>
          <w:b w:val="false"/>
          <w:sz w:val="20"/>
        </w:rPr>
        <w:t>of the Company, certify, pursuant to 18 U.S.C. Section 1350, as adopted pursuant to Section 906 of the Sarbanes-Oxley Act of 2002, that, to my knowledge:</w:t>
      </w:r>
      <w:r>
        <w:rPr>
          <w:rFonts w:ascii="Times New Roman" w:hAnsi="Times New Roman"/>
          <w:sz w:val="20"/>
        </w:rPr>
        <w:t xml:space="preserve"> </w:t>
      </w:r>
    </w:p>
    <w:p>
      <w:pPr>
        <w:pStyle w:val="TextBody"/>
        <w:bidi w:val="0"/>
        <w:spacing w:before="0" w:after="120"/>
        <w:jc w:val="left"/>
        <w:rPr>
          <w:rFonts w:ascii="Times New Roman" w:hAnsi="Times New Roman"/>
          <w:b w:val="false"/>
          <w:sz w:val="20"/>
        </w:rPr>
      </w:pPr>
      <w:r>
        <w:rPr>
          <w:rFonts w:ascii="Times New Roman" w:hAnsi="Times New Roman"/>
          <w:b w:val="false"/>
          <w:sz w:val="20"/>
        </w:rPr>
        <w:t>(1)</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as applicable, of the Securities Exchange Act of 1934; and</w:t>
      </w:r>
    </w:p>
    <w:p>
      <w:pPr>
        <w:pStyle w:val="TextBody"/>
        <w:bidi w:val="0"/>
        <w:spacing w:before="0" w:after="220"/>
        <w:jc w:val="left"/>
        <w:rPr>
          <w:rFonts w:ascii="Times New Roman" w:hAnsi="Times New Roman"/>
          <w:b w:val="false"/>
          <w:sz w:val="20"/>
        </w:rPr>
      </w:pPr>
      <w:r>
        <w:rPr>
          <w:rFonts w:ascii="Times New Roman" w:hAnsi="Times New Roman"/>
          <w:b w:val="false"/>
          <w:sz w:val="20"/>
        </w:rPr>
        <w:t>(2)</w:t>
      </w:r>
    </w:p>
    <w:p>
      <w:pPr>
        <w:pStyle w:val="TextBody"/>
        <w:bidi w:val="0"/>
        <w:spacing w:before="0" w:after="22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220"/>
        <w:jc w:val="left"/>
        <w:rPr>
          <w:rFonts w:ascii="Times New Roman;serif" w:hAnsi="Times New Roman;serif"/>
          <w:b w:val="false"/>
          <w:sz w:val="20"/>
        </w:rPr>
      </w:pPr>
      <w:r>
        <w:rPr>
          <w:rFonts w:ascii="Times New Roman;serif" w:hAnsi="Times New Roman;serif"/>
          <w:b w:val="false"/>
          <w:sz w:val="20"/>
        </w:rPr>
        <w:t>Date: August 10, 2023</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283"/>
              <w:jc w:val="left"/>
              <w:rPr>
                <w:sz w:val="4"/>
                <w:szCs w:val="4"/>
              </w:rPr>
            </w:pPr>
            <w:r>
              <w:rPr>
                <w:sz w:val="4"/>
                <w:szCs w:val="4"/>
              </w:rPr>
            </w:r>
          </w:p>
        </w:tc>
      </w:tr>
      <w:tr>
        <w:trPr/>
        <w:tc>
          <w:tcPr>
            <w:tcW w:w="4306" w:type="dxa"/>
            <w:tcBorders>
              <w:bottom w:val="single" w:sz="8" w:space="0" w:color="000000"/>
            </w:tcBorders>
            <w:tcMar>
              <w:top w:w="0" w:type="dxa"/>
              <w:left w:w="0" w:type="dxa"/>
              <w:right w:w="0" w:type="dxa"/>
            </w:tcMar>
            <w:vAlign w:val="center"/>
          </w:tcPr>
          <w:p>
            <w:pPr>
              <w:pStyle w:val="TableContents"/>
              <w:bidi w:val="0"/>
              <w:spacing w:before="53" w:after="30"/>
              <w:ind w:left="0" w:right="0" w:hanging="0"/>
              <w:jc w:val="left"/>
              <w:rPr>
                <w:rFonts w:ascii="Times New Roman;serif" w:hAnsi="Times New Roman;serif"/>
                <w:b w:val="false"/>
                <w:sz w:val="20"/>
              </w:rPr>
            </w:pPr>
            <w:r>
              <w:rPr>
                <w:rFonts w:ascii="Times New Roman;serif" w:hAnsi="Times New Roman;serif"/>
                <w:b w:val="false"/>
                <w:sz w:val="20"/>
              </w:rPr>
              <w:t>/s/ Andrew Gengos</w:t>
            </w:r>
          </w:p>
        </w:tc>
      </w:tr>
      <w:tr>
        <w:trPr/>
        <w:tc>
          <w:tcPr>
            <w:tcW w:w="4306" w:type="dxa"/>
            <w:tcBorders/>
            <w:tcMar>
              <w:top w:w="0" w:type="dxa"/>
              <w:left w:w="0" w:type="dxa"/>
              <w:bottom w:w="0" w:type="dxa"/>
              <w:right w:w="0" w:type="dxa"/>
            </w:tcMar>
            <w:vAlign w:val="center"/>
          </w:tcPr>
          <w:p>
            <w:pPr>
              <w:pStyle w:val="TableContents"/>
              <w:bidi w:val="0"/>
              <w:spacing w:before="33" w:after="30"/>
              <w:ind w:left="0" w:right="0" w:hanging="0"/>
              <w:jc w:val="left"/>
              <w:rPr>
                <w:rFonts w:ascii="Times New Roman;serif" w:hAnsi="Times New Roman;serif"/>
                <w:b w:val="false"/>
                <w:sz w:val="20"/>
              </w:rPr>
            </w:pPr>
            <w:r>
              <w:rPr>
                <w:rFonts w:ascii="Times New Roman;serif" w:hAnsi="Times New Roman;serif"/>
                <w:b w:val="false"/>
                <w:sz w:val="20"/>
              </w:rPr>
              <w:t>Andrew Gengos</w:t>
            </w:r>
          </w:p>
        </w:tc>
      </w:tr>
      <w:tr>
        <w:trPr/>
        <w:tc>
          <w:tcPr>
            <w:tcW w:w="4306"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Chief Financial Officer and Chief Business Officer</w:t>
            </w:r>
          </w:p>
        </w:tc>
      </w:tr>
      <w:tr>
        <w:trPr/>
        <w:tc>
          <w:tcPr>
            <w:tcW w:w="4306" w:type="dxa"/>
            <w:tcBorders/>
            <w:tcMar>
              <w:top w:w="0" w:type="dxa"/>
              <w:left w:w="0" w:type="dxa"/>
              <w:bottom w:w="0" w:type="dxa"/>
              <w:right w:w="0" w:type="dxa"/>
            </w:tcMar>
            <w:vAlign w:val="center"/>
          </w:tcPr>
          <w:p>
            <w:pPr>
              <w:pStyle w:val="TableContents"/>
              <w:bidi w:val="0"/>
              <w:spacing w:before="53" w:after="30"/>
              <w:ind w:left="0" w:right="0" w:hanging="0"/>
              <w:jc w:val="left"/>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charset w:val="01"/>
    <w:family w:val="auto"/>
    <w:pitch w:val="default"/>
  </w:font>
  <w:font w:name="Helvetica LT Pro">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20463/000156459020053574/atha-ex31_153.htm" TargetMode="External"/><Relationship Id="rId4" Type="http://schemas.openxmlformats.org/officeDocument/2006/relationships/hyperlink" Target="https://www.sec.gov/Archives/edgar/data/1620463/000095017022025442/atha-ex3_1.htm" TargetMode="External"/><Relationship Id="rId5" Type="http://schemas.openxmlformats.org/officeDocument/2006/relationships/hyperlink" Target="https://www.sec.gov/Archives/edgar/data/1620463/000119312523149921/d457287dex101.htm" TargetMode="External"/><Relationship Id="rId6" Type="http://schemas.openxmlformats.org/officeDocument/2006/relationships/hyperlink" Target="https://www.sec.gov/Archives/edgar/data/1620463/000119312523149921/d457287dex102.htm" TargetMode="External"/><Relationship Id="rId7" Type="http://schemas.openxmlformats.org/officeDocument/2006/relationships/hyperlink" Target="https://www.sec.gov/Archives/edgar/data/1620463/000119312523149921/d457287dex10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66380</Words>
  <Characters>372550</Characters>
  <CharactersWithSpaces>438913</CharactersWithSpaces>
  <Paragraphs>5556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