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182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Kosacz Barbara</w:t>
              </w:r>
            </w:hyperlink>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82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03/04/2021</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320"/>
              <w:spacing w:after="0"/>
              <w:rPr>
                <w:sz w:val="20"/>
                <w:szCs w:val="20"/>
                <w:color w:val="auto"/>
              </w:rPr>
            </w:pPr>
            <w:r>
              <w:rPr>
                <w:rFonts w:ascii="Arial" w:cs="Arial" w:eastAsia="Arial" w:hAnsi="Arial"/>
                <w:sz w:val="15"/>
                <w:szCs w:val="15"/>
                <w:color w:val="auto"/>
              </w:rPr>
              <w:t>(First)</w:t>
            </w:r>
          </w:p>
        </w:tc>
        <w:tc>
          <w:tcPr>
            <w:tcW w:w="1000" w:type="dxa"/>
            <w:vAlign w:val="bottom"/>
          </w:tcPr>
          <w:p>
            <w:pPr>
              <w:ind w:left="2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20" w:type="dxa"/>
            <w:vAlign w:val="bottom"/>
            <w:gridSpan w:val="3"/>
          </w:tcPr>
          <w:p>
            <w:pPr>
              <w:ind w:left="40"/>
              <w:spacing w:after="0"/>
              <w:rPr>
                <w:sz w:val="20"/>
                <w:szCs w:val="20"/>
                <w:color w:val="auto"/>
              </w:rPr>
            </w:pPr>
            <w:r>
              <w:rPr>
                <w:rFonts w:ascii="Arial" w:cs="Arial" w:eastAsia="Arial" w:hAnsi="Arial"/>
                <w:sz w:val="20"/>
                <w:szCs w:val="20"/>
                <w:color w:val="0000FF"/>
              </w:rPr>
              <w:t>C/O ATHIRA PHARMA,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1700"/>
        <w:spacing w:after="0" w:line="269" w:lineRule="auto"/>
        <w:rPr>
          <w:sz w:val="20"/>
          <w:szCs w:val="20"/>
          <w:color w:val="auto"/>
        </w:rPr>
      </w:pPr>
      <w:r>
        <w:rPr>
          <w:rFonts w:ascii="Arial" w:cs="Arial" w:eastAsia="Arial" w:hAnsi="Arial"/>
          <w:sz w:val="20"/>
          <w:szCs w:val="20"/>
          <w:color w:val="0000FF"/>
        </w:rPr>
        <w:t>18706 NORTH CREEK PARKWAY, SUITE 104</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BOTHELL  WA</w:t>
            </w:r>
          </w:p>
        </w:tc>
        <w:tc>
          <w:tcPr>
            <w:tcW w:w="860" w:type="dxa"/>
            <w:vAlign w:val="bottom"/>
          </w:tcPr>
          <w:p>
            <w:pPr>
              <w:jc w:val="right"/>
              <w:spacing w:after="0"/>
              <w:rPr>
                <w:sz w:val="20"/>
                <w:szCs w:val="20"/>
                <w:color w:val="auto"/>
              </w:rPr>
            </w:pPr>
            <w:r>
              <w:rPr>
                <w:rFonts w:ascii="Arial" w:cs="Arial" w:eastAsia="Arial" w:hAnsi="Arial"/>
                <w:sz w:val="20"/>
                <w:szCs w:val="20"/>
                <w:color w:val="0000FF"/>
              </w:rPr>
              <w:t>98011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Athira Pharma,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ATHA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w w:val="93"/>
              </w:rPr>
              <w:t>No securities are benefically owned.</w:t>
            </w: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ind w:left="860"/>
              <w:spacing w:after="0"/>
              <w:rPr>
                <w:sz w:val="20"/>
                <w:szCs w:val="20"/>
                <w:color w:val="auto"/>
              </w:rPr>
            </w:pPr>
            <w:r>
              <w:rPr>
                <w:rFonts w:ascii="Arial" w:cs="Arial" w:eastAsia="Arial" w:hAnsi="Arial"/>
                <w:sz w:val="20"/>
                <w:szCs w:val="20"/>
                <w:color w:val="0000FF"/>
              </w:rPr>
              <w:t>0</w:t>
            </w:r>
          </w:p>
        </w:tc>
        <w:tc>
          <w:tcPr>
            <w:tcW w:w="920" w:type="dxa"/>
            <w:vAlign w:val="bottom"/>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22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2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w w:val="93"/>
              </w:rPr>
              <w:t>No securities are benefically owned.</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89"/>
              <w:spacing w:after="0"/>
              <w:rPr>
                <w:sz w:val="20"/>
                <w:szCs w:val="20"/>
                <w:color w:val="auto"/>
              </w:rPr>
            </w:pPr>
            <w:r>
              <w:rPr>
                <w:rFonts w:ascii="Arial" w:cs="Arial" w:eastAsia="Arial" w:hAnsi="Arial"/>
                <w:sz w:val="13"/>
                <w:szCs w:val="13"/>
                <w:color w:val="008000"/>
              </w:rPr>
              <w:t>(1)</w:t>
            </w:r>
          </w:p>
        </w:tc>
        <w:tc>
          <w:tcPr>
            <w:tcW w:w="1720" w:type="dxa"/>
            <w:vAlign w:val="bottom"/>
          </w:tcPr>
          <w:p>
            <w:pPr>
              <w:ind w:left="360"/>
              <w:spacing w:after="0"/>
              <w:rPr>
                <w:sz w:val="20"/>
                <w:szCs w:val="20"/>
                <w:color w:val="auto"/>
              </w:rPr>
            </w:pPr>
            <w:r>
              <w:rPr>
                <w:rFonts w:ascii="Arial" w:cs="Arial" w:eastAsia="Arial" w:hAnsi="Arial"/>
                <w:sz w:val="20"/>
                <w:szCs w:val="20"/>
                <w:color w:val="0000FF"/>
              </w:rPr>
              <w:t>Not applicable</w:t>
            </w:r>
          </w:p>
        </w:tc>
        <w:tc>
          <w:tcPr>
            <w:tcW w:w="860" w:type="dxa"/>
            <w:vAlign w:val="bottom"/>
          </w:tcPr>
          <w:p>
            <w:pPr>
              <w:ind w:left="460"/>
              <w:spacing w:after="0"/>
              <w:rPr>
                <w:sz w:val="20"/>
                <w:szCs w:val="20"/>
                <w:color w:val="auto"/>
              </w:rPr>
            </w:pPr>
            <w:r>
              <w:rPr>
                <w:rFonts w:ascii="Arial" w:cs="Arial" w:eastAsia="Arial" w:hAnsi="Arial"/>
                <w:sz w:val="20"/>
                <w:szCs w:val="20"/>
                <w:color w:val="0000FF"/>
              </w:rPr>
              <w:t>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0.00</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008000"/>
              </w:rPr>
              <w:t>1. Not applicable.</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-2141855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Glenna Mileson, Attorney</w:t>
            </w:r>
          </w:p>
        </w:tc>
        <w:tc>
          <w:tcPr>
            <w:tcW w:w="14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03/08/2021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6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8"/>
              </w:rPr>
              <w:t>in fact for Barbara Kosacz</w:t>
            </w:r>
          </w:p>
        </w:tc>
        <w:tc>
          <w:tcPr>
            <w:tcW w:w="1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60" w:type="dxa"/>
            <w:vAlign w:val="bottom"/>
            <w:tcBorders>
              <w:bottom w:val="single" w:sz="8" w:color="auto"/>
            </w:tcBorders>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Athira Pharma, Inc. (the Company), hereby constitutes and appoints Glenna Mileson, Vieng Keophilavanh and each of the responsible attorneys and paralegals of Wilson Sonsini Goodrich &amp; Rosati, Professional Corporation, the true and lawful attorney-in-fact of the undersigned to:</w:t>
      </w:r>
    </w:p>
    <w:p>
      <w:pPr>
        <w:spacing w:after="0" w:line="232" w:lineRule="exact"/>
        <w:rPr>
          <w:sz w:val="20"/>
          <w:szCs w:val="20"/>
          <w:color w:val="auto"/>
        </w:rPr>
      </w:pPr>
    </w:p>
    <w:p>
      <w:pPr>
        <w:ind w:right="839"/>
        <w:spacing w:after="0" w:line="237" w:lineRule="auto"/>
        <w:tabs>
          <w:tab w:leader="none" w:pos="702"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34" w:lineRule="exact"/>
        <w:rPr>
          <w:rFonts w:ascii="Courier New" w:cs="Courier New" w:eastAsia="Courier New" w:hAnsi="Courier New"/>
          <w:sz w:val="20"/>
          <w:szCs w:val="20"/>
          <w:color w:val="auto"/>
        </w:rPr>
      </w:pPr>
    </w:p>
    <w:p>
      <w:pPr>
        <w:ind w:right="739"/>
        <w:spacing w:after="0" w:line="237" w:lineRule="auto"/>
        <w:tabs>
          <w:tab w:leader="none" w:pos="702"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31"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holdings of and transactions in securities issued by the Company to the undersigned,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March 1,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Barbara Kosacz</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63316"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2021-03-08T15:49:46Z</dcterms:created>
  <dcterms:modified xsi:type="dcterms:W3CDTF">2021-03-08T15:49:46Z</dcterms:modified>
</cp:coreProperties>
</file>