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40640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71120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920" w:right="2780" w:hanging="3912"/>
        <w:spacing w:after="0" w:line="294" w:lineRule="auto"/>
        <w:tabs>
          <w:tab w:leader="none" w:pos="4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20" w:lineRule="exact"/>
        <w:rPr>
          <w:rFonts w:ascii="MS PGothic" w:cs="MS PGothic" w:eastAsia="MS PGothic" w:hAnsi="MS PGothic"/>
          <w:sz w:val="16"/>
          <w:szCs w:val="16"/>
          <w:color w:val="auto"/>
          <w:highlight w:val="black"/>
        </w:rPr>
      </w:pPr>
    </w:p>
    <w:p>
      <w:pPr>
        <w:ind w:left="4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57785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Athira Pharma,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45085</wp:posOffset>
            </wp:positionV>
            <wp:extent cx="1011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p>
      <w:pPr>
        <w:spacing w:after="0" w:line="111" w:lineRule="exact"/>
        <w:rPr>
          <w:sz w:val="24"/>
          <w:szCs w:val="24"/>
          <w:color w:val="auto"/>
        </w:rPr>
      </w:pPr>
    </w:p>
    <w:p>
      <w:pPr>
        <w:ind w:left="25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45-3368487</w:t>
      </w:r>
    </w:p>
    <w:p>
      <w:pPr>
        <w:spacing w:after="0" w:line="1" w:lineRule="exact"/>
        <w:rPr>
          <w:sz w:val="24"/>
          <w:szCs w:val="24"/>
          <w:color w:val="auto"/>
        </w:rPr>
      </w:pPr>
    </w:p>
    <w:p>
      <w:pPr>
        <w:sectPr>
          <w:pgSz w:w="11900" w:h="16838" w:orient="portrait"/>
          <w:cols w:equalWidth="0" w:num="2">
            <w:col w:w="7320" w:space="720"/>
            <w:col w:w="3200"/>
          </w:cols>
          <w:pgMar w:left="320" w:top="312" w:right="339" w:bottom="1440" w:gutter="0" w:footer="0" w:header="0"/>
          <w:type w:val="continuous"/>
        </w:sectPr>
      </w:pPr>
    </w:p>
    <w:p>
      <w:pPr>
        <w:spacing w:after="0" w:line="4"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80"/>
        <w:spacing w:after="0" w:line="229" w:lineRule="auto"/>
        <w:rPr>
          <w:sz w:val="20"/>
          <w:szCs w:val="20"/>
          <w:color w:val="auto"/>
        </w:rPr>
      </w:pPr>
      <w:r>
        <w:rPr>
          <w:rFonts w:ascii="Arial" w:cs="Arial" w:eastAsia="Arial" w:hAnsi="Arial"/>
          <w:sz w:val="13"/>
          <w:szCs w:val="13"/>
          <w:b w:val="1"/>
          <w:bCs w:val="1"/>
          <w:color w:val="auto"/>
        </w:rPr>
        <w:t>(I.R.S. Employer</w:t>
      </w:r>
    </w:p>
    <w:p>
      <w:pPr>
        <w:spacing w:after="0" w:line="1"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7" w:lineRule="exact"/>
        <w:rPr>
          <w:sz w:val="24"/>
          <w:szCs w:val="24"/>
          <w:color w:val="auto"/>
        </w:rPr>
      </w:pPr>
    </w:p>
    <w:p>
      <w:pPr>
        <w:sectPr>
          <w:pgSz w:w="11900" w:h="16838" w:orient="portrait"/>
          <w:cols w:equalWidth="0" w:num="2">
            <w:col w:w="7180" w:space="720"/>
            <w:col w:w="3340"/>
          </w:cols>
          <w:pgMar w:left="320" w:top="312"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18706 North Creek Parkway, Suite 104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Bothell, Washington 98011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(206) 221-8115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43180</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Trading</w:t>
            </w:r>
          </w:p>
        </w:tc>
        <w:tc>
          <w:tcPr>
            <w:tcW w:w="4380" w:type="dxa"/>
            <w:vAlign w:val="bottom"/>
          </w:tcPr>
          <w:p>
            <w:pPr>
              <w:spacing w:after="0"/>
              <w:rPr>
                <w:sz w:val="13"/>
                <w:szCs w:val="13"/>
                <w:color w:val="auto"/>
              </w:rPr>
            </w:pPr>
          </w:p>
        </w:tc>
      </w:tr>
      <w:tr>
        <w:trPr>
          <w:trHeight w:val="165"/>
        </w:trPr>
        <w:tc>
          <w:tcPr>
            <w:tcW w:w="4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Symbol(s)</w:t>
            </w:r>
          </w:p>
        </w:tc>
        <w:tc>
          <w:tcPr>
            <w:tcW w:w="4380" w:type="dxa"/>
            <w:vAlign w:val="bottom"/>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41"/>
        </w:trPr>
        <w:tc>
          <w:tcPr>
            <w:tcW w:w="44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Common Stock, $0.0001 par value per share</w:t>
            </w: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ATHA</w:t>
            </w:r>
          </w:p>
        </w:tc>
        <w:tc>
          <w:tcPr>
            <w:tcW w:w="100" w:type="dxa"/>
            <w:vAlign w:val="bottom"/>
          </w:tcPr>
          <w:p>
            <w:pPr>
              <w:spacing w:after="0"/>
              <w:rPr>
                <w:sz w:val="12"/>
                <w:szCs w:val="12"/>
                <w:color w:val="auto"/>
              </w:rPr>
            </w:pPr>
          </w:p>
        </w:tc>
        <w:tc>
          <w:tcPr>
            <w:tcW w:w="43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The Nasdaq Stock Market LLC</w:t>
            </w:r>
          </w:p>
        </w:tc>
      </w:tr>
      <w:tr>
        <w:trPr>
          <w:trHeight w:val="162"/>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jc w:val="center"/>
              <w:spacing w:after="0"/>
              <w:rPr>
                <w:sz w:val="20"/>
                <w:szCs w:val="20"/>
                <w:color w:val="auto"/>
              </w:rPr>
            </w:pPr>
            <w:r>
              <w:rPr>
                <w:rFonts w:ascii="Arial" w:cs="Arial" w:eastAsia="Arial" w:hAnsi="Arial"/>
                <w:sz w:val="13"/>
                <w:szCs w:val="13"/>
                <w:color w:val="auto"/>
              </w:rPr>
              <w:t>(The Nasdaq Global Select Market)</w:t>
            </w:r>
          </w:p>
        </w:tc>
      </w:tr>
      <w:tr>
        <w:trPr>
          <w:trHeight w:val="216"/>
        </w:trPr>
        <w:tc>
          <w:tcPr>
            <w:tcW w:w="4520" w:type="dxa"/>
            <w:vAlign w:val="bottom"/>
            <w:gridSpan w:val="2"/>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bl>
    <w:p>
      <w:pPr>
        <w:spacing w:after="0" w:line="32" w:lineRule="exact"/>
        <w:rPr>
          <w:sz w:val="24"/>
          <w:szCs w:val="24"/>
          <w:color w:val="auto"/>
        </w:rPr>
      </w:pPr>
    </w:p>
    <w:p>
      <w:pPr>
        <w:ind w:right="334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1"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4"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1" w:lineRule="exact"/>
        <w:rPr>
          <w:sz w:val="24"/>
          <w:szCs w:val="24"/>
          <w:color w:val="auto"/>
        </w:rPr>
      </w:pPr>
    </w:p>
    <w:p>
      <w:pPr>
        <w:jc w:val="both"/>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94"/>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40" w:type="dxa"/>
            <w:vAlign w:val="bottom"/>
          </w:tcPr>
          <w:p>
            <w:pPr>
              <w:ind w:left="300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40" w:type="dxa"/>
            <w:vAlign w:val="bottom"/>
          </w:tcPr>
          <w:p>
            <w:pPr>
              <w:ind w:left="300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80"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1"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jc w:val="both"/>
        <w:spacing w:after="0" w:line="243"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the shares of common stock on September 22, 2020 as reported by The Nasdaq Stock Market LLC on such date was approximately $460.5 million. The registrant has elected to use September 22, 2020, which was the closing date of its initial public offering of common stock, as the calculation date because on June 30, 2020 (the last business day of the registrant’s most recently completed second fiscal quarter), the registrant was a privately held company.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22, 2021 was 37,120,363.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36" w:lineRule="exact"/>
        <w:rPr>
          <w:sz w:val="24"/>
          <w:szCs w:val="24"/>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732790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gridSpan w:val="9"/>
          </w:tcPr>
          <w:p>
            <w:pPr>
              <w:ind w:left="5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gridSpan w:val="5"/>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5"/>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Risk Factors</w:t>
              </w:r>
            </w:hyperlink>
          </w:p>
        </w:tc>
        <w:tc>
          <w:tcPr>
            <w:tcW w:w="830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1B.</w:t>
            </w:r>
          </w:p>
        </w:tc>
        <w:tc>
          <w:tcPr>
            <w:tcW w:w="9300" w:type="dxa"/>
            <w:vAlign w:val="bottom"/>
            <w:gridSpan w:val="2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Unresolved Staff Comments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Properties</w:t>
              </w:r>
            </w:hyperlink>
          </w:p>
        </w:tc>
        <w:tc>
          <w:tcPr>
            <w:tcW w:w="1420" w:type="dxa"/>
            <w:vAlign w:val="bottom"/>
            <w:tcBorders>
              <w:top w:val="single" w:sz="8" w:color="0000EE"/>
            </w:tcBorders>
            <w:gridSpan w:val="8"/>
          </w:tcPr>
          <w:p>
            <w:pPr>
              <w:spacing w:after="0"/>
              <w:rPr>
                <w:sz w:val="17"/>
                <w:szCs w:val="17"/>
                <w:color w:val="auto"/>
              </w:rPr>
            </w:pPr>
          </w:p>
        </w:tc>
        <w:tc>
          <w:tcPr>
            <w:tcW w:w="70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Legal Proceedings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Mine Safety Disclosures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2"/>
        </w:trPr>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108">
              <w:r>
                <w:rPr>
                  <w:rFonts w:ascii="Arial" w:cs="Arial" w:eastAsia="Arial" w:hAnsi="Arial"/>
                  <w:sz w:val="18"/>
                  <w:szCs w:val="18"/>
                  <w:b w:val="1"/>
                  <w:bCs w:val="1"/>
                  <w:color w:val="0000EE"/>
                  <w:w w:val="96"/>
                </w:rPr>
                <w:t>PART II</w:t>
              </w:r>
            </w:hyperlink>
          </w:p>
        </w:tc>
        <w:tc>
          <w:tcPr>
            <w:tcW w:w="520" w:type="dxa"/>
            <w:vAlign w:val="bottom"/>
            <w:gridSpan w:val="3"/>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6.</w:t>
            </w: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8"/>
              </w:rPr>
            </w:pPr>
            <w:hyperlink w:anchor="page110">
              <w:r>
                <w:rPr>
                  <w:rFonts w:ascii="Arial" w:cs="Arial" w:eastAsia="Arial" w:hAnsi="Arial"/>
                  <w:sz w:val="18"/>
                  <w:szCs w:val="18"/>
                  <w:color w:val="0000EE"/>
                  <w:w w:val="98"/>
                </w:rPr>
                <w:t>Selected Financial Data</w:t>
              </w:r>
            </w:hyperlink>
          </w:p>
        </w:tc>
        <w:tc>
          <w:tcPr>
            <w:tcW w:w="6960" w:type="dxa"/>
            <w:vAlign w:val="bottom"/>
            <w:tcBorders>
              <w:top w:val="single" w:sz="8" w:color="0000EE"/>
            </w:tcBorders>
            <w:gridSpan w:val="13"/>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111">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7A.</w:t>
            </w:r>
          </w:p>
        </w:tc>
        <w:tc>
          <w:tcPr>
            <w:tcW w:w="9300" w:type="dxa"/>
            <w:vAlign w:val="bottom"/>
            <w:gridSpan w:val="2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2"/>
          </w:tcPr>
          <w:p>
            <w:pPr>
              <w:spacing w:after="0"/>
              <w:rPr>
                <w:sz w:val="17"/>
                <w:szCs w:val="17"/>
                <w:color w:val="auto"/>
              </w:rPr>
            </w:pPr>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9.</w:t>
            </w:r>
          </w:p>
        </w:tc>
        <w:tc>
          <w:tcPr>
            <w:tcW w:w="9300" w:type="dxa"/>
            <w:vAlign w:val="bottom"/>
            <w:gridSpan w:val="2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Controls and Procedures</w:t>
              </w:r>
            </w:hyperlink>
          </w:p>
        </w:tc>
        <w:tc>
          <w:tcPr>
            <w:tcW w:w="21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9B.</w:t>
            </w:r>
          </w:p>
        </w:tc>
        <w:tc>
          <w:tcPr>
            <w:tcW w:w="1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Other Information</w:t>
              </w:r>
            </w:hyperlink>
          </w:p>
        </w:tc>
        <w:tc>
          <w:tcPr>
            <w:tcW w:w="73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b w:val="1"/>
                <w:bCs w:val="1"/>
                <w:color w:val="0000EE"/>
              </w:rPr>
            </w:pPr>
            <w:hyperlink w:anchor="page155">
              <w:r>
                <w:rPr>
                  <w:rFonts w:ascii="Arial" w:cs="Arial" w:eastAsia="Arial" w:hAnsi="Arial"/>
                  <w:sz w:val="18"/>
                  <w:szCs w:val="18"/>
                  <w:b w:val="1"/>
                  <w:bCs w:val="1"/>
                  <w:color w:val="0000EE"/>
                </w:rPr>
                <w:t>PART III</w:t>
              </w:r>
            </w:hyperlink>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155">
              <w:r>
                <w:rPr>
                  <w:rFonts w:ascii="Arial" w:cs="Arial" w:eastAsia="Arial" w:hAnsi="Arial"/>
                  <w:sz w:val="18"/>
                  <w:szCs w:val="18"/>
                  <w:color w:val="0000EE"/>
                  <w:w w:val="99"/>
                </w:rPr>
                <w:t>Directors, Executive Officers and Corporate Governance</w:t>
              </w:r>
            </w:hyperlink>
          </w:p>
        </w:tc>
        <w:tc>
          <w:tcPr>
            <w:tcW w:w="4800" w:type="dxa"/>
            <w:vAlign w:val="bottom"/>
            <w:gridSpan w:val="7"/>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11.</w:t>
            </w:r>
          </w:p>
        </w:tc>
        <w:tc>
          <w:tcPr>
            <w:tcW w:w="9300" w:type="dxa"/>
            <w:vAlign w:val="bottom"/>
            <w:gridSpan w:val="21"/>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Executive Compensation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12.</w:t>
            </w:r>
          </w:p>
        </w:tc>
        <w:tc>
          <w:tcPr>
            <w:tcW w:w="9300" w:type="dxa"/>
            <w:vAlign w:val="bottom"/>
            <w:gridSpan w:val="21"/>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Certain Relationships and Related Transactions, and Director Independence</w:t>
              </w:r>
            </w:hyperlink>
          </w:p>
        </w:tc>
        <w:tc>
          <w:tcPr>
            <w:tcW w:w="13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Principal Accounting Fees and Services</w:t>
              </w:r>
            </w:hyperlink>
          </w:p>
        </w:tc>
        <w:tc>
          <w:tcPr>
            <w:tcW w:w="32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b w:val="1"/>
                <w:bCs w:val="1"/>
                <w:color w:val="0000EE"/>
              </w:rPr>
            </w:pPr>
            <w:hyperlink w:anchor="page184">
              <w:r>
                <w:rPr>
                  <w:rFonts w:ascii="Arial" w:cs="Arial" w:eastAsia="Arial" w:hAnsi="Arial"/>
                  <w:sz w:val="18"/>
                  <w:szCs w:val="18"/>
                  <w:b w:val="1"/>
                  <w:bCs w:val="1"/>
                  <w:color w:val="0000EE"/>
                </w:rPr>
                <w:t>PART IV</w:t>
              </w:r>
            </w:hyperlink>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300" w:type="dxa"/>
            <w:vAlign w:val="bottom"/>
            <w:gridSpan w:val="21"/>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96"/>
        </w:trPr>
        <w:tc>
          <w:tcPr>
            <w:tcW w:w="116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Form 10-K Summary</w:t>
              </w:r>
            </w:hyperlink>
          </w:p>
        </w:tc>
        <w:tc>
          <w:tcPr>
            <w:tcW w:w="610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104"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ATH-1017 may never lead to a marketable product.</w:t>
      </w:r>
    </w:p>
    <w:p>
      <w:pPr>
        <w:spacing w:after="0" w:line="117"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94"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88"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96"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88" w:lineRule="exact"/>
        <w:rPr>
          <w:rFonts w:ascii="Arial" w:cs="Arial" w:eastAsia="Arial" w:hAnsi="Arial"/>
          <w:sz w:val="18"/>
          <w:szCs w:val="18"/>
          <w:color w:val="auto"/>
        </w:rPr>
      </w:pPr>
    </w:p>
    <w:p>
      <w:pPr>
        <w:jc w:val="both"/>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94"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88" w:lineRule="exact"/>
        <w:rPr>
          <w:rFonts w:ascii="Arial" w:cs="Arial" w:eastAsia="Arial" w:hAnsi="Arial"/>
          <w:sz w:val="18"/>
          <w:szCs w:val="18"/>
          <w:color w:val="auto"/>
        </w:rPr>
      </w:pPr>
    </w:p>
    <w:p>
      <w:pPr>
        <w:jc w:val="both"/>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94"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96" w:lineRule="exact"/>
        <w:rPr>
          <w:rFonts w:ascii="Arial" w:cs="Arial" w:eastAsia="Arial" w:hAnsi="Arial"/>
          <w:sz w:val="18"/>
          <w:szCs w:val="18"/>
          <w:color w:val="auto"/>
        </w:rPr>
      </w:pPr>
    </w:p>
    <w:p>
      <w:pPr>
        <w:jc w:val="both"/>
        <w:ind w:left="1080" w:right="2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40" w:hanging="532"/>
        <w:spacing w:after="0" w:line="24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89"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8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7" w:lineRule="exact"/>
        <w:rPr>
          <w:rFonts w:ascii="Arial" w:cs="Arial" w:eastAsia="Arial" w:hAnsi="Arial"/>
          <w:sz w:val="18"/>
          <w:szCs w:val="18"/>
          <w:color w:val="auto"/>
        </w:rPr>
      </w:pPr>
    </w:p>
    <w:p>
      <w:pPr>
        <w:ind w:left="540" w:hanging="532"/>
        <w:spacing w:after="0" w:line="246"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8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53340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860" w:top="1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 statements include, but are not limited to, statements about:</w:t>
      </w:r>
    </w:p>
    <w:p>
      <w:pPr>
        <w:spacing w:after="0" w:line="97"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1080" w:hanging="532"/>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impact of the novel coronavirus disease, or COVID-19, pandemic on our business;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These statements, like all statements in this report, speak only as of their date, and we undertake no obligation to update or revise these statements in light of future developments. In this report, “we,” “our,” “us,” “Athira,” and “the Company” refer to Athira Pharma, Inc.</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0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 w:name="page7"/>
    <w:bookmarkEnd w:id="6"/>
    <w:p>
      <w:pPr>
        <w:spacing w:after="0" w:line="234" w:lineRule="auto"/>
        <w:rPr>
          <w:sz w:val="20"/>
          <w:szCs w:val="20"/>
          <w:color w:val="auto"/>
        </w:rPr>
      </w:pPr>
      <w:r>
        <w:rPr>
          <w:rFonts w:ascii="Arial" w:cs="Arial" w:eastAsia="Arial" w:hAnsi="Arial"/>
          <w:sz w:val="18"/>
          <w:szCs w:val="18"/>
          <w:color w:val="auto"/>
        </w:rPr>
        <w:t>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w:t>
      </w:r>
    </w:p>
    <w:p>
      <w:pPr>
        <w:spacing w:after="0" w:line="1" w:lineRule="exact"/>
        <w:rPr>
          <w:sz w:val="20"/>
          <w:szCs w:val="20"/>
          <w:color w:val="auto"/>
        </w:rPr>
      </w:pPr>
    </w:p>
    <w:p>
      <w:pPr>
        <w:jc w:val="both"/>
        <w:ind w:firstLine="8"/>
        <w:spacing w:after="0" w:line="236" w:lineRule="auto"/>
        <w:tabs>
          <w:tab w:leader="none" w:pos="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In November 2020, we initiated ACT-AD, a P300 Phase 2 clinical trial, in mild-to-moderate AD to better understand the overall effects of ATH-1017 on working memory processing speed and cognitive measures, with topline results expected by early 2022.</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204"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are pioneering the use of small molecules that are designed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both"/>
        <w:ind w:right="20"/>
        <w:spacing w:after="0" w:line="246" w:lineRule="auto"/>
        <w:rPr>
          <w:sz w:val="20"/>
          <w:szCs w:val="20"/>
          <w:color w:val="auto"/>
        </w:rPr>
      </w:pPr>
      <w:r>
        <w:rPr>
          <w:rFonts w:ascii="Arial" w:cs="Arial" w:eastAsia="Arial" w:hAnsi="Arial"/>
          <w:sz w:val="18"/>
          <w:szCs w:val="18"/>
          <w:color w:val="auto"/>
        </w:rPr>
        <w:t>treatments that target neuronal growth factors can potentially accomplish several therapeutic goals, including rapid cognitive improvement and sustained neuroprotective effects.</w:t>
      </w:r>
    </w:p>
    <w:p>
      <w:pPr>
        <w:spacing w:after="0" w:line="197" w:lineRule="exact"/>
        <w:rPr>
          <w:sz w:val="20"/>
          <w:szCs w:val="20"/>
          <w:color w:val="auto"/>
        </w:rPr>
      </w:pPr>
    </w:p>
    <w:p>
      <w:pPr>
        <w:jc w:val="both"/>
        <w:ind w:firstLine="546"/>
        <w:spacing w:after="0" w:line="204" w:lineRule="exact"/>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repair mechanism of HGF/MET, can potentially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indications such as depression and anxiety. Currently we have several preclinical candidates for non-AD indications, including ATH-1018, which is being developed to address peripheral indications, and ATH-1019 / ATH</w:t>
      </w:r>
      <w:r>
        <w:rPr>
          <w:rFonts w:ascii="MS PGothic" w:cs="MS PGothic" w:eastAsia="MS PGothic" w:hAnsi="MS PGothic"/>
          <w:sz w:val="18"/>
          <w:szCs w:val="18"/>
          <w:color w:val="auto"/>
        </w:rPr>
        <w:t>‑</w:t>
      </w:r>
      <w:r>
        <w:rPr>
          <w:rFonts w:ascii="Arial" w:cs="Arial" w:eastAsia="Arial" w:hAnsi="Arial"/>
          <w:sz w:val="18"/>
          <w:szCs w:val="18"/>
          <w:color w:val="auto"/>
        </w:rPr>
        <w:t>1020 compounds, which are being advanced to address neuropsychiatric indications. ATH 1020 is a new compound that recently moved from the discovery to the development stage. Similar to ATH</w:t>
      </w:r>
      <w:r>
        <w:rPr>
          <w:rFonts w:ascii="MS PGothic" w:cs="MS PGothic" w:eastAsia="MS PGothic" w:hAnsi="MS PGothic"/>
          <w:sz w:val="18"/>
          <w:szCs w:val="18"/>
          <w:color w:val="auto"/>
        </w:rPr>
        <w:t>‑</w:t>
      </w:r>
      <w:r>
        <w:rPr>
          <w:rFonts w:ascii="Arial" w:cs="Arial" w:eastAsia="Arial" w:hAnsi="Arial"/>
          <w:sz w:val="18"/>
          <w:szCs w:val="18"/>
          <w:color w:val="auto"/>
        </w:rPr>
        <w:t>1019, it is designed to activate HGF/MET and is neuroactive in animal models. Late-stage non-clinical development work and potentially early clinical studies will support decisions on selection of the lead product candidate and indication moving forward. Our ATH platform allows us the flexibility to engineer compounds that are BBB-penetrating or that generate specific activity in the periphery and molecules are suitable for subcutaneous or oral route of administration.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214745" cy="3394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1474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8"/>
          <w:szCs w:val="18"/>
          <w:color w:val="auto"/>
        </w:rPr>
        <w:t>RoA: route of administration; SC: subcutaneous; PO: oral.</w:t>
      </w:r>
    </w:p>
    <w:p>
      <w:pPr>
        <w:spacing w:after="0" w:line="9" w:lineRule="exact"/>
        <w:rPr>
          <w:rFonts w:ascii="Arial" w:cs="Arial" w:eastAsia="Arial" w:hAnsi="Arial"/>
          <w:sz w:val="15"/>
          <w:szCs w:val="15"/>
          <w:color w:val="auto"/>
        </w:rPr>
      </w:pPr>
    </w:p>
    <w:p>
      <w:pPr>
        <w:ind w:left="540" w:hanging="532"/>
        <w:spacing w:after="0" w:line="246"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8"/>
          <w:szCs w:val="18"/>
          <w:color w:val="auto"/>
        </w:rPr>
        <w:t>ATH-1017 for AD is moving from Phase 1b to a Phase 2/3 clinical trial that may provide pivotal data in support of registration based on discussions with FDA.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both"/>
        <w:ind w:left="540" w:hanging="532"/>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8"/>
          <w:szCs w:val="18"/>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71" w:lineRule="exact"/>
        <w:rPr>
          <w:sz w:val="20"/>
          <w:szCs w:val="20"/>
          <w:color w:val="auto"/>
        </w:rPr>
      </w:pPr>
    </w:p>
    <w:p>
      <w:pPr>
        <w:jc w:val="both"/>
        <w:ind w:left="1080" w:hanging="532"/>
        <w:spacing w:after="0" w:line="207" w:lineRule="exact"/>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Advance ATH-1017 through clinical development for AD</w:t>
      </w:r>
      <w:r>
        <w:rPr>
          <w:rFonts w:ascii="Arial" w:cs="Arial" w:eastAsia="Arial" w:hAnsi="Arial"/>
          <w:sz w:val="18"/>
          <w:szCs w:val="18"/>
          <w:color w:val="auto"/>
        </w:rPr>
        <w:t>. We believe ATH-1017 has the potential to rapidly improve 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durably improve the lives of the millions of people suffering from AD who currently have limited therapeutic options. We have initiated one clinical trial for AD in September 2020 and an additional clinical trial for AD in November 2020 to potentially accelerate our development timelines and further inform our development decisions. The first of these clinical trials is LIFT-AD, our Phase 2/3 clinical trial evaluating the holistic impact of ATH-1017, initiated in September 2020 with topline results expected by the end of 2022, which results may provide pivotal data in support of registration. The second clinical trial is our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for AD evaluating the overall effects of ATH-1017 on working memory processing speed and cognitive measures, initiated in November 2020 with topline results expected by early 2022.</w:t>
      </w:r>
    </w:p>
    <w:p>
      <w:pPr>
        <w:spacing w:after="0" w:line="79" w:lineRule="exact"/>
        <w:rPr>
          <w:rFonts w:ascii="Arial" w:cs="Arial" w:eastAsia="Arial" w:hAnsi="Arial"/>
          <w:sz w:val="18"/>
          <w:szCs w:val="18"/>
          <w:color w:val="auto"/>
        </w:rPr>
      </w:pPr>
    </w:p>
    <w:p>
      <w:pPr>
        <w:jc w:val="both"/>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Expand the development of ATH-1017 to include additional indications. and delivery methods. </w:t>
      </w:r>
      <w:r>
        <w:rPr>
          <w:rFonts w:ascii="Arial" w:cs="Arial" w:eastAsia="Arial" w:hAnsi="Arial"/>
          <w:sz w:val="18"/>
          <w:szCs w:val="18"/>
          <w:color w:val="auto"/>
        </w:rPr>
        <w:t>We are developing ATH-1017 as</w:t>
      </w:r>
      <w:r>
        <w:rPr>
          <w:rFonts w:ascii="Arial" w:cs="Arial" w:eastAsia="Arial" w:hAnsi="Arial"/>
          <w:sz w:val="18"/>
          <w:szCs w:val="18"/>
          <w:i w:val="1"/>
          <w:iCs w:val="1"/>
          <w:color w:val="auto"/>
        </w:rPr>
        <w:t xml:space="preserve"> </w:t>
      </w:r>
      <w:r>
        <w:rPr>
          <w:rFonts w:ascii="Arial" w:cs="Arial" w:eastAsia="Arial" w:hAnsi="Arial"/>
          <w:sz w:val="18"/>
          <w:szCs w:val="18"/>
          <w:color w:val="auto"/>
        </w:rPr>
        <w:t>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76" w:lineRule="exact"/>
        <w:rPr>
          <w:rFonts w:ascii="Arial" w:cs="Arial" w:eastAsia="Arial" w:hAnsi="Arial"/>
          <w:sz w:val="18"/>
          <w:szCs w:val="18"/>
          <w:color w:val="auto"/>
        </w:rPr>
      </w:pPr>
    </w:p>
    <w:p>
      <w:pPr>
        <w:jc w:val="both"/>
        <w:ind w:left="1080" w:hanging="532"/>
        <w:spacing w:after="0" w:line="24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 translatable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cognitive processing and function, coupled with measures of brain function with EEG and ERP, allowing for more efficient and cost-effective clinical trials.</w:t>
      </w:r>
    </w:p>
    <w:p>
      <w:pPr>
        <w:spacing w:after="0" w:line="76" w:lineRule="exact"/>
        <w:rPr>
          <w:rFonts w:ascii="Arial" w:cs="Arial" w:eastAsia="Arial" w:hAnsi="Arial"/>
          <w:sz w:val="18"/>
          <w:szCs w:val="18"/>
          <w:color w:val="auto"/>
        </w:rPr>
      </w:pPr>
    </w:p>
    <w:p>
      <w:pPr>
        <w:jc w:val="both"/>
        <w:ind w:left="1080" w:hanging="532"/>
        <w:spacing w:after="0" w:line="23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 only</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79" w:lineRule="exact"/>
        <w:rPr>
          <w:rFonts w:ascii="Arial" w:cs="Arial" w:eastAsia="Arial" w:hAnsi="Arial"/>
          <w:sz w:val="18"/>
          <w:szCs w:val="18"/>
          <w:color w:val="auto"/>
        </w:rPr>
      </w:pPr>
    </w:p>
    <w:p>
      <w:pPr>
        <w:jc w:val="both"/>
        <w:ind w:left="1080" w:hanging="532"/>
        <w:spacing w:after="0" w:line="211" w:lineRule="exact"/>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w:t>
      </w:r>
      <w:r>
        <w:rPr>
          <w:rFonts w:ascii="MS PGothic" w:cs="MS PGothic" w:eastAsia="MS PGothic" w:hAnsi="MS PGothic"/>
          <w:sz w:val="18"/>
          <w:szCs w:val="18"/>
          <w:color w:val="auto"/>
        </w:rPr>
        <w:t>‑</w:t>
      </w:r>
      <w:r>
        <w:rPr>
          <w:rFonts w:ascii="Arial" w:cs="Arial" w:eastAsia="Arial" w:hAnsi="Arial"/>
          <w:sz w:val="18"/>
          <w:szCs w:val="18"/>
          <w:color w:val="auto"/>
        </w:rPr>
        <w:t>1017 as well as our</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of small molecule candidates. We plan to develop and pursue approval of ATH</w:t>
      </w:r>
      <w:r>
        <w:rPr>
          <w:rFonts w:ascii="MS PGothic" w:cs="MS PGothic" w:eastAsia="MS PGothic" w:hAnsi="MS PGothic"/>
          <w:sz w:val="18"/>
          <w:szCs w:val="18"/>
          <w:color w:val="auto"/>
        </w:rPr>
        <w:t>‑</w:t>
      </w:r>
      <w:r>
        <w:rPr>
          <w:rFonts w:ascii="Arial" w:cs="Arial" w:eastAsia="Arial" w:hAnsi="Arial"/>
          <w:sz w:val="18"/>
          <w:szCs w:val="18"/>
          <w:color w:val="auto"/>
        </w:rPr>
        <w:t>1017 and other future candidates in major markets. Where appropriate, we may use strategic collaborations or partnerships to accelerate development and maximize the commercial potential of our programs.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87" w:lineRule="exact"/>
        <w:rPr>
          <w:sz w:val="20"/>
          <w:szCs w:val="20"/>
          <w:color w:val="auto"/>
        </w:rPr>
      </w:pPr>
    </w:p>
    <w:p>
      <w:pPr>
        <w:jc w:val="both"/>
        <w:ind w:firstLine="546"/>
        <w:spacing w:after="0" w:line="242"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downstream effects of the HGF/MET system play critical roles in maintaining healthy connectivity and brain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151765</wp:posOffset>
            </wp:positionV>
            <wp:extent cx="4560570" cy="6437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60570" cy="6437630"/>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type w:val="continuous"/>
        </w:sectPr>
      </w:pPr>
    </w:p>
    <w:bookmarkStart w:id="11" w:name="page12"/>
    <w:bookmarkEnd w:id="11"/>
    <w:p>
      <w:pPr>
        <w:jc w:val="both"/>
        <w:ind w:firstLine="546"/>
        <w:spacing w:after="0" w:line="23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Previous studies have shown that AD subjects have significantly less MET expression in different brain regions compared to healthy age-matched adults. This reduction highlights another rationale to rescue the activity of this critical regenerative system. Amplification of the HGF/MET system has the potential to provide critical neuroprotective and neuroregenerative effects to rescue damaged and dysfunctional neurons and promote recovery of cognitive functions.</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3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184" w:lineRule="exact"/>
        <w:rPr>
          <w:sz w:val="20"/>
          <w:szCs w:val="20"/>
          <w:color w:val="auto"/>
        </w:rPr>
      </w:pPr>
    </w:p>
    <w:p>
      <w:pPr>
        <w:jc w:val="both"/>
        <w:ind w:firstLine="546"/>
        <w:spacing w:after="0" w:line="250" w:lineRule="auto"/>
        <w:rPr>
          <w:sz w:val="20"/>
          <w:szCs w:val="20"/>
          <w:color w:val="auto"/>
        </w:rPr>
      </w:pPr>
      <w:r>
        <w:rPr>
          <w:rFonts w:ascii="Arial" w:cs="Arial" w:eastAsia="Arial" w:hAnsi="Arial"/>
          <w:sz w:val="18"/>
          <w:szCs w:val="18"/>
          <w:i w:val="1"/>
          <w:iCs w:val="1"/>
          <w:color w:val="auto"/>
        </w:rPr>
        <w:t xml:space="preserve">Figure 3.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jc w:val="both"/>
        <w:spacing w:after="0" w:line="246" w:lineRule="auto"/>
        <w:rPr>
          <w:sz w:val="20"/>
          <w:szCs w:val="20"/>
          <w:color w:val="auto"/>
        </w:rPr>
      </w:pPr>
      <w:r>
        <w:rPr>
          <w:rFonts w:ascii="Arial" w:cs="Arial" w:eastAsia="Arial" w:hAnsi="Arial"/>
          <w:sz w:val="18"/>
          <w:szCs w:val="18"/>
          <w:color w:val="auto"/>
        </w:rPr>
        <w:t>expression of HGF by gene therapy techniques, promotes neuronal health and regeneration, and rescues memory and function in several animal models of CNS disorders.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200" w:type="dxa"/>
            <w:vAlign w:val="bottom"/>
            <w:tcBorders>
              <w:top w:val="single" w:sz="8" w:color="5B9BD5"/>
              <w:bottom w:val="single" w:sz="8" w:color="5B9BD5"/>
            </w:tcBorders>
          </w:tcPr>
          <w:p>
            <w:pPr>
              <w:jc w:val="center"/>
              <w:ind w:left="49"/>
              <w:spacing w:after="0"/>
              <w:rPr>
                <w:sz w:val="20"/>
                <w:szCs w:val="20"/>
                <w:color w:val="auto"/>
              </w:rPr>
            </w:pPr>
            <w:r>
              <w:rPr>
                <w:rFonts w:ascii="Arial" w:cs="Arial" w:eastAsia="Arial" w:hAnsi="Arial"/>
                <w:sz w:val="13"/>
                <w:szCs w:val="13"/>
                <w:b w:val="1"/>
                <w:bCs w:val="1"/>
                <w:color w:val="auto"/>
                <w:w w:val="96"/>
              </w:rPr>
              <w:t>Animal model (species)</w:t>
            </w:r>
          </w:p>
        </w:tc>
        <w:tc>
          <w:tcPr>
            <w:tcW w:w="1960" w:type="dxa"/>
            <w:vAlign w:val="bottom"/>
            <w:tcBorders>
              <w:top w:val="single" w:sz="8" w:color="5B9BD5"/>
              <w:bottom w:val="single" w:sz="8" w:color="5B9BD5"/>
            </w:tcBorders>
          </w:tcPr>
          <w:p>
            <w:pPr>
              <w:jc w:val="center"/>
              <w:ind w:left="149"/>
              <w:spacing w:after="0"/>
              <w:rPr>
                <w:sz w:val="20"/>
                <w:szCs w:val="20"/>
                <w:color w:val="auto"/>
              </w:rPr>
            </w:pPr>
            <w:r>
              <w:rPr>
                <w:rFonts w:ascii="Arial" w:cs="Arial" w:eastAsia="Arial" w:hAnsi="Arial"/>
                <w:sz w:val="13"/>
                <w:szCs w:val="13"/>
                <w:b w:val="1"/>
                <w:bCs w:val="1"/>
                <w:color w:val="auto"/>
                <w:w w:val="95"/>
              </w:rPr>
              <w:t>HGF Delivery Method</w:t>
            </w:r>
          </w:p>
        </w:tc>
        <w:tc>
          <w:tcPr>
            <w:tcW w:w="3400" w:type="dxa"/>
            <w:vAlign w:val="bottom"/>
            <w:tcBorders>
              <w:top w:val="single" w:sz="8" w:color="5B9BD5"/>
              <w:bottom w:val="single" w:sz="8" w:color="5B9BD5"/>
            </w:tcBorders>
          </w:tcPr>
          <w:p>
            <w:pPr>
              <w:jc w:val="center"/>
              <w:ind w:right="49"/>
              <w:spacing w:after="0"/>
              <w:rPr>
                <w:sz w:val="20"/>
                <w:szCs w:val="20"/>
                <w:color w:val="auto"/>
              </w:rPr>
            </w:pPr>
            <w:r>
              <w:rPr>
                <w:rFonts w:ascii="Arial" w:cs="Arial" w:eastAsia="Arial" w:hAnsi="Arial"/>
                <w:sz w:val="13"/>
                <w:szCs w:val="13"/>
                <w:b w:val="1"/>
                <w:bCs w:val="1"/>
                <w:color w:val="auto"/>
                <w:w w:val="94"/>
              </w:rPr>
              <w:t>Outcomes</w:t>
            </w:r>
          </w:p>
        </w:tc>
        <w:tc>
          <w:tcPr>
            <w:tcW w:w="2120" w:type="dxa"/>
            <w:vAlign w:val="bottom"/>
            <w:tcBorders>
              <w:top w:val="single" w:sz="8" w:color="5B9BD5"/>
              <w:bottom w:val="single" w:sz="8" w:color="5B9BD5"/>
            </w:tcBorders>
          </w:tcPr>
          <w:p>
            <w:pPr>
              <w:jc w:val="center"/>
              <w:ind w:right="169"/>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74"/>
        </w:trPr>
        <w:tc>
          <w:tcPr>
            <w:tcW w:w="156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AD</w:t>
            </w:r>
          </w:p>
        </w:tc>
        <w:tc>
          <w:tcPr>
            <w:tcW w:w="2200" w:type="dxa"/>
            <w:vAlign w:val="bottom"/>
            <w:vMerge w:val="restart"/>
            <w:shd w:val="clear" w:color="auto" w:fill="CFF0FC"/>
          </w:tcPr>
          <w:p>
            <w:pPr>
              <w:jc w:val="center"/>
              <w:ind w:left="49"/>
              <w:spacing w:after="0"/>
              <w:rPr>
                <w:sz w:val="20"/>
                <w:szCs w:val="20"/>
                <w:color w:val="auto"/>
              </w:rPr>
            </w:pPr>
            <w:r>
              <w:rPr>
                <w:rFonts w:ascii="Arial" w:cs="Arial" w:eastAsia="Arial" w:hAnsi="Arial"/>
                <w:sz w:val="14"/>
                <w:szCs w:val="14"/>
                <w:color w:val="auto"/>
              </w:rPr>
              <w:t>Aβ-injection</w:t>
            </w:r>
          </w:p>
        </w:tc>
        <w:tc>
          <w:tcPr>
            <w:tcW w:w="1960" w:type="dxa"/>
            <w:vAlign w:val="bottom"/>
            <w:vMerge w:val="restart"/>
            <w:shd w:val="clear" w:color="auto" w:fill="CFF0FC"/>
          </w:tcPr>
          <w:p>
            <w:pPr>
              <w:jc w:val="center"/>
              <w:ind w:left="149"/>
              <w:spacing w:after="0"/>
              <w:rPr>
                <w:sz w:val="20"/>
                <w:szCs w:val="20"/>
                <w:color w:val="auto"/>
              </w:rPr>
            </w:pPr>
            <w:r>
              <w:rPr>
                <w:rFonts w:ascii="Arial" w:cs="Arial" w:eastAsia="Arial" w:hAnsi="Arial"/>
                <w:sz w:val="14"/>
                <w:szCs w:val="14"/>
                <w:color w:val="auto"/>
              </w:rPr>
              <w:t>HGF gene therapy</w:t>
            </w:r>
          </w:p>
        </w:tc>
        <w:tc>
          <w:tcPr>
            <w:tcW w:w="3400" w:type="dxa"/>
            <w:vAlign w:val="bottom"/>
            <w:shd w:val="clear" w:color="auto" w:fill="CFF0FC"/>
          </w:tcPr>
          <w:p>
            <w:pPr>
              <w:jc w:val="center"/>
              <w:ind w:right="49"/>
              <w:spacing w:after="0"/>
              <w:rPr>
                <w:sz w:val="20"/>
                <w:szCs w:val="20"/>
                <w:color w:val="auto"/>
              </w:rPr>
            </w:pPr>
            <w:r>
              <w:rPr>
                <w:rFonts w:ascii="Arial" w:cs="Arial" w:eastAsia="Arial" w:hAnsi="Arial"/>
                <w:sz w:val="14"/>
                <w:szCs w:val="14"/>
                <w:color w:val="auto"/>
              </w:rPr>
              <w:t>Improvement in memory, increased cerebral</w:t>
            </w:r>
          </w:p>
        </w:tc>
        <w:tc>
          <w:tcPr>
            <w:tcW w:w="2120" w:type="dxa"/>
            <w:vAlign w:val="bottom"/>
            <w:vMerge w:val="restart"/>
            <w:shd w:val="clear" w:color="auto" w:fill="CFF0FC"/>
          </w:tcPr>
          <w:p>
            <w:pPr>
              <w:jc w:val="center"/>
              <w:ind w:right="169"/>
              <w:spacing w:after="0"/>
              <w:rPr>
                <w:sz w:val="20"/>
                <w:szCs w:val="20"/>
                <w:color w:val="auto"/>
              </w:rPr>
            </w:pPr>
            <w:r>
              <w:rPr>
                <w:rFonts w:ascii="Arial" w:cs="Arial" w:eastAsia="Arial" w:hAnsi="Arial"/>
                <w:sz w:val="14"/>
                <w:szCs w:val="14"/>
                <w:color w:val="auto"/>
              </w:rPr>
              <w:t>Takeuchi et. al. 2008</w:t>
            </w:r>
          </w:p>
        </w:tc>
        <w:tc>
          <w:tcPr>
            <w:tcW w:w="0" w:type="dxa"/>
            <w:vAlign w:val="bottom"/>
          </w:tcPr>
          <w:p>
            <w:pPr>
              <w:spacing w:after="0"/>
              <w:rPr>
                <w:sz w:val="1"/>
                <w:szCs w:val="1"/>
                <w:color w:val="auto"/>
              </w:rPr>
            </w:pPr>
          </w:p>
        </w:tc>
      </w:tr>
      <w:tr>
        <w:trPr>
          <w:trHeight w:val="91"/>
        </w:trPr>
        <w:tc>
          <w:tcPr>
            <w:tcW w:w="1560" w:type="dxa"/>
            <w:vAlign w:val="bottom"/>
            <w:vMerge w:val="continue"/>
            <w:shd w:val="clear" w:color="auto" w:fill="CFF0FC"/>
          </w:tcPr>
          <w:p>
            <w:pPr>
              <w:spacing w:after="0"/>
              <w:rPr>
                <w:sz w:val="7"/>
                <w:szCs w:val="7"/>
                <w:color w:val="auto"/>
              </w:rPr>
            </w:pPr>
          </w:p>
        </w:tc>
        <w:tc>
          <w:tcPr>
            <w:tcW w:w="2200" w:type="dxa"/>
            <w:vAlign w:val="bottom"/>
            <w:vMerge w:val="continue"/>
            <w:shd w:val="clear" w:color="auto" w:fill="CFF0FC"/>
          </w:tcPr>
          <w:p>
            <w:pPr>
              <w:spacing w:after="0"/>
              <w:rPr>
                <w:sz w:val="7"/>
                <w:szCs w:val="7"/>
                <w:color w:val="auto"/>
              </w:rPr>
            </w:pPr>
          </w:p>
        </w:tc>
        <w:tc>
          <w:tcPr>
            <w:tcW w:w="1960" w:type="dxa"/>
            <w:vAlign w:val="bottom"/>
            <w:vMerge w:val="continue"/>
            <w:shd w:val="clear" w:color="auto" w:fill="CFF0FC"/>
          </w:tcPr>
          <w:p>
            <w:pPr>
              <w:spacing w:after="0"/>
              <w:rPr>
                <w:sz w:val="7"/>
                <w:szCs w:val="7"/>
                <w:color w:val="auto"/>
              </w:rPr>
            </w:pPr>
          </w:p>
        </w:tc>
        <w:tc>
          <w:tcPr>
            <w:tcW w:w="3400" w:type="dxa"/>
            <w:vAlign w:val="bottom"/>
            <w:vMerge w:val="restart"/>
            <w:shd w:val="clear" w:color="auto" w:fill="CFF0FC"/>
          </w:tcPr>
          <w:p>
            <w:pPr>
              <w:jc w:val="center"/>
              <w:ind w:right="49"/>
              <w:spacing w:after="0" w:line="157" w:lineRule="exact"/>
              <w:rPr>
                <w:sz w:val="20"/>
                <w:szCs w:val="20"/>
                <w:color w:val="auto"/>
              </w:rPr>
            </w:pPr>
            <w:r>
              <w:rPr>
                <w:rFonts w:ascii="Arial" w:cs="Arial" w:eastAsia="Arial" w:hAnsi="Arial"/>
                <w:sz w:val="14"/>
                <w:szCs w:val="14"/>
                <w:color w:val="auto"/>
              </w:rPr>
              <w:t>blood flow, increased BDNF expression</w:t>
            </w:r>
          </w:p>
        </w:tc>
        <w:tc>
          <w:tcPr>
            <w:tcW w:w="212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560" w:type="dxa"/>
            <w:vAlign w:val="bottom"/>
            <w:shd w:val="clear" w:color="auto" w:fill="CFF0FC"/>
          </w:tcPr>
          <w:p>
            <w:pPr>
              <w:spacing w:after="0"/>
              <w:rPr>
                <w:sz w:val="5"/>
                <w:szCs w:val="5"/>
                <w:color w:val="auto"/>
              </w:rPr>
            </w:pPr>
          </w:p>
        </w:tc>
        <w:tc>
          <w:tcPr>
            <w:tcW w:w="2200" w:type="dxa"/>
            <w:vAlign w:val="bottom"/>
            <w:shd w:val="clear" w:color="auto" w:fill="CFF0FC"/>
          </w:tcPr>
          <w:p>
            <w:pPr>
              <w:spacing w:after="0"/>
              <w:rPr>
                <w:sz w:val="5"/>
                <w:szCs w:val="5"/>
                <w:color w:val="auto"/>
              </w:rPr>
            </w:pPr>
          </w:p>
        </w:tc>
        <w:tc>
          <w:tcPr>
            <w:tcW w:w="1960" w:type="dxa"/>
            <w:vAlign w:val="bottom"/>
            <w:shd w:val="clear" w:color="auto" w:fill="CFF0FC"/>
          </w:tcPr>
          <w:p>
            <w:pPr>
              <w:spacing w:after="0"/>
              <w:rPr>
                <w:sz w:val="5"/>
                <w:szCs w:val="5"/>
                <w:color w:val="auto"/>
              </w:rPr>
            </w:pPr>
          </w:p>
        </w:tc>
        <w:tc>
          <w:tcPr>
            <w:tcW w:w="3400" w:type="dxa"/>
            <w:vAlign w:val="bottom"/>
            <w:vMerge w:val="continue"/>
            <w:shd w:val="clear" w:color="auto" w:fill="CFF0FC"/>
          </w:tcPr>
          <w:p>
            <w:pPr>
              <w:spacing w:after="0"/>
              <w:rPr>
                <w:sz w:val="5"/>
                <w:szCs w:val="5"/>
                <w:color w:val="auto"/>
              </w:rPr>
            </w:pPr>
          </w:p>
        </w:tc>
        <w:tc>
          <w:tcPr>
            <w:tcW w:w="2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FF0FC"/>
          </w:tcPr>
          <w:p>
            <w:pPr>
              <w:spacing w:after="0"/>
              <w:rPr>
                <w:sz w:val="15"/>
                <w:szCs w:val="15"/>
                <w:color w:val="auto"/>
              </w:rPr>
            </w:pPr>
          </w:p>
        </w:tc>
        <w:tc>
          <w:tcPr>
            <w:tcW w:w="2200" w:type="dxa"/>
            <w:vAlign w:val="bottom"/>
            <w:shd w:val="clear" w:color="auto" w:fill="CFF0FC"/>
          </w:tcPr>
          <w:p>
            <w:pPr>
              <w:jc w:val="center"/>
              <w:ind w:left="49"/>
              <w:spacing w:after="0"/>
              <w:rPr>
                <w:sz w:val="20"/>
                <w:szCs w:val="20"/>
                <w:color w:val="auto"/>
              </w:rPr>
            </w:pPr>
            <w:r>
              <w:rPr>
                <w:rFonts w:ascii="Arial" w:cs="Arial" w:eastAsia="Arial" w:hAnsi="Arial"/>
                <w:sz w:val="14"/>
                <w:szCs w:val="14"/>
                <w:color w:val="auto"/>
              </w:rPr>
              <w:t>(mouse)</w:t>
            </w:r>
          </w:p>
        </w:tc>
        <w:tc>
          <w:tcPr>
            <w:tcW w:w="1960" w:type="dxa"/>
            <w:vAlign w:val="bottom"/>
            <w:shd w:val="clear" w:color="auto" w:fill="CFF0FC"/>
          </w:tcPr>
          <w:p>
            <w:pPr>
              <w:spacing w:after="0"/>
              <w:rPr>
                <w:sz w:val="15"/>
                <w:szCs w:val="15"/>
                <w:color w:val="auto"/>
              </w:rPr>
            </w:pPr>
          </w:p>
        </w:tc>
        <w:tc>
          <w:tcPr>
            <w:tcW w:w="34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Parkinson’s</w:t>
            </w:r>
          </w:p>
        </w:tc>
        <w:tc>
          <w:tcPr>
            <w:tcW w:w="2200" w:type="dxa"/>
            <w:vAlign w:val="bottom"/>
            <w:vMerge w:val="restart"/>
          </w:tcPr>
          <w:p>
            <w:pPr>
              <w:jc w:val="center"/>
              <w:ind w:left="29"/>
              <w:spacing w:after="0"/>
              <w:rPr>
                <w:sz w:val="20"/>
                <w:szCs w:val="20"/>
                <w:color w:val="auto"/>
              </w:rPr>
            </w:pPr>
            <w:r>
              <w:rPr>
                <w:rFonts w:ascii="Arial" w:cs="Arial" w:eastAsia="Arial" w:hAnsi="Arial"/>
                <w:sz w:val="14"/>
                <w:szCs w:val="14"/>
                <w:color w:val="auto"/>
              </w:rPr>
              <w:t>6-OHDA</w:t>
            </w:r>
          </w:p>
        </w:tc>
        <w:tc>
          <w:tcPr>
            <w:tcW w:w="1960" w:type="dxa"/>
            <w:vAlign w:val="bottom"/>
            <w:vMerge w:val="restart"/>
          </w:tcPr>
          <w:p>
            <w:pPr>
              <w:jc w:val="center"/>
              <w:ind w:left="149"/>
              <w:spacing w:after="0"/>
              <w:rPr>
                <w:sz w:val="20"/>
                <w:szCs w:val="20"/>
                <w:color w:val="auto"/>
              </w:rPr>
            </w:pPr>
            <w:r>
              <w:rPr>
                <w:rFonts w:ascii="Arial" w:cs="Arial" w:eastAsia="Arial" w:hAnsi="Arial"/>
                <w:sz w:val="14"/>
                <w:szCs w:val="14"/>
                <w:color w:val="auto"/>
              </w:rPr>
              <w:t>HGF gene therapy</w:t>
            </w:r>
          </w:p>
        </w:tc>
        <w:tc>
          <w:tcPr>
            <w:tcW w:w="3400" w:type="dxa"/>
            <w:vAlign w:val="bottom"/>
          </w:tcPr>
          <w:p>
            <w:pPr>
              <w:jc w:val="center"/>
              <w:ind w:right="49"/>
              <w:spacing w:after="0"/>
              <w:rPr>
                <w:sz w:val="20"/>
                <w:szCs w:val="20"/>
                <w:color w:val="auto"/>
              </w:rPr>
            </w:pPr>
            <w:r>
              <w:rPr>
                <w:rFonts w:ascii="Arial" w:cs="Arial" w:eastAsia="Arial" w:hAnsi="Arial"/>
                <w:sz w:val="14"/>
                <w:szCs w:val="14"/>
                <w:color w:val="auto"/>
              </w:rPr>
              <w:t>Improved survival of dopaminergic neurons,</w:t>
            </w:r>
          </w:p>
        </w:tc>
        <w:tc>
          <w:tcPr>
            <w:tcW w:w="2120" w:type="dxa"/>
            <w:vAlign w:val="bottom"/>
            <w:vMerge w:val="restart"/>
          </w:tcPr>
          <w:p>
            <w:pPr>
              <w:jc w:val="center"/>
              <w:ind w:right="169"/>
              <w:spacing w:after="0"/>
              <w:rPr>
                <w:sz w:val="20"/>
                <w:szCs w:val="20"/>
                <w:color w:val="auto"/>
              </w:rPr>
            </w:pPr>
            <w:r>
              <w:rPr>
                <w:rFonts w:ascii="Arial" w:cs="Arial" w:eastAsia="Arial" w:hAnsi="Arial"/>
                <w:sz w:val="14"/>
                <w:szCs w:val="14"/>
                <w:color w:val="auto"/>
              </w:rPr>
              <w:t>Koike et. al.</w:t>
            </w:r>
          </w:p>
        </w:tc>
        <w:tc>
          <w:tcPr>
            <w:tcW w:w="0" w:type="dxa"/>
            <w:vAlign w:val="bottom"/>
          </w:tcPr>
          <w:p>
            <w:pPr>
              <w:spacing w:after="0"/>
              <w:rPr>
                <w:sz w:val="1"/>
                <w:szCs w:val="1"/>
                <w:color w:val="auto"/>
              </w:rPr>
            </w:pPr>
          </w:p>
        </w:tc>
      </w:tr>
      <w:tr>
        <w:trPr>
          <w:trHeight w:val="91"/>
        </w:trPr>
        <w:tc>
          <w:tcPr>
            <w:tcW w:w="156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3400" w:type="dxa"/>
            <w:vAlign w:val="bottom"/>
            <w:vMerge w:val="restart"/>
          </w:tcPr>
          <w:p>
            <w:pPr>
              <w:jc w:val="center"/>
              <w:ind w:right="49"/>
              <w:spacing w:after="0"/>
              <w:rPr>
                <w:sz w:val="20"/>
                <w:szCs w:val="20"/>
                <w:color w:val="auto"/>
              </w:rPr>
            </w:pPr>
            <w:r>
              <w:rPr>
                <w:rFonts w:ascii="Arial" w:cs="Arial" w:eastAsia="Arial" w:hAnsi="Arial"/>
                <w:sz w:val="14"/>
                <w:szCs w:val="14"/>
                <w:color w:val="auto"/>
              </w:rPr>
              <w:t>improved motor function</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3"/>
                <w:szCs w:val="13"/>
                <w:color w:val="auto"/>
              </w:rPr>
            </w:pPr>
          </w:p>
        </w:tc>
        <w:tc>
          <w:tcPr>
            <w:tcW w:w="2200" w:type="dxa"/>
            <w:vAlign w:val="bottom"/>
          </w:tcPr>
          <w:p>
            <w:pPr>
              <w:jc w:val="center"/>
              <w:ind w:left="29"/>
              <w:spacing w:after="0"/>
              <w:rPr>
                <w:sz w:val="20"/>
                <w:szCs w:val="20"/>
                <w:color w:val="auto"/>
              </w:rPr>
            </w:pPr>
            <w:r>
              <w:rPr>
                <w:rFonts w:ascii="Arial" w:cs="Arial" w:eastAsia="Arial" w:hAnsi="Arial"/>
                <w:sz w:val="14"/>
                <w:szCs w:val="14"/>
                <w:color w:val="auto"/>
              </w:rPr>
              <w:t>(rat)</w:t>
            </w:r>
          </w:p>
        </w:tc>
        <w:tc>
          <w:tcPr>
            <w:tcW w:w="19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120" w:type="dxa"/>
            <w:vAlign w:val="bottom"/>
          </w:tcPr>
          <w:p>
            <w:pPr>
              <w:jc w:val="center"/>
              <w:ind w:right="169"/>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75"/>
        </w:trPr>
        <w:tc>
          <w:tcPr>
            <w:tcW w:w="15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Brain ischemia</w:t>
            </w:r>
          </w:p>
        </w:tc>
        <w:tc>
          <w:tcPr>
            <w:tcW w:w="2200" w:type="dxa"/>
            <w:vAlign w:val="bottom"/>
            <w:shd w:val="clear" w:color="auto" w:fill="CFF0FC"/>
          </w:tcPr>
          <w:p>
            <w:pPr>
              <w:jc w:val="center"/>
              <w:ind w:left="49"/>
              <w:spacing w:after="0"/>
              <w:rPr>
                <w:sz w:val="20"/>
                <w:szCs w:val="20"/>
                <w:color w:val="auto"/>
              </w:rPr>
            </w:pPr>
            <w:r>
              <w:rPr>
                <w:rFonts w:ascii="Arial" w:cs="Arial" w:eastAsia="Arial" w:hAnsi="Arial"/>
                <w:sz w:val="14"/>
                <w:szCs w:val="14"/>
                <w:color w:val="auto"/>
              </w:rPr>
              <w:t>Transient ischemia</w:t>
            </w:r>
          </w:p>
        </w:tc>
        <w:tc>
          <w:tcPr>
            <w:tcW w:w="1960" w:type="dxa"/>
            <w:vAlign w:val="bottom"/>
            <w:shd w:val="clear" w:color="auto" w:fill="CFF0FC"/>
          </w:tcPr>
          <w:p>
            <w:pPr>
              <w:jc w:val="center"/>
              <w:ind w:left="129"/>
              <w:spacing w:after="0"/>
              <w:rPr>
                <w:sz w:val="20"/>
                <w:szCs w:val="20"/>
                <w:color w:val="auto"/>
              </w:rPr>
            </w:pPr>
            <w:r>
              <w:rPr>
                <w:rFonts w:ascii="Arial" w:cs="Arial" w:eastAsia="Arial" w:hAnsi="Arial"/>
                <w:sz w:val="14"/>
                <w:szCs w:val="14"/>
                <w:color w:val="auto"/>
              </w:rPr>
              <w:t>Injection of HGF protein</w:t>
            </w:r>
          </w:p>
        </w:tc>
        <w:tc>
          <w:tcPr>
            <w:tcW w:w="3400" w:type="dxa"/>
            <w:vAlign w:val="bottom"/>
            <w:shd w:val="clear" w:color="auto" w:fill="CFF0FC"/>
          </w:tcPr>
          <w:p>
            <w:pPr>
              <w:jc w:val="center"/>
              <w:ind w:right="49"/>
              <w:spacing w:after="0"/>
              <w:rPr>
                <w:sz w:val="20"/>
                <w:szCs w:val="20"/>
                <w:color w:val="auto"/>
              </w:rPr>
            </w:pPr>
            <w:r>
              <w:rPr>
                <w:rFonts w:ascii="Arial" w:cs="Arial" w:eastAsia="Arial" w:hAnsi="Arial"/>
                <w:sz w:val="14"/>
                <w:szCs w:val="14"/>
                <w:color w:val="auto"/>
              </w:rPr>
              <w:t>Improved neuronal survival</w:t>
            </w:r>
          </w:p>
        </w:tc>
        <w:tc>
          <w:tcPr>
            <w:tcW w:w="2120" w:type="dxa"/>
            <w:vAlign w:val="bottom"/>
            <w:shd w:val="clear" w:color="auto" w:fill="CFF0FC"/>
          </w:tcPr>
          <w:p>
            <w:pPr>
              <w:jc w:val="center"/>
              <w:ind w:right="169"/>
              <w:spacing w:after="0"/>
              <w:rPr>
                <w:sz w:val="20"/>
                <w:szCs w:val="20"/>
                <w:color w:val="auto"/>
              </w:rPr>
            </w:pPr>
            <w:r>
              <w:rPr>
                <w:rFonts w:ascii="Arial" w:cs="Arial" w:eastAsia="Arial" w:hAnsi="Arial"/>
                <w:sz w:val="14"/>
                <w:szCs w:val="14"/>
                <w:color w:val="auto"/>
              </w:rPr>
              <w:t>Miyazawa et. al. 2007</w:t>
            </w:r>
          </w:p>
        </w:tc>
        <w:tc>
          <w:tcPr>
            <w:tcW w:w="0" w:type="dxa"/>
            <w:vAlign w:val="bottom"/>
          </w:tcPr>
          <w:p>
            <w:pPr>
              <w:spacing w:after="0"/>
              <w:rPr>
                <w:sz w:val="1"/>
                <w:szCs w:val="1"/>
                <w:color w:val="auto"/>
              </w:rPr>
            </w:pPr>
          </w:p>
        </w:tc>
      </w:tr>
      <w:tr>
        <w:trPr>
          <w:trHeight w:val="176"/>
        </w:trPr>
        <w:tc>
          <w:tcPr>
            <w:tcW w:w="1560" w:type="dxa"/>
            <w:vAlign w:val="bottom"/>
            <w:shd w:val="clear" w:color="auto" w:fill="CFF0FC"/>
          </w:tcPr>
          <w:p>
            <w:pPr>
              <w:spacing w:after="0"/>
              <w:rPr>
                <w:sz w:val="15"/>
                <w:szCs w:val="15"/>
                <w:color w:val="auto"/>
              </w:rPr>
            </w:pPr>
          </w:p>
        </w:tc>
        <w:tc>
          <w:tcPr>
            <w:tcW w:w="2200" w:type="dxa"/>
            <w:vAlign w:val="bottom"/>
            <w:shd w:val="clear" w:color="auto" w:fill="CFF0FC"/>
          </w:tcPr>
          <w:p>
            <w:pPr>
              <w:jc w:val="center"/>
              <w:ind w:left="49"/>
              <w:spacing w:after="0"/>
              <w:rPr>
                <w:sz w:val="20"/>
                <w:szCs w:val="20"/>
                <w:color w:val="auto"/>
              </w:rPr>
            </w:pPr>
            <w:r>
              <w:rPr>
                <w:rFonts w:ascii="Arial" w:cs="Arial" w:eastAsia="Arial" w:hAnsi="Arial"/>
                <w:sz w:val="14"/>
                <w:szCs w:val="14"/>
                <w:color w:val="auto"/>
              </w:rPr>
              <w:t>(gerbil)</w:t>
            </w:r>
          </w:p>
        </w:tc>
        <w:tc>
          <w:tcPr>
            <w:tcW w:w="1960" w:type="dxa"/>
            <w:vAlign w:val="bottom"/>
            <w:shd w:val="clear" w:color="auto" w:fill="CFF0FC"/>
          </w:tcPr>
          <w:p>
            <w:pPr>
              <w:spacing w:after="0"/>
              <w:rPr>
                <w:sz w:val="15"/>
                <w:szCs w:val="15"/>
                <w:color w:val="auto"/>
              </w:rPr>
            </w:pPr>
          </w:p>
        </w:tc>
        <w:tc>
          <w:tcPr>
            <w:tcW w:w="34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ALS</w:t>
            </w:r>
          </w:p>
        </w:tc>
        <w:tc>
          <w:tcPr>
            <w:tcW w:w="2200" w:type="dxa"/>
            <w:vAlign w:val="bottom"/>
            <w:vMerge w:val="restart"/>
          </w:tcPr>
          <w:p>
            <w:pPr>
              <w:jc w:val="center"/>
              <w:ind w:left="49"/>
              <w:spacing w:after="0"/>
              <w:rPr>
                <w:sz w:val="20"/>
                <w:szCs w:val="20"/>
                <w:color w:val="auto"/>
              </w:rPr>
            </w:pPr>
            <w:r>
              <w:rPr>
                <w:rFonts w:ascii="Arial" w:cs="Arial" w:eastAsia="Arial" w:hAnsi="Arial"/>
                <w:sz w:val="14"/>
                <w:szCs w:val="14"/>
                <w:color w:val="auto"/>
              </w:rPr>
              <w:t>SOD1-G93)</w:t>
            </w:r>
          </w:p>
        </w:tc>
        <w:tc>
          <w:tcPr>
            <w:tcW w:w="1960" w:type="dxa"/>
            <w:vAlign w:val="bottom"/>
            <w:vMerge w:val="restart"/>
          </w:tcPr>
          <w:p>
            <w:pPr>
              <w:jc w:val="center"/>
              <w:ind w:left="149"/>
              <w:spacing w:after="0"/>
              <w:rPr>
                <w:sz w:val="20"/>
                <w:szCs w:val="20"/>
                <w:color w:val="auto"/>
              </w:rPr>
            </w:pPr>
            <w:r>
              <w:rPr>
                <w:rFonts w:ascii="Arial" w:cs="Arial" w:eastAsia="Arial" w:hAnsi="Arial"/>
                <w:sz w:val="14"/>
                <w:szCs w:val="14"/>
                <w:color w:val="auto"/>
              </w:rPr>
              <w:t>HGF gene therapy</w:t>
            </w:r>
          </w:p>
        </w:tc>
        <w:tc>
          <w:tcPr>
            <w:tcW w:w="3400" w:type="dxa"/>
            <w:vAlign w:val="bottom"/>
          </w:tcPr>
          <w:p>
            <w:pPr>
              <w:jc w:val="center"/>
              <w:ind w:right="49"/>
              <w:spacing w:after="0"/>
              <w:rPr>
                <w:sz w:val="20"/>
                <w:szCs w:val="20"/>
                <w:color w:val="auto"/>
              </w:rPr>
            </w:pPr>
            <w:r>
              <w:rPr>
                <w:rFonts w:ascii="Arial" w:cs="Arial" w:eastAsia="Arial" w:hAnsi="Arial"/>
                <w:sz w:val="14"/>
                <w:szCs w:val="14"/>
                <w:color w:val="auto"/>
              </w:rPr>
              <w:t>Improved survival of motor neurons, prolonged</w:t>
            </w:r>
          </w:p>
        </w:tc>
        <w:tc>
          <w:tcPr>
            <w:tcW w:w="2120" w:type="dxa"/>
            <w:vAlign w:val="bottom"/>
            <w:vMerge w:val="restart"/>
          </w:tcPr>
          <w:p>
            <w:pPr>
              <w:jc w:val="center"/>
              <w:ind w:right="169"/>
              <w:spacing w:after="0"/>
              <w:rPr>
                <w:sz w:val="20"/>
                <w:szCs w:val="20"/>
                <w:color w:val="auto"/>
              </w:rPr>
            </w:pPr>
            <w:r>
              <w:rPr>
                <w:rFonts w:ascii="Arial" w:cs="Arial" w:eastAsia="Arial" w:hAnsi="Arial"/>
                <w:sz w:val="14"/>
                <w:szCs w:val="14"/>
                <w:color w:val="auto"/>
              </w:rPr>
              <w:t>Sun et. al.</w:t>
            </w:r>
          </w:p>
        </w:tc>
        <w:tc>
          <w:tcPr>
            <w:tcW w:w="0" w:type="dxa"/>
            <w:vAlign w:val="bottom"/>
          </w:tcPr>
          <w:p>
            <w:pPr>
              <w:spacing w:after="0"/>
              <w:rPr>
                <w:sz w:val="1"/>
                <w:szCs w:val="1"/>
                <w:color w:val="auto"/>
              </w:rPr>
            </w:pPr>
          </w:p>
        </w:tc>
      </w:tr>
      <w:tr>
        <w:trPr>
          <w:trHeight w:val="91"/>
        </w:trPr>
        <w:tc>
          <w:tcPr>
            <w:tcW w:w="156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3400" w:type="dxa"/>
            <w:vAlign w:val="bottom"/>
            <w:vMerge w:val="restart"/>
          </w:tcPr>
          <w:p>
            <w:pPr>
              <w:jc w:val="center"/>
              <w:ind w:right="49"/>
              <w:spacing w:after="0"/>
              <w:rPr>
                <w:sz w:val="20"/>
                <w:szCs w:val="20"/>
                <w:color w:val="auto"/>
              </w:rPr>
            </w:pPr>
            <w:r>
              <w:rPr>
                <w:rFonts w:ascii="Arial" w:cs="Arial" w:eastAsia="Arial" w:hAnsi="Arial"/>
                <w:sz w:val="14"/>
                <w:szCs w:val="14"/>
                <w:color w:val="auto"/>
                <w:w w:val="99"/>
              </w:rPr>
              <w:t>lifespan</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3"/>
                <w:szCs w:val="13"/>
                <w:color w:val="auto"/>
              </w:rPr>
            </w:pPr>
          </w:p>
        </w:tc>
        <w:tc>
          <w:tcPr>
            <w:tcW w:w="2200" w:type="dxa"/>
            <w:vAlign w:val="bottom"/>
          </w:tcPr>
          <w:p>
            <w:pPr>
              <w:jc w:val="center"/>
              <w:ind w:left="49"/>
              <w:spacing w:after="0"/>
              <w:rPr>
                <w:sz w:val="20"/>
                <w:szCs w:val="20"/>
                <w:color w:val="auto"/>
              </w:rPr>
            </w:pPr>
            <w:r>
              <w:rPr>
                <w:rFonts w:ascii="Arial" w:cs="Arial" w:eastAsia="Arial" w:hAnsi="Arial"/>
                <w:sz w:val="14"/>
                <w:szCs w:val="14"/>
                <w:color w:val="auto"/>
              </w:rPr>
              <w:t>(mouse)</w:t>
            </w:r>
          </w:p>
        </w:tc>
        <w:tc>
          <w:tcPr>
            <w:tcW w:w="19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120" w:type="dxa"/>
            <w:vAlign w:val="bottom"/>
          </w:tcPr>
          <w:p>
            <w:pPr>
              <w:jc w:val="center"/>
              <w:ind w:right="169"/>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80"/>
        </w:trPr>
        <w:tc>
          <w:tcPr>
            <w:tcW w:w="156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Cerebral infarction</w:t>
            </w:r>
          </w:p>
        </w:tc>
        <w:tc>
          <w:tcPr>
            <w:tcW w:w="2200" w:type="dxa"/>
            <w:vAlign w:val="bottom"/>
            <w:vMerge w:val="restart"/>
            <w:shd w:val="clear" w:color="auto" w:fill="CFF0FC"/>
          </w:tcPr>
          <w:p>
            <w:pPr>
              <w:jc w:val="center"/>
              <w:ind w:left="49"/>
              <w:spacing w:after="0"/>
              <w:rPr>
                <w:sz w:val="20"/>
                <w:szCs w:val="20"/>
                <w:color w:val="auto"/>
              </w:rPr>
            </w:pPr>
            <w:r>
              <w:rPr>
                <w:rFonts w:ascii="Arial" w:cs="Arial" w:eastAsia="Arial" w:hAnsi="Arial"/>
                <w:sz w:val="14"/>
                <w:szCs w:val="14"/>
                <w:color w:val="auto"/>
              </w:rPr>
              <w:t>Embolism</w:t>
            </w:r>
          </w:p>
        </w:tc>
        <w:tc>
          <w:tcPr>
            <w:tcW w:w="1960" w:type="dxa"/>
            <w:vAlign w:val="bottom"/>
            <w:vMerge w:val="restart"/>
            <w:shd w:val="clear" w:color="auto" w:fill="CFF0FC"/>
          </w:tcPr>
          <w:p>
            <w:pPr>
              <w:jc w:val="center"/>
              <w:ind w:left="129"/>
              <w:spacing w:after="0"/>
              <w:rPr>
                <w:sz w:val="20"/>
                <w:szCs w:val="20"/>
                <w:color w:val="auto"/>
              </w:rPr>
            </w:pPr>
            <w:r>
              <w:rPr>
                <w:rFonts w:ascii="Arial" w:cs="Arial" w:eastAsia="Arial" w:hAnsi="Arial"/>
                <w:sz w:val="14"/>
                <w:szCs w:val="14"/>
                <w:color w:val="auto"/>
              </w:rPr>
              <w:t>Injection of HGF protein</w:t>
            </w:r>
          </w:p>
        </w:tc>
        <w:tc>
          <w:tcPr>
            <w:tcW w:w="3400" w:type="dxa"/>
            <w:vAlign w:val="bottom"/>
            <w:shd w:val="clear" w:color="auto" w:fill="CFF0FC"/>
          </w:tcPr>
          <w:p>
            <w:pPr>
              <w:jc w:val="center"/>
              <w:ind w:right="49"/>
              <w:spacing w:after="0"/>
              <w:rPr>
                <w:sz w:val="20"/>
                <w:szCs w:val="20"/>
                <w:color w:val="auto"/>
              </w:rPr>
            </w:pPr>
            <w:r>
              <w:rPr>
                <w:rFonts w:ascii="Arial" w:cs="Arial" w:eastAsia="Arial" w:hAnsi="Arial"/>
                <w:sz w:val="14"/>
                <w:szCs w:val="14"/>
                <w:color w:val="auto"/>
              </w:rPr>
              <w:t>Improvement in learning and memory, improved</w:t>
            </w:r>
          </w:p>
        </w:tc>
        <w:tc>
          <w:tcPr>
            <w:tcW w:w="2120" w:type="dxa"/>
            <w:vAlign w:val="bottom"/>
            <w:vMerge w:val="restart"/>
            <w:shd w:val="clear" w:color="auto" w:fill="CFF0FC"/>
          </w:tcPr>
          <w:p>
            <w:pPr>
              <w:jc w:val="center"/>
              <w:ind w:right="149"/>
              <w:spacing w:after="0"/>
              <w:rPr>
                <w:sz w:val="20"/>
                <w:szCs w:val="20"/>
                <w:color w:val="auto"/>
              </w:rPr>
            </w:pPr>
            <w:r>
              <w:rPr>
                <w:rFonts w:ascii="Arial" w:cs="Arial" w:eastAsia="Arial" w:hAnsi="Arial"/>
                <w:sz w:val="14"/>
                <w:szCs w:val="14"/>
                <w:color w:val="auto"/>
              </w:rPr>
              <w:t>Date et. al.</w:t>
            </w:r>
          </w:p>
        </w:tc>
        <w:tc>
          <w:tcPr>
            <w:tcW w:w="0" w:type="dxa"/>
            <w:vAlign w:val="bottom"/>
          </w:tcPr>
          <w:p>
            <w:pPr>
              <w:spacing w:after="0"/>
              <w:rPr>
                <w:sz w:val="1"/>
                <w:szCs w:val="1"/>
                <w:color w:val="auto"/>
              </w:rPr>
            </w:pPr>
          </w:p>
        </w:tc>
      </w:tr>
      <w:tr>
        <w:trPr>
          <w:trHeight w:val="91"/>
        </w:trPr>
        <w:tc>
          <w:tcPr>
            <w:tcW w:w="1560" w:type="dxa"/>
            <w:vAlign w:val="bottom"/>
            <w:vMerge w:val="continue"/>
            <w:shd w:val="clear" w:color="auto" w:fill="CFF0FC"/>
          </w:tcPr>
          <w:p>
            <w:pPr>
              <w:spacing w:after="0"/>
              <w:rPr>
                <w:sz w:val="7"/>
                <w:szCs w:val="7"/>
                <w:color w:val="auto"/>
              </w:rPr>
            </w:pPr>
          </w:p>
        </w:tc>
        <w:tc>
          <w:tcPr>
            <w:tcW w:w="2200" w:type="dxa"/>
            <w:vAlign w:val="bottom"/>
            <w:vMerge w:val="continue"/>
            <w:shd w:val="clear" w:color="auto" w:fill="CFF0FC"/>
          </w:tcPr>
          <w:p>
            <w:pPr>
              <w:spacing w:after="0"/>
              <w:rPr>
                <w:sz w:val="7"/>
                <w:szCs w:val="7"/>
                <w:color w:val="auto"/>
              </w:rPr>
            </w:pPr>
          </w:p>
        </w:tc>
        <w:tc>
          <w:tcPr>
            <w:tcW w:w="1960" w:type="dxa"/>
            <w:vAlign w:val="bottom"/>
            <w:vMerge w:val="continue"/>
            <w:shd w:val="clear" w:color="auto" w:fill="CFF0FC"/>
          </w:tcPr>
          <w:p>
            <w:pPr>
              <w:spacing w:after="0"/>
              <w:rPr>
                <w:sz w:val="7"/>
                <w:szCs w:val="7"/>
                <w:color w:val="auto"/>
              </w:rPr>
            </w:pPr>
          </w:p>
        </w:tc>
        <w:tc>
          <w:tcPr>
            <w:tcW w:w="3400" w:type="dxa"/>
            <w:vAlign w:val="bottom"/>
            <w:vMerge w:val="restart"/>
            <w:shd w:val="clear" w:color="auto" w:fill="CFF0FC"/>
          </w:tcPr>
          <w:p>
            <w:pPr>
              <w:jc w:val="center"/>
              <w:ind w:right="49"/>
              <w:spacing w:after="0" w:line="157" w:lineRule="exact"/>
              <w:rPr>
                <w:sz w:val="20"/>
                <w:szCs w:val="20"/>
                <w:color w:val="auto"/>
              </w:rPr>
            </w:pPr>
            <w:r>
              <w:rPr>
                <w:rFonts w:ascii="Arial" w:cs="Arial" w:eastAsia="Arial" w:hAnsi="Arial"/>
                <w:sz w:val="14"/>
                <w:szCs w:val="14"/>
                <w:color w:val="auto"/>
              </w:rPr>
              <w:t>neuronal survival</w:t>
            </w:r>
          </w:p>
        </w:tc>
        <w:tc>
          <w:tcPr>
            <w:tcW w:w="212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560" w:type="dxa"/>
            <w:vAlign w:val="bottom"/>
            <w:shd w:val="clear" w:color="auto" w:fill="CFF0FC"/>
          </w:tcPr>
          <w:p>
            <w:pPr>
              <w:spacing w:after="0"/>
              <w:rPr>
                <w:sz w:val="5"/>
                <w:szCs w:val="5"/>
                <w:color w:val="auto"/>
              </w:rPr>
            </w:pPr>
          </w:p>
        </w:tc>
        <w:tc>
          <w:tcPr>
            <w:tcW w:w="2200" w:type="dxa"/>
            <w:vAlign w:val="bottom"/>
            <w:shd w:val="clear" w:color="auto" w:fill="CFF0FC"/>
          </w:tcPr>
          <w:p>
            <w:pPr>
              <w:spacing w:after="0"/>
              <w:rPr>
                <w:sz w:val="5"/>
                <w:szCs w:val="5"/>
                <w:color w:val="auto"/>
              </w:rPr>
            </w:pPr>
          </w:p>
        </w:tc>
        <w:tc>
          <w:tcPr>
            <w:tcW w:w="1960" w:type="dxa"/>
            <w:vAlign w:val="bottom"/>
            <w:shd w:val="clear" w:color="auto" w:fill="CFF0FC"/>
          </w:tcPr>
          <w:p>
            <w:pPr>
              <w:spacing w:after="0"/>
              <w:rPr>
                <w:sz w:val="5"/>
                <w:szCs w:val="5"/>
                <w:color w:val="auto"/>
              </w:rPr>
            </w:pPr>
          </w:p>
        </w:tc>
        <w:tc>
          <w:tcPr>
            <w:tcW w:w="3400" w:type="dxa"/>
            <w:vAlign w:val="bottom"/>
            <w:vMerge w:val="continue"/>
            <w:shd w:val="clear" w:color="auto" w:fill="CFF0FC"/>
          </w:tcPr>
          <w:p>
            <w:pPr>
              <w:spacing w:after="0"/>
              <w:rPr>
                <w:sz w:val="5"/>
                <w:szCs w:val="5"/>
                <w:color w:val="auto"/>
              </w:rPr>
            </w:pPr>
          </w:p>
        </w:tc>
        <w:tc>
          <w:tcPr>
            <w:tcW w:w="2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FF0FC"/>
          </w:tcPr>
          <w:p>
            <w:pPr>
              <w:spacing w:after="0"/>
              <w:rPr>
                <w:sz w:val="15"/>
                <w:szCs w:val="15"/>
                <w:color w:val="auto"/>
              </w:rPr>
            </w:pPr>
          </w:p>
        </w:tc>
        <w:tc>
          <w:tcPr>
            <w:tcW w:w="2200" w:type="dxa"/>
            <w:vAlign w:val="bottom"/>
            <w:shd w:val="clear" w:color="auto" w:fill="CFF0FC"/>
          </w:tcPr>
          <w:p>
            <w:pPr>
              <w:jc w:val="center"/>
              <w:ind w:left="29"/>
              <w:spacing w:after="0"/>
              <w:rPr>
                <w:sz w:val="20"/>
                <w:szCs w:val="20"/>
                <w:color w:val="auto"/>
              </w:rPr>
            </w:pPr>
            <w:r>
              <w:rPr>
                <w:rFonts w:ascii="Arial" w:cs="Arial" w:eastAsia="Arial" w:hAnsi="Arial"/>
                <w:sz w:val="14"/>
                <w:szCs w:val="14"/>
                <w:color w:val="auto"/>
              </w:rPr>
              <w:t>(rat)</w:t>
            </w:r>
          </w:p>
        </w:tc>
        <w:tc>
          <w:tcPr>
            <w:tcW w:w="1960" w:type="dxa"/>
            <w:vAlign w:val="bottom"/>
            <w:shd w:val="clear" w:color="auto" w:fill="CFF0FC"/>
          </w:tcPr>
          <w:p>
            <w:pPr>
              <w:spacing w:after="0"/>
              <w:rPr>
                <w:sz w:val="15"/>
                <w:szCs w:val="15"/>
                <w:color w:val="auto"/>
              </w:rPr>
            </w:pPr>
          </w:p>
        </w:tc>
        <w:tc>
          <w:tcPr>
            <w:tcW w:w="3400" w:type="dxa"/>
            <w:vAlign w:val="bottom"/>
            <w:shd w:val="clear" w:color="auto" w:fill="CFF0FC"/>
          </w:tcPr>
          <w:p>
            <w:pPr>
              <w:spacing w:after="0"/>
              <w:rPr>
                <w:sz w:val="15"/>
                <w:szCs w:val="15"/>
                <w:color w:val="auto"/>
              </w:rPr>
            </w:pPr>
          </w:p>
        </w:tc>
        <w:tc>
          <w:tcPr>
            <w:tcW w:w="2120" w:type="dxa"/>
            <w:vAlign w:val="bottom"/>
            <w:shd w:val="clear" w:color="auto" w:fill="CFF0FC"/>
          </w:tcPr>
          <w:p>
            <w:pPr>
              <w:jc w:val="center"/>
              <w:ind w:right="169"/>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80"/>
        </w:trPr>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Spinal cord injury</w:t>
            </w:r>
          </w:p>
        </w:tc>
        <w:tc>
          <w:tcPr>
            <w:tcW w:w="2200" w:type="dxa"/>
            <w:vAlign w:val="bottom"/>
            <w:vMerge w:val="restart"/>
          </w:tcPr>
          <w:p>
            <w:pPr>
              <w:jc w:val="center"/>
              <w:ind w:left="29"/>
              <w:spacing w:after="0"/>
              <w:rPr>
                <w:sz w:val="20"/>
                <w:szCs w:val="20"/>
                <w:color w:val="auto"/>
              </w:rPr>
            </w:pPr>
            <w:r>
              <w:rPr>
                <w:rFonts w:ascii="Arial" w:cs="Arial" w:eastAsia="Arial" w:hAnsi="Arial"/>
                <w:sz w:val="14"/>
                <w:szCs w:val="14"/>
                <w:color w:val="auto"/>
              </w:rPr>
              <w:t>Trauma</w:t>
            </w:r>
          </w:p>
        </w:tc>
        <w:tc>
          <w:tcPr>
            <w:tcW w:w="1960" w:type="dxa"/>
            <w:vAlign w:val="bottom"/>
            <w:vMerge w:val="restart"/>
          </w:tcPr>
          <w:p>
            <w:pPr>
              <w:jc w:val="center"/>
              <w:ind w:left="149"/>
              <w:spacing w:after="0"/>
              <w:rPr>
                <w:sz w:val="20"/>
                <w:szCs w:val="20"/>
                <w:color w:val="auto"/>
              </w:rPr>
            </w:pPr>
            <w:r>
              <w:rPr>
                <w:rFonts w:ascii="Arial" w:cs="Arial" w:eastAsia="Arial" w:hAnsi="Arial"/>
                <w:sz w:val="14"/>
                <w:szCs w:val="14"/>
                <w:color w:val="auto"/>
              </w:rPr>
              <w:t>HGF gene therapy</w:t>
            </w:r>
          </w:p>
        </w:tc>
        <w:tc>
          <w:tcPr>
            <w:tcW w:w="3400" w:type="dxa"/>
            <w:vAlign w:val="bottom"/>
          </w:tcPr>
          <w:p>
            <w:pPr>
              <w:jc w:val="center"/>
              <w:ind w:right="49"/>
              <w:spacing w:after="0"/>
              <w:rPr>
                <w:sz w:val="20"/>
                <w:szCs w:val="20"/>
                <w:color w:val="auto"/>
              </w:rPr>
            </w:pPr>
            <w:r>
              <w:rPr>
                <w:rFonts w:ascii="Arial" w:cs="Arial" w:eastAsia="Arial" w:hAnsi="Arial"/>
                <w:sz w:val="14"/>
                <w:szCs w:val="14"/>
                <w:color w:val="auto"/>
              </w:rPr>
              <w:t>Promoted neuron survival and axonal regrowth,</w:t>
            </w:r>
          </w:p>
        </w:tc>
        <w:tc>
          <w:tcPr>
            <w:tcW w:w="2120" w:type="dxa"/>
            <w:vAlign w:val="bottom"/>
            <w:vMerge w:val="restart"/>
          </w:tcPr>
          <w:p>
            <w:pPr>
              <w:jc w:val="center"/>
              <w:ind w:right="169"/>
              <w:spacing w:after="0"/>
              <w:rPr>
                <w:sz w:val="20"/>
                <w:szCs w:val="20"/>
                <w:color w:val="auto"/>
              </w:rPr>
            </w:pPr>
            <w:r>
              <w:rPr>
                <w:rFonts w:ascii="Arial" w:cs="Arial" w:eastAsia="Arial" w:hAnsi="Arial"/>
                <w:sz w:val="14"/>
                <w:szCs w:val="14"/>
                <w:color w:val="auto"/>
              </w:rPr>
              <w:t>Kitamura et. al. 2007</w:t>
            </w:r>
          </w:p>
        </w:tc>
        <w:tc>
          <w:tcPr>
            <w:tcW w:w="0" w:type="dxa"/>
            <w:vAlign w:val="bottom"/>
          </w:tcPr>
          <w:p>
            <w:pPr>
              <w:spacing w:after="0"/>
              <w:rPr>
                <w:sz w:val="1"/>
                <w:szCs w:val="1"/>
                <w:color w:val="auto"/>
              </w:rPr>
            </w:pPr>
          </w:p>
        </w:tc>
      </w:tr>
      <w:tr>
        <w:trPr>
          <w:trHeight w:val="91"/>
        </w:trPr>
        <w:tc>
          <w:tcPr>
            <w:tcW w:w="156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3400" w:type="dxa"/>
            <w:vAlign w:val="bottom"/>
            <w:vMerge w:val="restart"/>
          </w:tcPr>
          <w:p>
            <w:pPr>
              <w:jc w:val="center"/>
              <w:ind w:right="49"/>
              <w:spacing w:after="0"/>
              <w:rPr>
                <w:sz w:val="20"/>
                <w:szCs w:val="20"/>
                <w:color w:val="auto"/>
              </w:rPr>
            </w:pPr>
            <w:r>
              <w:rPr>
                <w:rFonts w:ascii="Arial" w:cs="Arial" w:eastAsia="Arial" w:hAnsi="Arial"/>
                <w:sz w:val="14"/>
                <w:szCs w:val="14"/>
                <w:color w:val="auto"/>
              </w:rPr>
              <w:t>improved functional recovery</w:t>
            </w: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560" w:type="dxa"/>
            <w:vAlign w:val="bottom"/>
          </w:tcPr>
          <w:p>
            <w:pPr>
              <w:spacing w:after="0"/>
              <w:rPr>
                <w:sz w:val="13"/>
                <w:szCs w:val="13"/>
                <w:color w:val="auto"/>
              </w:rPr>
            </w:pPr>
          </w:p>
        </w:tc>
        <w:tc>
          <w:tcPr>
            <w:tcW w:w="2200" w:type="dxa"/>
            <w:vAlign w:val="bottom"/>
          </w:tcPr>
          <w:p>
            <w:pPr>
              <w:jc w:val="center"/>
              <w:ind w:left="29"/>
              <w:spacing w:after="0"/>
              <w:rPr>
                <w:sz w:val="20"/>
                <w:szCs w:val="20"/>
                <w:color w:val="auto"/>
              </w:rPr>
            </w:pPr>
            <w:r>
              <w:rPr>
                <w:rFonts w:ascii="Arial" w:cs="Arial" w:eastAsia="Arial" w:hAnsi="Arial"/>
                <w:sz w:val="14"/>
                <w:szCs w:val="14"/>
                <w:color w:val="auto"/>
              </w:rPr>
              <w:t>(rat)</w:t>
            </w:r>
          </w:p>
        </w:tc>
        <w:tc>
          <w:tcPr>
            <w:tcW w:w="19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56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MS</w:t>
            </w:r>
          </w:p>
        </w:tc>
        <w:tc>
          <w:tcPr>
            <w:tcW w:w="2200" w:type="dxa"/>
            <w:vAlign w:val="bottom"/>
            <w:vMerge w:val="restart"/>
            <w:shd w:val="clear" w:color="auto" w:fill="CFF0FC"/>
          </w:tcPr>
          <w:p>
            <w:pPr>
              <w:jc w:val="center"/>
              <w:ind w:left="49"/>
              <w:spacing w:after="0"/>
              <w:rPr>
                <w:sz w:val="20"/>
                <w:szCs w:val="20"/>
                <w:color w:val="auto"/>
              </w:rPr>
            </w:pPr>
            <w:r>
              <w:rPr>
                <w:rFonts w:ascii="Arial" w:cs="Arial" w:eastAsia="Arial" w:hAnsi="Arial"/>
                <w:sz w:val="14"/>
                <w:szCs w:val="14"/>
                <w:color w:val="auto"/>
                <w:w w:val="99"/>
              </w:rPr>
              <w:t>EAE</w:t>
            </w:r>
          </w:p>
        </w:tc>
        <w:tc>
          <w:tcPr>
            <w:tcW w:w="1960" w:type="dxa"/>
            <w:vAlign w:val="bottom"/>
            <w:vMerge w:val="restart"/>
            <w:shd w:val="clear" w:color="auto" w:fill="CFF0FC"/>
          </w:tcPr>
          <w:p>
            <w:pPr>
              <w:jc w:val="center"/>
              <w:ind w:left="129"/>
              <w:spacing w:after="0"/>
              <w:rPr>
                <w:sz w:val="20"/>
                <w:szCs w:val="20"/>
                <w:color w:val="auto"/>
              </w:rPr>
            </w:pPr>
            <w:r>
              <w:rPr>
                <w:rFonts w:ascii="Arial" w:cs="Arial" w:eastAsia="Arial" w:hAnsi="Arial"/>
                <w:sz w:val="14"/>
                <w:szCs w:val="14"/>
                <w:color w:val="auto"/>
              </w:rPr>
              <w:t>Injection of HGF protein</w:t>
            </w:r>
          </w:p>
        </w:tc>
        <w:tc>
          <w:tcPr>
            <w:tcW w:w="3400" w:type="dxa"/>
            <w:vAlign w:val="bottom"/>
            <w:shd w:val="clear" w:color="auto" w:fill="CFF0FC"/>
          </w:tcPr>
          <w:p>
            <w:pPr>
              <w:jc w:val="center"/>
              <w:ind w:right="49"/>
              <w:spacing w:after="0"/>
              <w:rPr>
                <w:sz w:val="20"/>
                <w:szCs w:val="20"/>
                <w:color w:val="auto"/>
              </w:rPr>
            </w:pPr>
            <w:r>
              <w:rPr>
                <w:rFonts w:ascii="Arial" w:cs="Arial" w:eastAsia="Arial" w:hAnsi="Arial"/>
                <w:sz w:val="14"/>
                <w:szCs w:val="14"/>
                <w:color w:val="auto"/>
              </w:rPr>
              <w:t>Promoted remyelination of damaged axons,</w:t>
            </w:r>
          </w:p>
        </w:tc>
        <w:tc>
          <w:tcPr>
            <w:tcW w:w="2120" w:type="dxa"/>
            <w:vAlign w:val="bottom"/>
            <w:vMerge w:val="restart"/>
            <w:shd w:val="clear" w:color="auto" w:fill="CFF0FC"/>
          </w:tcPr>
          <w:p>
            <w:pPr>
              <w:jc w:val="center"/>
              <w:ind w:right="169"/>
              <w:spacing w:after="0"/>
              <w:rPr>
                <w:sz w:val="20"/>
                <w:szCs w:val="20"/>
                <w:color w:val="auto"/>
              </w:rPr>
            </w:pPr>
            <w:r>
              <w:rPr>
                <w:rFonts w:ascii="Arial" w:cs="Arial" w:eastAsia="Arial" w:hAnsi="Arial"/>
                <w:sz w:val="14"/>
                <w:szCs w:val="14"/>
                <w:color w:val="auto"/>
              </w:rPr>
              <w:t>Bai et al., 2012</w:t>
            </w:r>
          </w:p>
        </w:tc>
        <w:tc>
          <w:tcPr>
            <w:tcW w:w="0" w:type="dxa"/>
            <w:vAlign w:val="bottom"/>
          </w:tcPr>
          <w:p>
            <w:pPr>
              <w:spacing w:after="0"/>
              <w:rPr>
                <w:sz w:val="1"/>
                <w:szCs w:val="1"/>
                <w:color w:val="auto"/>
              </w:rPr>
            </w:pPr>
          </w:p>
        </w:tc>
      </w:tr>
      <w:tr>
        <w:trPr>
          <w:trHeight w:val="91"/>
        </w:trPr>
        <w:tc>
          <w:tcPr>
            <w:tcW w:w="1560" w:type="dxa"/>
            <w:vAlign w:val="bottom"/>
            <w:vMerge w:val="continue"/>
            <w:shd w:val="clear" w:color="auto" w:fill="CFF0FC"/>
          </w:tcPr>
          <w:p>
            <w:pPr>
              <w:spacing w:after="0"/>
              <w:rPr>
                <w:sz w:val="7"/>
                <w:szCs w:val="7"/>
                <w:color w:val="auto"/>
              </w:rPr>
            </w:pPr>
          </w:p>
        </w:tc>
        <w:tc>
          <w:tcPr>
            <w:tcW w:w="2200" w:type="dxa"/>
            <w:vAlign w:val="bottom"/>
            <w:vMerge w:val="continue"/>
            <w:shd w:val="clear" w:color="auto" w:fill="CFF0FC"/>
          </w:tcPr>
          <w:p>
            <w:pPr>
              <w:spacing w:after="0"/>
              <w:rPr>
                <w:sz w:val="7"/>
                <w:szCs w:val="7"/>
                <w:color w:val="auto"/>
              </w:rPr>
            </w:pPr>
          </w:p>
        </w:tc>
        <w:tc>
          <w:tcPr>
            <w:tcW w:w="1960" w:type="dxa"/>
            <w:vAlign w:val="bottom"/>
            <w:vMerge w:val="continue"/>
            <w:shd w:val="clear" w:color="auto" w:fill="CFF0FC"/>
          </w:tcPr>
          <w:p>
            <w:pPr>
              <w:spacing w:after="0"/>
              <w:rPr>
                <w:sz w:val="7"/>
                <w:szCs w:val="7"/>
                <w:color w:val="auto"/>
              </w:rPr>
            </w:pPr>
          </w:p>
        </w:tc>
        <w:tc>
          <w:tcPr>
            <w:tcW w:w="3400" w:type="dxa"/>
            <w:vAlign w:val="bottom"/>
            <w:vMerge w:val="restart"/>
            <w:shd w:val="clear" w:color="auto" w:fill="CFF0FC"/>
          </w:tcPr>
          <w:p>
            <w:pPr>
              <w:jc w:val="center"/>
              <w:ind w:right="49"/>
              <w:spacing w:after="0" w:line="157" w:lineRule="exact"/>
              <w:rPr>
                <w:sz w:val="20"/>
                <w:szCs w:val="20"/>
                <w:color w:val="auto"/>
              </w:rPr>
            </w:pPr>
            <w:r>
              <w:rPr>
                <w:rFonts w:ascii="Arial" w:cs="Arial" w:eastAsia="Arial" w:hAnsi="Arial"/>
                <w:sz w:val="14"/>
                <w:szCs w:val="14"/>
                <w:color w:val="auto"/>
              </w:rPr>
              <w:t>improved clinical scoring</w:t>
            </w:r>
          </w:p>
        </w:tc>
        <w:tc>
          <w:tcPr>
            <w:tcW w:w="212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560" w:type="dxa"/>
            <w:vAlign w:val="bottom"/>
            <w:shd w:val="clear" w:color="auto" w:fill="CFF0FC"/>
          </w:tcPr>
          <w:p>
            <w:pPr>
              <w:spacing w:after="0"/>
              <w:rPr>
                <w:sz w:val="5"/>
                <w:szCs w:val="5"/>
                <w:color w:val="auto"/>
              </w:rPr>
            </w:pPr>
          </w:p>
        </w:tc>
        <w:tc>
          <w:tcPr>
            <w:tcW w:w="2200" w:type="dxa"/>
            <w:vAlign w:val="bottom"/>
            <w:shd w:val="clear" w:color="auto" w:fill="CFF0FC"/>
          </w:tcPr>
          <w:p>
            <w:pPr>
              <w:spacing w:after="0"/>
              <w:rPr>
                <w:sz w:val="5"/>
                <w:szCs w:val="5"/>
                <w:color w:val="auto"/>
              </w:rPr>
            </w:pPr>
          </w:p>
        </w:tc>
        <w:tc>
          <w:tcPr>
            <w:tcW w:w="1960" w:type="dxa"/>
            <w:vAlign w:val="bottom"/>
            <w:shd w:val="clear" w:color="auto" w:fill="CFF0FC"/>
          </w:tcPr>
          <w:p>
            <w:pPr>
              <w:spacing w:after="0"/>
              <w:rPr>
                <w:sz w:val="5"/>
                <w:szCs w:val="5"/>
                <w:color w:val="auto"/>
              </w:rPr>
            </w:pPr>
          </w:p>
        </w:tc>
        <w:tc>
          <w:tcPr>
            <w:tcW w:w="3400" w:type="dxa"/>
            <w:vAlign w:val="bottom"/>
            <w:vMerge w:val="continue"/>
            <w:shd w:val="clear" w:color="auto" w:fill="CFF0FC"/>
          </w:tcPr>
          <w:p>
            <w:pPr>
              <w:spacing w:after="0"/>
              <w:rPr>
                <w:sz w:val="5"/>
                <w:szCs w:val="5"/>
                <w:color w:val="auto"/>
              </w:rPr>
            </w:pPr>
          </w:p>
        </w:tc>
        <w:tc>
          <w:tcPr>
            <w:tcW w:w="2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FF0FC"/>
          </w:tcPr>
          <w:p>
            <w:pPr>
              <w:spacing w:after="0"/>
              <w:rPr>
                <w:sz w:val="15"/>
                <w:szCs w:val="15"/>
                <w:color w:val="auto"/>
              </w:rPr>
            </w:pPr>
          </w:p>
        </w:tc>
        <w:tc>
          <w:tcPr>
            <w:tcW w:w="2200" w:type="dxa"/>
            <w:vAlign w:val="bottom"/>
            <w:shd w:val="clear" w:color="auto" w:fill="CFF0FC"/>
          </w:tcPr>
          <w:p>
            <w:pPr>
              <w:jc w:val="center"/>
              <w:ind w:left="49"/>
              <w:spacing w:after="0"/>
              <w:rPr>
                <w:sz w:val="20"/>
                <w:szCs w:val="20"/>
                <w:color w:val="auto"/>
              </w:rPr>
            </w:pPr>
            <w:r>
              <w:rPr>
                <w:rFonts w:ascii="Arial" w:cs="Arial" w:eastAsia="Arial" w:hAnsi="Arial"/>
                <w:sz w:val="14"/>
                <w:szCs w:val="14"/>
                <w:color w:val="auto"/>
              </w:rPr>
              <w:t>(mouse)</w:t>
            </w:r>
          </w:p>
        </w:tc>
        <w:tc>
          <w:tcPr>
            <w:tcW w:w="1960" w:type="dxa"/>
            <w:vAlign w:val="bottom"/>
            <w:shd w:val="clear" w:color="auto" w:fill="CFF0FC"/>
          </w:tcPr>
          <w:p>
            <w:pPr>
              <w:spacing w:after="0"/>
              <w:rPr>
                <w:sz w:val="15"/>
                <w:szCs w:val="15"/>
                <w:color w:val="auto"/>
              </w:rPr>
            </w:pPr>
          </w:p>
        </w:tc>
        <w:tc>
          <w:tcPr>
            <w:tcW w:w="340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jc w:val="center"/>
              <w:spacing w:after="0"/>
              <w:rPr>
                <w:sz w:val="20"/>
                <w:szCs w:val="20"/>
                <w:color w:val="auto"/>
              </w:rPr>
            </w:pPr>
            <w:r>
              <w:rPr>
                <w:rFonts w:ascii="Arial" w:cs="Arial" w:eastAsia="Arial" w:hAnsi="Arial"/>
                <w:sz w:val="14"/>
                <w:szCs w:val="14"/>
                <w:color w:val="auto"/>
              </w:rPr>
              <w:t>Peripheral neuropathy</w:t>
            </w:r>
          </w:p>
        </w:tc>
        <w:tc>
          <w:tcPr>
            <w:tcW w:w="2200" w:type="dxa"/>
            <w:vAlign w:val="bottom"/>
          </w:tcPr>
          <w:p>
            <w:pPr>
              <w:jc w:val="center"/>
              <w:ind w:left="29"/>
              <w:spacing w:after="0"/>
              <w:rPr>
                <w:sz w:val="20"/>
                <w:szCs w:val="20"/>
                <w:color w:val="auto"/>
              </w:rPr>
            </w:pPr>
            <w:r>
              <w:rPr>
                <w:rFonts w:ascii="Arial" w:cs="Arial" w:eastAsia="Arial" w:hAnsi="Arial"/>
                <w:sz w:val="14"/>
                <w:szCs w:val="14"/>
                <w:color w:val="auto"/>
              </w:rPr>
              <w:t>Nerve crush</w:t>
            </w:r>
          </w:p>
        </w:tc>
        <w:tc>
          <w:tcPr>
            <w:tcW w:w="1960" w:type="dxa"/>
            <w:vAlign w:val="bottom"/>
          </w:tcPr>
          <w:p>
            <w:pPr>
              <w:jc w:val="center"/>
              <w:ind w:left="149"/>
              <w:spacing w:after="0"/>
              <w:rPr>
                <w:sz w:val="20"/>
                <w:szCs w:val="20"/>
                <w:color w:val="auto"/>
              </w:rPr>
            </w:pPr>
            <w:r>
              <w:rPr>
                <w:rFonts w:ascii="Arial" w:cs="Arial" w:eastAsia="Arial" w:hAnsi="Arial"/>
                <w:sz w:val="14"/>
                <w:szCs w:val="14"/>
                <w:color w:val="auto"/>
              </w:rPr>
              <w:t>HGF gene therapy</w:t>
            </w:r>
          </w:p>
        </w:tc>
        <w:tc>
          <w:tcPr>
            <w:tcW w:w="3400" w:type="dxa"/>
            <w:vAlign w:val="bottom"/>
          </w:tcPr>
          <w:p>
            <w:pPr>
              <w:jc w:val="center"/>
              <w:ind w:right="49"/>
              <w:spacing w:after="0"/>
              <w:rPr>
                <w:sz w:val="20"/>
                <w:szCs w:val="20"/>
                <w:color w:val="auto"/>
              </w:rPr>
            </w:pPr>
            <w:r>
              <w:rPr>
                <w:rFonts w:ascii="Arial" w:cs="Arial" w:eastAsia="Arial" w:hAnsi="Arial"/>
                <w:sz w:val="14"/>
                <w:szCs w:val="14"/>
                <w:color w:val="auto"/>
              </w:rPr>
              <w:t>Promoted regeneration of nerve tissue by</w:t>
            </w:r>
          </w:p>
        </w:tc>
        <w:tc>
          <w:tcPr>
            <w:tcW w:w="2120" w:type="dxa"/>
            <w:vAlign w:val="bottom"/>
          </w:tcPr>
          <w:p>
            <w:pPr>
              <w:jc w:val="center"/>
              <w:ind w:right="169"/>
              <w:spacing w:after="0"/>
              <w:rPr>
                <w:sz w:val="20"/>
                <w:szCs w:val="20"/>
                <w:color w:val="auto"/>
              </w:rPr>
            </w:pPr>
            <w:r>
              <w:rPr>
                <w:rFonts w:ascii="Arial" w:cs="Arial" w:eastAsia="Arial" w:hAnsi="Arial"/>
                <w:sz w:val="14"/>
                <w:szCs w:val="14"/>
                <w:color w:val="auto"/>
              </w:rPr>
              <w:t>Ko et al., 2018</w:t>
            </w:r>
          </w:p>
        </w:tc>
        <w:tc>
          <w:tcPr>
            <w:tcW w:w="0" w:type="dxa"/>
            <w:vAlign w:val="bottom"/>
          </w:tcPr>
          <w:p>
            <w:pPr>
              <w:spacing w:after="0"/>
              <w:rPr>
                <w:sz w:val="1"/>
                <w:szCs w:val="1"/>
                <w:color w:val="auto"/>
              </w:rPr>
            </w:pPr>
          </w:p>
        </w:tc>
      </w:tr>
    </w:tbl>
    <w:p>
      <w:pPr>
        <w:ind w:left="5860"/>
        <w:spacing w:after="0"/>
        <w:rPr>
          <w:sz w:val="20"/>
          <w:szCs w:val="20"/>
          <w:color w:val="auto"/>
        </w:rPr>
      </w:pPr>
      <w:r>
        <w:rPr>
          <w:rFonts w:ascii="Arial" w:cs="Arial" w:eastAsia="Arial" w:hAnsi="Arial"/>
          <w:sz w:val="14"/>
          <w:szCs w:val="14"/>
          <w:color w:val="auto"/>
        </w:rPr>
        <w:t>recruitment of Schwann cells and remyelination</w:t>
      </w:r>
    </w:p>
    <w:p>
      <w:pPr>
        <w:spacing w:after="0" w:line="4"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6-OHDA: 6-hydroxydopamine; BDNF: brain-derived neurotrophic factor; EAE: experimental autoimmune encephalomyelitis</w:t>
      </w:r>
    </w:p>
    <w:p>
      <w:pPr>
        <w:spacing w:after="0" w:line="29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20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 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jc w:val="both"/>
        <w:spacing w:after="0" w:line="238" w:lineRule="auto"/>
        <w:rPr>
          <w:sz w:val="20"/>
          <w:szCs w:val="20"/>
          <w:color w:val="auto"/>
        </w:rPr>
      </w:pPr>
      <w:r>
        <w:rPr>
          <w:rFonts w:ascii="Arial" w:cs="Arial" w:eastAsia="Arial" w:hAnsi="Arial"/>
          <w:sz w:val="18"/>
          <w:szCs w:val="18"/>
          <w:color w:val="auto"/>
        </w:rPr>
        <w:t>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77" w:lineRule="exact"/>
        <w:rPr>
          <w:sz w:val="20"/>
          <w:szCs w:val="20"/>
          <w:color w:val="auto"/>
        </w:rPr>
      </w:pPr>
    </w:p>
    <w:p>
      <w:pPr>
        <w:jc w:val="both"/>
        <w:ind w:left="1080" w:hanging="532"/>
        <w:spacing w:after="0" w:line="24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72" w:lineRule="exact"/>
        <w:rPr>
          <w:rFonts w:ascii="Arial" w:cs="Arial" w:eastAsia="Arial" w:hAnsi="Arial"/>
          <w:sz w:val="18"/>
          <w:szCs w:val="18"/>
          <w:color w:val="auto"/>
        </w:rPr>
      </w:pPr>
    </w:p>
    <w:p>
      <w:pPr>
        <w:jc w:val="both"/>
        <w:ind w:left="1080" w:hanging="532"/>
        <w:spacing w:after="0" w:line="250"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oxidative stress, which is expected to reduce damage, slow down disease progression and improve network activity. Many therapies in development are focused only on slowing disease progression.</w:t>
      </w:r>
    </w:p>
    <w:p>
      <w:pPr>
        <w:spacing w:after="0" w:line="68"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glia. Many other therapies only have a single mode of activity.</w:t>
      </w:r>
    </w:p>
    <w:p>
      <w:pPr>
        <w:spacing w:after="0" w:line="178"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0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jc w:val="both"/>
        <w:ind w:firstLine="546"/>
        <w:spacing w:after="0" w:line="267" w:lineRule="auto"/>
        <w:rPr>
          <w:sz w:val="20"/>
          <w:szCs w:val="20"/>
          <w:color w:val="auto"/>
        </w:rPr>
      </w:pPr>
      <w:r>
        <w:rPr>
          <w:rFonts w:ascii="Arial" w:cs="Arial" w:eastAsia="Arial" w:hAnsi="Arial"/>
          <w:sz w:val="18"/>
          <w:szCs w:val="18"/>
          <w:i w:val="1"/>
          <w:iCs w:val="1"/>
          <w:color w:val="auto"/>
        </w:rPr>
        <w:t>Figure 4.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130810</wp:posOffset>
            </wp:positionV>
            <wp:extent cx="5246370" cy="3977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4637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5 below illustrates the typical timing of the different beneficial effects as an outcome of activating the HGF/MET system.</w:t>
      </w:r>
    </w:p>
    <w:p>
      <w:pPr>
        <w:spacing w:after="0" w:line="187" w:lineRule="exact"/>
        <w:rPr>
          <w:sz w:val="20"/>
          <w:szCs w:val="20"/>
          <w:color w:val="auto"/>
        </w:rPr>
      </w:pPr>
    </w:p>
    <w:p>
      <w:pPr>
        <w:jc w:val="both"/>
        <w:ind w:firstLine="546"/>
        <w:spacing w:after="0" w:line="250" w:lineRule="auto"/>
        <w:rPr>
          <w:sz w:val="20"/>
          <w:szCs w:val="20"/>
          <w:color w:val="auto"/>
        </w:rPr>
      </w:pPr>
      <w:r>
        <w:rPr>
          <w:rFonts w:ascii="Arial" w:cs="Arial" w:eastAsia="Arial" w:hAnsi="Arial"/>
          <w:sz w:val="18"/>
          <w:szCs w:val="18"/>
          <w:i w:val="1"/>
          <w:iCs w:val="1"/>
          <w:color w:val="auto"/>
        </w:rPr>
        <w:t xml:space="preserve">Figure 5. Our ATH Candidates Are Designed to Promote the HGF/MET System Which May Lead to Both Rapid and Long-term Beneficial Effects. </w:t>
      </w:r>
      <w:r>
        <w:rPr>
          <w:rFonts w:ascii="Arial" w:cs="Arial" w:eastAsia="Arial" w:hAnsi="Arial"/>
          <w:sz w:val="18"/>
          <w:szCs w:val="18"/>
          <w:color w:val="auto"/>
        </w:rPr>
        <w:t>We believe that following administration of ATH-1017, the HGF/MET system will activate and lead to several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We anticipate that these effects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right="20"/>
        <w:spacing w:after="0" w:line="246" w:lineRule="auto"/>
        <w:rPr>
          <w:sz w:val="20"/>
          <w:szCs w:val="20"/>
          <w:color w:val="auto"/>
        </w:rPr>
      </w:pPr>
      <w:r>
        <w:rPr>
          <w:rFonts w:ascii="Arial" w:cs="Arial" w:eastAsia="Arial" w:hAnsi="Arial"/>
          <w:sz w:val="18"/>
          <w:szCs w:val="18"/>
          <w:color w:val="auto"/>
        </w:rPr>
        <w:t>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2245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cognitive processing, we believe we will be able to develop ATH-1017 more efficiently for treatment of AD and broader dementia.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6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Figure 6.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163195</wp:posOffset>
            </wp:positionV>
            <wp:extent cx="5349240" cy="3771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7"/>
          <w:szCs w:val="17"/>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 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Event-related Potential: P300</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Figure 7.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163195</wp:posOffset>
            </wp:positionV>
            <wp:extent cx="5349240" cy="3771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8 below illustrates the latency 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left="560"/>
        <w:spacing w:after="0"/>
        <w:rPr>
          <w:sz w:val="20"/>
          <w:szCs w:val="20"/>
          <w:color w:val="auto"/>
        </w:rPr>
      </w:pPr>
      <w:r>
        <w:rPr>
          <w:rFonts w:ascii="Arial" w:cs="Arial" w:eastAsia="Arial" w:hAnsi="Arial"/>
          <w:sz w:val="18"/>
          <w:szCs w:val="18"/>
          <w:i w:val="1"/>
          <w:iCs w:val="1"/>
          <w:color w:val="auto"/>
        </w:rPr>
        <w:t>Figure 8.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163195</wp:posOffset>
            </wp:positionV>
            <wp:extent cx="4680585" cy="3017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8058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9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9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ATH-1017 study. Both drugs showed a modest improvement in P300 latency, with donepezil demonstrating an improvement of 16 ms and rivastigmine demonstrating an improvement of 22 ms.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ind w:left="560"/>
        <w:spacing w:after="0"/>
        <w:rPr>
          <w:sz w:val="20"/>
          <w:szCs w:val="20"/>
          <w:color w:val="auto"/>
        </w:rPr>
      </w:pPr>
      <w:r>
        <w:rPr>
          <w:rFonts w:ascii="Arial" w:cs="Arial" w:eastAsia="Arial" w:hAnsi="Arial"/>
          <w:sz w:val="18"/>
          <w:szCs w:val="18"/>
          <w:i w:val="1"/>
          <w:iCs w:val="1"/>
          <w:color w:val="auto"/>
        </w:rPr>
        <w:t>Figure 9.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6240780" cy="5589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4078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Adapted from Thomas et al., 2001.</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Figure 10, below, summarizes the correlation between P300 latency and changes in cognition in studies involving approved therapies.</w:t>
      </w: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0" w:name="page21"/>
    <w:bookmarkEnd w:id="20"/>
    <w:p>
      <w:pPr>
        <w:ind w:left="560"/>
        <w:spacing w:after="0"/>
        <w:rPr>
          <w:sz w:val="20"/>
          <w:szCs w:val="20"/>
          <w:color w:val="auto"/>
        </w:rPr>
      </w:pPr>
      <w:r>
        <w:rPr>
          <w:rFonts w:ascii="Arial" w:cs="Arial" w:eastAsia="Arial" w:hAnsi="Arial"/>
          <w:sz w:val="18"/>
          <w:szCs w:val="18"/>
          <w:i w:val="1"/>
          <w:iCs w:val="1"/>
          <w:color w:val="auto"/>
        </w:rPr>
        <w:t>Figure 10.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6223635" cy="1903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36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Source: Results for donepezil and rivastigmine adapted from Thomas et al., 2001; results for memantine adapted from Sallach et al., 2011, and results for scopolamine adapted from Potter et al., 2000.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20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26"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recruited in the study, including 11 subjects with mild-to-moderate AD, who were assigned to treatment and control groups. Additionally, ATH-1017 treatment led to improvements in brain network activity that indicated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It is our goal to establish in current and future clinical trials that administration of ATH-1017 is effective in promoting cognitive improvement. We identified ATH-1017 in 2016 and less than five years later, we are planning to initiate our Phase 2/3 LIFT-AD trial, which has the potential to provide pivotal data in support of registration. In September 2020, we began site initiation and patient screening for our LIFT-AD clinical trial for ATH-1017 for the treatment of mild-to-moderate AD, with topline results expected by the end of 2022. In November 2020, we initiated ACT-AD,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ATH-1017 has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18"/>
          <w:szCs w:val="18"/>
          <w:color w:val="auto"/>
        </w:rPr>
        <w:t>potential to provide meaningful benefit to individuals impacted by AD and substantially enhance overall quality of life for the subjects and their families.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94"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87" w:lineRule="exact"/>
        <w:rPr>
          <w:sz w:val="20"/>
          <w:szCs w:val="20"/>
          <w:color w:val="auto"/>
        </w:rPr>
      </w:pPr>
    </w:p>
    <w:p>
      <w:pPr>
        <w:ind w:firstLine="546"/>
        <w:spacing w:after="0" w:line="267" w:lineRule="auto"/>
        <w:rPr>
          <w:sz w:val="20"/>
          <w:szCs w:val="20"/>
          <w:color w:val="auto"/>
        </w:rPr>
      </w:pPr>
      <w:r>
        <w:rPr>
          <w:rFonts w:ascii="Arial" w:cs="Arial" w:eastAsia="Arial" w:hAnsi="Arial"/>
          <w:sz w:val="18"/>
          <w:szCs w:val="18"/>
          <w:i w:val="1"/>
          <w:iCs w:val="1"/>
          <w:color w:val="auto"/>
        </w:rPr>
        <w:t>Figure 11.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130810</wp:posOffset>
            </wp:positionV>
            <wp:extent cx="5349240" cy="3077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07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firstLine="546"/>
        <w:spacing w:after="0" w:line="24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12.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qEEG and ERP as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Figure 12.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163195</wp:posOffset>
            </wp:positionV>
            <wp:extent cx="5340350" cy="2125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035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the PK profile is compelling, with linear dose relationship, no accumulation, and no sex or age effect. We did not have any subject dropout due to serious adverse events during these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 standards, and who were determined at the investigators’ discretion to be generally in good health as determined by medical history, vital signs, and physical and clinical examination.</w:t>
      </w:r>
    </w:p>
    <w:p>
      <w:pPr>
        <w:spacing w:after="0" w:line="20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3" w:name="page24"/>
    <w:bookmarkEnd w:id="23"/>
    <w:p>
      <w:pPr>
        <w:jc w:val="both"/>
        <w:ind w:right="20"/>
        <w:spacing w:after="0" w:line="246" w:lineRule="auto"/>
        <w:rPr>
          <w:sz w:val="20"/>
          <w:szCs w:val="20"/>
          <w:color w:val="auto"/>
        </w:rPr>
      </w:pPr>
      <w:r>
        <w:rPr>
          <w:rFonts w:ascii="Arial" w:cs="Arial" w:eastAsia="Arial" w:hAnsi="Arial"/>
          <w:sz w:val="18"/>
          <w:szCs w:val="18"/>
          <w:color w:val="auto"/>
        </w:rPr>
        <w:t>decreased in AD subjects. ATH-1017 showed dose-dependent and consistent changes in gamma brain activity signals across all treated cohorts, consistent with the changes observed in non-clinical models.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13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13 below was excluded from analysis due to an inability to capture or analyze data as a result of technical issues such as electrode placement or subject movement. All AD subjects’ data were captured at all data points.</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Figure 13.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163195</wp:posOffset>
            </wp:positionV>
            <wp:extent cx="4603115" cy="1748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0311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14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ind w:left="560"/>
        <w:spacing w:after="0"/>
        <w:rPr>
          <w:sz w:val="20"/>
          <w:szCs w:val="20"/>
          <w:color w:val="auto"/>
        </w:rPr>
      </w:pPr>
      <w:r>
        <w:rPr>
          <w:rFonts w:ascii="Arial" w:cs="Arial" w:eastAsia="Arial" w:hAnsi="Arial"/>
          <w:sz w:val="18"/>
          <w:szCs w:val="18"/>
          <w:i w:val="1"/>
          <w:iCs w:val="1"/>
          <w:color w:val="auto"/>
        </w:rPr>
        <w:t>Figure 14.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163195</wp:posOffset>
            </wp:positionV>
            <wp:extent cx="4534535" cy="2117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345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15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Figure 15.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163195</wp:posOffset>
            </wp:positionV>
            <wp:extent cx="4380230" cy="2366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8023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16–18.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Figure 16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186" w:lineRule="exact"/>
        <w:rPr>
          <w:sz w:val="20"/>
          <w:szCs w:val="20"/>
          <w:color w:val="auto"/>
        </w:rPr>
      </w:pPr>
    </w:p>
    <w:p>
      <w:pPr>
        <w:jc w:val="both"/>
        <w:ind w:firstLine="546"/>
        <w:spacing w:after="0" w:line="267" w:lineRule="auto"/>
        <w:rPr>
          <w:sz w:val="20"/>
          <w:szCs w:val="20"/>
          <w:color w:val="auto"/>
        </w:rPr>
      </w:pPr>
      <w:r>
        <w:rPr>
          <w:rFonts w:ascii="Arial" w:cs="Arial" w:eastAsia="Arial" w:hAnsi="Arial"/>
          <w:sz w:val="18"/>
          <w:szCs w:val="18"/>
          <w:i w:val="1"/>
          <w:iCs w:val="1"/>
          <w:color w:val="auto"/>
        </w:rPr>
        <w:t xml:space="preserve">Figure 16.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130810</wp:posOffset>
            </wp:positionV>
            <wp:extent cx="5340350" cy="2177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035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6" w:name="page27"/>
    <w:bookmarkEnd w:id="26"/>
    <w:p>
      <w:pPr>
        <w:jc w:val="both"/>
        <w:ind w:firstLine="546"/>
        <w:spacing w:after="0" w:line="250" w:lineRule="auto"/>
        <w:rPr>
          <w:sz w:val="20"/>
          <w:szCs w:val="20"/>
          <w:color w:val="auto"/>
        </w:rPr>
      </w:pPr>
      <w:r>
        <w:rPr>
          <w:rFonts w:ascii="Arial" w:cs="Arial" w:eastAsia="Arial" w:hAnsi="Arial"/>
          <w:sz w:val="18"/>
          <w:szCs w:val="18"/>
          <w:i w:val="1"/>
          <w:iCs w:val="1"/>
          <w:color w:val="auto"/>
        </w:rPr>
        <w:t xml:space="preserve">Figure 17.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141605</wp:posOffset>
            </wp:positionV>
            <wp:extent cx="5117465" cy="267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1746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546"/>
        <w:spacing w:after="0" w:line="250" w:lineRule="auto"/>
        <w:rPr>
          <w:sz w:val="20"/>
          <w:szCs w:val="20"/>
          <w:color w:val="auto"/>
        </w:rPr>
      </w:pPr>
      <w:r>
        <w:rPr>
          <w:rFonts w:ascii="Arial" w:cs="Arial" w:eastAsia="Arial" w:hAnsi="Arial"/>
          <w:sz w:val="18"/>
          <w:szCs w:val="18"/>
          <w:i w:val="1"/>
          <w:iCs w:val="1"/>
          <w:color w:val="auto"/>
        </w:rPr>
        <w:t>Figure 18.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141605</wp:posOffset>
            </wp:positionV>
            <wp:extent cx="3848735" cy="2991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4873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7" w:name="page28"/>
    <w:bookmarkEnd w:id="27"/>
    <w:p>
      <w:pPr>
        <w:ind w:left="560"/>
        <w:spacing w:after="0"/>
        <w:rPr>
          <w:sz w:val="20"/>
          <w:szCs w:val="20"/>
          <w:color w:val="auto"/>
        </w:rPr>
      </w:pPr>
      <w:r>
        <w:rPr>
          <w:rFonts w:ascii="Arial" w:cs="Arial" w:eastAsia="Arial" w:hAnsi="Arial"/>
          <w:sz w:val="18"/>
          <w:szCs w:val="18"/>
          <w:i w:val="1"/>
          <w:iCs w:val="1"/>
          <w:color w:val="auto"/>
        </w:rPr>
        <w:t>Safety</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recruited in the study, including 11 subjects with mild-to-moderate AD, who were assigned to treatment and control groups.</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 easy to administer for patients and/or caregivers while being generally well tolerated. With the progression of neurodegenerative disorders, oral administration can become challenging as:</w:t>
      </w:r>
    </w:p>
    <w:p>
      <w:pPr>
        <w:spacing w:after="0" w:line="97"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 swallowing often becomes increasingly difficult;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resistance to care can also impact compliance.</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8" w:name="page29"/>
    <w:bookmarkEnd w:id="28"/>
    <w:p>
      <w:pPr>
        <w:jc w:val="both"/>
        <w:spacing w:after="0" w:line="237" w:lineRule="auto"/>
        <w:rPr>
          <w:sz w:val="20"/>
          <w:szCs w:val="20"/>
          <w:color w:val="auto"/>
        </w:rPr>
      </w:pPr>
      <w:r>
        <w:rPr>
          <w:rFonts w:ascii="Arial" w:cs="Arial" w:eastAsia="Arial" w:hAnsi="Arial"/>
          <w:sz w:val="18"/>
          <w:szCs w:val="18"/>
          <w:color w:val="auto"/>
        </w:rPr>
        <w:t>enroll approximately 240 to 300 AD subjects. Subjects enrolled in the clinical trial will have a severity range within the conventional boundaries for mild-to-moderate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20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20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20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9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22" w:lineRule="exact"/>
        <w:rPr>
          <w:sz w:val="20"/>
          <w:szCs w:val="20"/>
          <w:color w:val="auto"/>
        </w:rPr>
      </w:pPr>
    </w:p>
    <w:p>
      <w:pPr>
        <w:jc w:val="both"/>
        <w:ind w:firstLine="546"/>
        <w:spacing w:after="0" w:line="206" w:lineRule="exact"/>
        <w:rPr>
          <w:sz w:val="20"/>
          <w:szCs w:val="20"/>
          <w:color w:val="auto"/>
        </w:rPr>
      </w:pPr>
      <w:r>
        <w:rPr>
          <w:rFonts w:ascii="Arial" w:cs="Arial" w:eastAsia="Arial" w:hAnsi="Arial"/>
          <w:sz w:val="18"/>
          <w:szCs w:val="18"/>
          <w:color w:val="auto"/>
        </w:rPr>
        <w:t>In addition to LIFT-AD, in November 2020 we initiated ACT</w:t>
      </w:r>
      <w:r>
        <w:rPr>
          <w:rFonts w:ascii="MS PGothic" w:cs="MS PGothic" w:eastAsia="MS PGothic" w:hAnsi="MS PGothic"/>
          <w:sz w:val="18"/>
          <w:szCs w:val="18"/>
          <w:color w:val="auto"/>
        </w:rPr>
        <w:t>‑</w:t>
      </w:r>
      <w:r>
        <w:rPr>
          <w:rFonts w:ascii="Arial" w:cs="Arial" w:eastAsia="Arial" w:hAnsi="Arial"/>
          <w:sz w:val="18"/>
          <w:szCs w:val="18"/>
          <w:color w:val="auto"/>
        </w:rPr>
        <w:t>AD, a randomized, placebo-controlled P300 Phase 2 clinical trial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205" w:lineRule="exact"/>
        <w:rPr>
          <w:sz w:val="20"/>
          <w:szCs w:val="20"/>
          <w:color w:val="auto"/>
        </w:rPr>
      </w:pPr>
    </w:p>
    <w:p>
      <w:pPr>
        <w:jc w:val="both"/>
        <w:ind w:firstLine="546"/>
        <w:spacing w:after="0" w:line="204" w:lineRule="exact"/>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do not meet our expectations. In November 2020, we initiated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in mild-to-moderate AD to better understand the overall effects of ATH-1017 on working memory processing speed and cognitive measures, with topline results expected by early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9" w:name="page30"/>
    <w:bookmarkEnd w:id="29"/>
    <w:p>
      <w:pPr>
        <w:ind w:left="56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2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1 through 4, inclusive, who will receive high and low doses of ATH-1017 versus placebo. Endpoints will include Parkinson’s Disease-Cognitive Rating Scale, or PD-CRS.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8"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 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20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19. Changes in gamma brain activity signals are highly translatable which helped guide our selection of the clinical doses.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ind w:right="20" w:firstLine="546"/>
        <w:spacing w:after="0" w:line="267" w:lineRule="auto"/>
        <w:rPr>
          <w:sz w:val="20"/>
          <w:szCs w:val="20"/>
          <w:color w:val="auto"/>
        </w:rPr>
      </w:pPr>
      <w:r>
        <w:rPr>
          <w:rFonts w:ascii="Arial" w:cs="Arial" w:eastAsia="Arial" w:hAnsi="Arial"/>
          <w:sz w:val="18"/>
          <w:szCs w:val="18"/>
          <w:i w:val="1"/>
          <w:iCs w:val="1"/>
          <w:color w:val="auto"/>
        </w:rPr>
        <w:t>Figure 19.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240"/>
          </w:cols>
          <w:pgMar w:left="320" w:top="445" w:right="339" w:bottom="1440" w:gutter="0" w:footer="0" w:header="0"/>
        </w:sectPr>
      </w:pPr>
    </w:p>
    <w:p>
      <w:pPr>
        <w:spacing w:after="0" w:line="183"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ATH-1017 Induces an Acute Dose-Dependent</w:t>
      </w:r>
    </w:p>
    <w:p>
      <w:pPr>
        <w:spacing w:after="0" w:line="29"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134620</wp:posOffset>
            </wp:positionV>
            <wp:extent cx="2254250" cy="1929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54250" cy="1929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080"/>
        <w:spacing w:after="0"/>
        <w:rPr>
          <w:sz w:val="20"/>
          <w:szCs w:val="20"/>
          <w:color w:val="auto"/>
        </w:rPr>
      </w:pPr>
      <w:r>
        <w:rPr>
          <w:rFonts w:ascii="Arial" w:cs="Arial" w:eastAsia="Arial" w:hAnsi="Arial"/>
          <w:sz w:val="17"/>
          <w:szCs w:val="17"/>
          <w:b w:val="1"/>
          <w:bCs w:val="1"/>
          <w:color w:val="auto"/>
        </w:rPr>
        <w:t>Two Weeks of ATH-1017 Treatment Induced Increased Gamma</w:t>
      </w:r>
    </w:p>
    <w:p>
      <w:pPr>
        <w:spacing w:after="0" w:line="29"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134620</wp:posOffset>
            </wp:positionV>
            <wp:extent cx="2871470" cy="19030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71470" cy="1903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660"/>
            <w:col w:w="6380"/>
          </w:cols>
          <w:pgMar w:left="320" w:top="4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ATH Platform</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77" w:lineRule="exact"/>
        <w:rPr>
          <w:sz w:val="20"/>
          <w:szCs w:val="20"/>
          <w:color w:val="auto"/>
        </w:rPr>
      </w:pPr>
    </w:p>
    <w:p>
      <w:pPr>
        <w:jc w:val="both"/>
        <w:ind w:left="1080" w:hanging="532"/>
        <w:spacing w:after="0" w:line="250"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68"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52" w:lineRule="exact"/>
        <w:rPr>
          <w:rFonts w:ascii="Arial" w:cs="Arial" w:eastAsia="Arial" w:hAnsi="Arial"/>
          <w:sz w:val="18"/>
          <w:szCs w:val="18"/>
          <w:color w:val="auto"/>
        </w:rPr>
      </w:pPr>
    </w:p>
    <w:p>
      <w:pPr>
        <w:jc w:val="both"/>
        <w:ind w:left="1080" w:hanging="532"/>
        <w:spacing w:after="0" w:line="250"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95" w:lineRule="exact"/>
        <w:rPr>
          <w:sz w:val="20"/>
          <w:szCs w:val="20"/>
          <w:color w:val="auto"/>
        </w:rPr>
      </w:pPr>
    </w:p>
    <w:p>
      <w:pPr>
        <w:ind w:right="20" w:firstLine="546"/>
        <w:spacing w:after="0" w:line="24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86" w:lineRule="exact"/>
        <w:rPr>
          <w:sz w:val="20"/>
          <w:szCs w:val="20"/>
          <w:color w:val="auto"/>
        </w:rPr>
      </w:pPr>
    </w:p>
    <w:p>
      <w:pPr>
        <w:jc w:val="both"/>
        <w:ind w:left="1080" w:right="20" w:hanging="532"/>
        <w:spacing w:after="0" w:line="250"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68" w:lineRule="exact"/>
        <w:rPr>
          <w:rFonts w:ascii="Arial" w:cs="Arial" w:eastAsia="Arial" w:hAnsi="Arial"/>
          <w:sz w:val="18"/>
          <w:szCs w:val="18"/>
          <w:color w:val="auto"/>
        </w:rPr>
      </w:pPr>
    </w:p>
    <w:p>
      <w:pPr>
        <w:jc w:val="both"/>
        <w:ind w:left="1080" w:hanging="532"/>
        <w:spacing w:after="0" w:line="250"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 characteristics</w:t>
      </w:r>
      <w:r>
        <w:rPr>
          <w:rFonts w:ascii="Arial" w:cs="Arial" w:eastAsia="Arial" w:hAnsi="Arial"/>
          <w:sz w:val="18"/>
          <w:szCs w:val="18"/>
          <w:i w:val="1"/>
          <w:iCs w:val="1"/>
          <w:color w:val="auto"/>
        </w:rPr>
        <w:t xml:space="preserve"> </w:t>
      </w:r>
      <w:r>
        <w:rPr>
          <w:rFonts w:ascii="Arial" w:cs="Arial" w:eastAsia="Arial" w:hAnsi="Arial"/>
          <w:sz w:val="18"/>
          <w:szCs w:val="18"/>
          <w:color w:val="auto"/>
        </w:rPr>
        <w:t>and optimize for drug-like characteristics with medicinal chemistry and structure-activity relationship studies to produce candidates ready for further development.</w:t>
      </w:r>
    </w:p>
    <w:p>
      <w:pPr>
        <w:spacing w:after="0" w:line="68"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Gain insight to inform future therapeutic development</w:t>
      </w:r>
      <w:r>
        <w:rPr>
          <w:rFonts w:ascii="Arial" w:cs="Arial" w:eastAsia="Arial" w:hAnsi="Arial"/>
          <w:sz w:val="18"/>
          <w:szCs w:val="18"/>
          <w:color w:val="auto"/>
        </w:rPr>
        <w:t>. We consider the drug discovery process as a cycle, with past work</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informing future drug design, ultimately optimizing the process as we advance our knowledge and expertise.</w:t>
      </w:r>
    </w:p>
    <w:p>
      <w:pPr>
        <w:spacing w:after="0" w:line="17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indications, as well as in peripheral indications such as peripheral neuropathy. We are also actively exploring the potential of expanding the focus of our discovery engine to multiple molecular targets relevant to nervous system disorders.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10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Neuropsychiatric Program (ATH-1019 / ATH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1020)</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are currently developing ATH compounds for neuropsychiatric conditions. The HGF/MET system is relevant for multiple neuropsychiatric indications including depression, anxiety and schizophrenia, as well as cognitive impairment often associated with these conditions.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w:t>
      </w:r>
    </w:p>
    <w:p>
      <w:pPr>
        <w:spacing w:after="0" w:line="205" w:lineRule="exact"/>
        <w:rPr>
          <w:sz w:val="20"/>
          <w:szCs w:val="20"/>
          <w:color w:val="auto"/>
        </w:rPr>
      </w:pPr>
    </w:p>
    <w:p>
      <w:pPr>
        <w:jc w:val="both"/>
        <w:ind w:firstLine="546"/>
        <w:spacing w:after="0" w:line="205" w:lineRule="exact"/>
        <w:rPr>
          <w:sz w:val="20"/>
          <w:szCs w:val="20"/>
          <w:color w:val="auto"/>
        </w:rPr>
      </w:pPr>
      <w:r>
        <w:rPr>
          <w:rFonts w:ascii="Arial" w:cs="Arial" w:eastAsia="Arial" w:hAnsi="Arial"/>
          <w:sz w:val="18"/>
          <w:szCs w:val="18"/>
          <w:color w:val="auto"/>
        </w:rPr>
        <w:t>Our lead product candidates for the neuropsychiatric program are ATH-1019 and ATH</w:t>
      </w:r>
      <w:r>
        <w:rPr>
          <w:rFonts w:ascii="MS PGothic" w:cs="MS PGothic" w:eastAsia="MS PGothic" w:hAnsi="MS PGothic"/>
          <w:sz w:val="18"/>
          <w:szCs w:val="18"/>
          <w:color w:val="auto"/>
        </w:rPr>
        <w:t>‑</w:t>
      </w:r>
      <w:r>
        <w:rPr>
          <w:rFonts w:ascii="Arial" w:cs="Arial" w:eastAsia="Arial" w:hAnsi="Arial"/>
          <w:sz w:val="18"/>
          <w:szCs w:val="18"/>
          <w:color w:val="auto"/>
        </w:rPr>
        <w:t>1020. ATH-1020 is a new compound that recently was moved from the discovery stage to the development stage. ATH-1019 and ATH-1020 are novel, small molecule compounds designed to be an orally available once-daily treatment, to activate the HGF/MET system, and to distribute to the CNS. In vivo testing has demonstrated that following oral delivery, ATH</w:t>
      </w:r>
      <w:r>
        <w:rPr>
          <w:rFonts w:ascii="MS PGothic" w:cs="MS PGothic" w:eastAsia="MS PGothic" w:hAnsi="MS PGothic"/>
          <w:sz w:val="18"/>
          <w:szCs w:val="18"/>
          <w:color w:val="auto"/>
        </w:rPr>
        <w:t>‑</w:t>
      </w:r>
      <w:r>
        <w:rPr>
          <w:rFonts w:ascii="Arial" w:cs="Arial" w:eastAsia="Arial" w:hAnsi="Arial"/>
          <w:sz w:val="18"/>
          <w:szCs w:val="18"/>
          <w:color w:val="auto"/>
        </w:rPr>
        <w:t>1019 and ATH</w:t>
      </w:r>
      <w:r>
        <w:rPr>
          <w:rFonts w:ascii="MS PGothic" w:cs="MS PGothic" w:eastAsia="MS PGothic" w:hAnsi="MS PGothic"/>
          <w:sz w:val="18"/>
          <w:szCs w:val="18"/>
          <w:color w:val="auto"/>
        </w:rPr>
        <w:t>‑</w:t>
      </w:r>
      <w:r>
        <w:rPr>
          <w:rFonts w:ascii="Arial" w:cs="Arial" w:eastAsia="Arial" w:hAnsi="Arial"/>
          <w:sz w:val="18"/>
          <w:szCs w:val="18"/>
          <w:color w:val="auto"/>
        </w:rPr>
        <w:t>1020 distribute to the brain and are neuroactive in animals, and have demonstrated anti-depressant effects in the forced swim model of depression, as shown in Figure 20. ATH-1019 has also been shown to improve cognitive function in the rat scopolamine amnesia model of dementia, and testing of ATH-1020 is ongoing. ATH-1019 and ATH-1020 are currently in IND-enabling studies with IND submission targeted by the end of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2" w:name="page33"/>
    <w:bookmarkEnd w:id="32"/>
    <w:p>
      <w:pPr>
        <w:jc w:val="both"/>
        <w:ind w:right="20" w:firstLine="546"/>
        <w:spacing w:after="0" w:line="245" w:lineRule="auto"/>
        <w:rPr>
          <w:sz w:val="20"/>
          <w:szCs w:val="20"/>
          <w:color w:val="auto"/>
        </w:rPr>
      </w:pPr>
      <w:r>
        <w:rPr>
          <w:rFonts w:ascii="Arial" w:cs="Arial" w:eastAsia="Arial" w:hAnsi="Arial"/>
          <w:sz w:val="18"/>
          <w:szCs w:val="18"/>
          <w:i w:val="1"/>
          <w:iCs w:val="1"/>
          <w:color w:val="auto"/>
        </w:rPr>
        <w:t xml:space="preserve">Figure 20. ATH-1019 and ATH-1020 Improve Depressive-like Behaviors in Rats in the Forced Swim Model of Depression. </w:t>
      </w:r>
      <w:r>
        <w:rPr>
          <w:rFonts w:ascii="Arial" w:cs="Arial" w:eastAsia="Arial" w:hAnsi="Arial"/>
          <w:sz w:val="18"/>
          <w:szCs w:val="18"/>
          <w:color w:val="auto"/>
        </w:rPr>
        <w:t>Data show</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frequency of behaviors normalized to vehicle for ten rats per group. ATH-1019 and ATH-1020 significantly improved performance in the forced swim test, by reducing immobility, a depressive-like behavior, and increasing swimming, commonly interpreted as an antidepressant effect, compared to vehicle (*p&lt;0.05).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212725</wp:posOffset>
            </wp:positionV>
            <wp:extent cx="5426075" cy="1988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2607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believe the stimulating activity of ATH compounds on the HGF/MET system is well-suited to address neuropsychiatric conditions because:</w:t>
      </w:r>
    </w:p>
    <w:p>
      <w:pPr>
        <w:spacing w:after="0" w:line="8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546"/>
        <w:spacing w:after="0" w:line="219" w:lineRule="exact"/>
        <w:rPr>
          <w:sz w:val="20"/>
          <w:szCs w:val="20"/>
          <w:color w:val="auto"/>
        </w:rPr>
      </w:pPr>
      <w:r>
        <w:rPr>
          <w:rFonts w:ascii="Arial" w:cs="Arial" w:eastAsia="Arial" w:hAnsi="Arial"/>
          <w:sz w:val="18"/>
          <w:szCs w:val="18"/>
          <w:i w:val="1"/>
          <w:iCs w:val="1"/>
          <w:color w:val="auto"/>
        </w:rPr>
        <w:t>Figure 21. ATH-1019 / ATH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1020 Have the Potential to Rescue HGF/MET Signaling and Promote Activity to Address Neuropsychiatric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146050</wp:posOffset>
            </wp:positionV>
            <wp:extent cx="4997450" cy="360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74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546"/>
        <w:spacing w:after="0" w:line="204" w:lineRule="exact"/>
        <w:rPr>
          <w:sz w:val="20"/>
          <w:szCs w:val="20"/>
          <w:color w:val="auto"/>
        </w:rPr>
      </w:pPr>
      <w:r>
        <w:rPr>
          <w:rFonts w:ascii="Arial" w:cs="Arial" w:eastAsia="Arial" w:hAnsi="Arial"/>
          <w:sz w:val="18"/>
          <w:szCs w:val="18"/>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A similar correlation is observed in patients suffering from other neuropsychiatric disorders. Our HGF activator for the treatment of AD, ATH-1017,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and ATH</w:t>
      </w:r>
      <w:r>
        <w:rPr>
          <w:rFonts w:ascii="MS PGothic" w:cs="MS PGothic" w:eastAsia="MS PGothic" w:hAnsi="MS PGothic"/>
          <w:sz w:val="18"/>
          <w:szCs w:val="18"/>
          <w:color w:val="auto"/>
        </w:rPr>
        <w:t>‑</w:t>
      </w:r>
      <w:r>
        <w:rPr>
          <w:rFonts w:ascii="Arial" w:cs="Arial" w:eastAsia="Arial" w:hAnsi="Arial"/>
          <w:sz w:val="18"/>
          <w:szCs w:val="18"/>
          <w:color w:val="auto"/>
        </w:rPr>
        <w:t>1020 to further development for neuropsychiatric indications and are targeting an IND submission to the FDA by the end of 2021. Late-stage non-clinical development work and potentially early clinical studies will support decisions on selection of the lead product candidate and indication moving forward.</w:t>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Peripheral Indication Program (ATH-1018)</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have initiated a discovery program to evaluate ATH compounds for peripheral nervous system disorders, such as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peripheral nervous system disorders by promoting the regenerative power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jc w:val="both"/>
        <w:spacing w:after="0"/>
        <w:rPr>
          <w:sz w:val="20"/>
          <w:szCs w:val="20"/>
          <w:color w:val="auto"/>
        </w:rPr>
      </w:pPr>
      <w:r>
        <w:rPr>
          <w:rFonts w:ascii="Arial" w:cs="Arial" w:eastAsia="Arial" w:hAnsi="Arial"/>
          <w:sz w:val="18"/>
          <w:szCs w:val="18"/>
          <w:color w:val="auto"/>
        </w:rPr>
        <w:t>HGF/MET system with a small molecule therapy. Consideration of HGF/MET activators as a therapeutic approach for peripheral nervous system disorders including neuropathy was initiated following review of studies demonstrating that HGF/MET activating treatment repaired peripheral nerve injury and reduced neuropathy.</w:t>
      </w:r>
    </w:p>
    <w:p>
      <w:pPr>
        <w:spacing w:after="0" w:line="20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peripheral nervous system disorders including neuropathy given that HGF/MET signaling has been shown to:</w:t>
      </w:r>
    </w:p>
    <w:p>
      <w:pPr>
        <w:spacing w:after="0" w:line="8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 nerve cells from damage and death;</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22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peripheral nervous system disorders is supported by both preclinical and clinical research, and we are evaluating the next generation oral ATH compounds for peripheral activity. We are advancing ATH-1018 to further discovery and development for peripheral nervous system indications and are targeting an IND submission to the FDA by the end of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10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add-on therapy for patients on existing therapies;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5" w:lineRule="exact"/>
        <w:rPr>
          <w:sz w:val="20"/>
          <w:szCs w:val="20"/>
          <w:color w:val="auto"/>
        </w:rPr>
      </w:pPr>
    </w:p>
    <w:p>
      <w:pPr>
        <w:jc w:val="both"/>
        <w:ind w:right="20" w:firstLine="546"/>
        <w:spacing w:after="0"/>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205" w:lineRule="exact"/>
        <w:rPr>
          <w:sz w:val="20"/>
          <w:szCs w:val="20"/>
          <w:color w:val="auto"/>
        </w:rPr>
      </w:pPr>
    </w:p>
    <w:p>
      <w:pPr>
        <w:jc w:val="both"/>
        <w:ind w:firstLine="546"/>
        <w:spacing w:after="0" w:line="206" w:lineRule="exact"/>
        <w:rPr>
          <w:sz w:val="20"/>
          <w:szCs w:val="20"/>
          <w:color w:val="auto"/>
        </w:rPr>
      </w:pPr>
      <w:r>
        <w:rPr>
          <w:rFonts w:ascii="Arial" w:cs="Arial" w:eastAsia="Arial" w:hAnsi="Arial"/>
          <w:sz w:val="18"/>
          <w:szCs w:val="18"/>
          <w:color w:val="auto"/>
        </w:rPr>
        <w:t>We have enough ATH-1017 supply to begin our LIFT-AD and our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final drug product profile is a ready-to -use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both"/>
        <w:ind w:firstLine="546"/>
        <w:spacing w:after="0" w:line="24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 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204"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 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jc w:val="both"/>
        <w:ind w:firstLine="546"/>
        <w:spacing w:after="0" w:line="238"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9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As of December 31, 2020, our patent portfolio consisted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97"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ATH-1017 and related compounds, including but not limited to ATH-1019 and ATH-1020;</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methods of using ATH-1017;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methods of using related compounds, including but not limited to ATH-1019 and ATH-1020.</w:t>
      </w:r>
    </w:p>
    <w:p>
      <w:pPr>
        <w:spacing w:after="0" w:line="22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20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8"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70"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We do not expect WSU’s joint ownership of the patent with Pacific Northwest Biotechnology, Inc. will materially affect our license of such patent or the development of any of our product candidates to which the patent relates.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initiation of our first Phase 2 clinical trial in September 2020 triggered a $50,000 liability to WSU.</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also be obligated to pay to WSU the following if the related milestones are reached:</w:t>
      </w:r>
    </w:p>
    <w:p>
      <w:pPr>
        <w:spacing w:after="0" w:line="104" w:lineRule="exact"/>
        <w:rPr>
          <w:sz w:val="20"/>
          <w:szCs w:val="20"/>
          <w:color w:val="auto"/>
        </w:rPr>
      </w:pPr>
    </w:p>
    <w:p>
      <w:pPr>
        <w:ind w:left="1080" w:hanging="532"/>
        <w:spacing w:after="0" w:line="24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right="20" w:firstLine="54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report,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Grant Liability</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the Company’s initial public offering in September 2020 was a triggering event under the terms of the grant and the liability was remeasured to the pay-off amount of $1.5 million as of September 30, 2020 and repaid in full as of December 31,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ind w:left="56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for Alzheimer’s research in the amount of approximately $7.8 million with the potential for an additional $7.4 million up to an aggregate of $15.2 million, subject to the availability of funds and satisfactory progress of the research. As this grant involves federally funded research, per the Bayh-Dole Act, we will be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report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080" w:hanging="532"/>
        <w:spacing w:after="0" w:line="24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jc w:val="both"/>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94"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9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86" w:lineRule="exact"/>
        <w:rPr>
          <w:sz w:val="20"/>
          <w:szCs w:val="20"/>
          <w:color w:val="auto"/>
        </w:rPr>
      </w:pPr>
    </w:p>
    <w:p>
      <w:pPr>
        <w:jc w:val="both"/>
        <w:ind w:left="1080" w:hanging="532"/>
        <w:spacing w:after="0" w:line="242"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product candidate is initially introduced into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6" w:lineRule="exact"/>
        <w:rPr>
          <w:rFonts w:ascii="Arial" w:cs="Arial" w:eastAsia="Arial" w:hAnsi="Arial"/>
          <w:sz w:val="18"/>
          <w:szCs w:val="18"/>
          <w:color w:val="auto"/>
        </w:rPr>
      </w:pPr>
    </w:p>
    <w:p>
      <w:pPr>
        <w:jc w:val="both"/>
        <w:ind w:left="1080" w:hanging="532"/>
        <w:spacing w:after="0" w:line="24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1" w:name="page42"/>
    <w:bookmarkEnd w:id="41"/>
    <w:p>
      <w:pPr>
        <w:jc w:val="both"/>
        <w:ind w:left="1080" w:hanging="532"/>
        <w:spacing w:after="0" w:line="24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2" w:name="page43"/>
    <w:bookmarkEnd w:id="42"/>
    <w:p>
      <w:pPr>
        <w:jc w:val="both"/>
        <w:ind w:firstLine="546"/>
        <w:spacing w:after="0" w:line="236"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2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2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jc w:val="both"/>
        <w:spacing w:after="0" w:line="236" w:lineRule="auto"/>
        <w:rPr>
          <w:sz w:val="20"/>
          <w:szCs w:val="20"/>
          <w:color w:val="auto"/>
        </w:rPr>
      </w:pPr>
      <w:r>
        <w:rPr>
          <w:rFonts w:ascii="Arial" w:cs="Arial" w:eastAsia="Arial" w:hAnsi="Arial"/>
          <w:sz w:val="18"/>
          <w:szCs w:val="18"/>
          <w:color w:val="auto"/>
        </w:rPr>
        <w:t>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1080" w:hanging="532"/>
        <w:spacing w:after="0" w:line="24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holds on post-approval or Phase IV clinical studies, if applicable;</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20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6" w:name="page47"/>
    <w:bookmarkEnd w:id="46"/>
    <w:p>
      <w:pPr>
        <w:jc w:val="both"/>
        <w:ind w:firstLine="546"/>
        <w:spacing w:after="0" w:line="236"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20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204"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The U.S. Supreme Court granted the petitions for writs of certiorari to review the case in March 2020, held oral arguments in November 2020, and is expected to issue a decision by mid-2021.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the Supreme Court will rule on these challenges, how future litigation will impact our business, or what other healthcare measures and regulations will ultimately be implemented at the federal or state level or the effect of any future legislation or regulation may have on our business.</w:t>
      </w:r>
    </w:p>
    <w:p>
      <w:pPr>
        <w:spacing w:after="0" w:line="21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2021,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8" w:name="page49"/>
    <w:bookmarkEnd w:id="48"/>
    <w:p>
      <w:pPr>
        <w:jc w:val="both"/>
        <w:spacing w:after="0" w:line="235" w:lineRule="auto"/>
        <w:rPr>
          <w:sz w:val="20"/>
          <w:szCs w:val="20"/>
          <w:color w:val="auto"/>
        </w:rPr>
      </w:pPr>
      <w:r>
        <w:rPr>
          <w:rFonts w:ascii="Arial" w:cs="Arial" w:eastAsia="Arial" w:hAnsi="Arial"/>
          <w:sz w:val="18"/>
          <w:szCs w:val="18"/>
          <w:color w:val="auto"/>
        </w:rPr>
        <w:t>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The impact of these lawsuits as well as legislative, executive, and administrative actions of the Biden administration on us and the pharmaceutical industry as a whole is unclear.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 The implementation of cost containment measures or other healthcare reforms may prevent us from being able to generate revenue, attain profitability or commercialize our product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As of December 31, 2020, we had 22 employees, 20 of whom were full-time and ten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(206) 221-8112.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make available on or through our website certain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Annual Report on Form</w:t>
      </w:r>
      <w:r>
        <w:rPr>
          <w:rFonts w:ascii="Arial" w:cs="Arial" w:eastAsia="Arial" w:hAnsi="Arial"/>
          <w:sz w:val="18"/>
          <w:szCs w:val="18"/>
          <w:color w:val="231F20"/>
        </w:rPr>
        <w:t xml:space="preserve"> </w:t>
      </w:r>
      <w:r>
        <w:rPr>
          <w:rFonts w:ascii="Arial" w:cs="Arial" w:eastAsia="Arial" w:hAnsi="Arial"/>
          <w:sz w:val="18"/>
          <w:szCs w:val="18"/>
          <w:i w:val="1"/>
          <w:iCs w:val="1"/>
          <w:color w:val="231F20"/>
        </w:rPr>
        <w:t>10-K</w:t>
      </w:r>
      <w:r>
        <w:rPr>
          <w:rFonts w:ascii="Arial" w:cs="Arial" w:eastAsia="Arial" w:hAnsi="Arial"/>
          <w:sz w:val="18"/>
          <w:szCs w:val="18"/>
          <w:color w:val="231F20"/>
        </w:rPr>
        <w:t>, including the “Management’s Discussion and Analysis of Financial Condition and Results of Operations” section</w:t>
      </w:r>
      <w:r>
        <w:rPr>
          <w:rFonts w:ascii="Arial" w:cs="Arial" w:eastAsia="Arial" w:hAnsi="Arial"/>
          <w:sz w:val="18"/>
          <w:szCs w:val="18"/>
          <w:i w:val="1"/>
          <w:iCs w:val="1"/>
          <w:color w:val="231F20"/>
        </w:rPr>
        <w:t xml:space="preserve"> and our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07" w:lineRule="exact"/>
        <w:rPr>
          <w:sz w:val="20"/>
          <w:szCs w:val="20"/>
          <w:color w:val="auto"/>
        </w:rPr>
      </w:pPr>
    </w:p>
    <w:p>
      <w:pPr>
        <w:jc w:val="both"/>
        <w:ind w:firstLine="546"/>
        <w:spacing w:after="0" w:line="252" w:lineRule="auto"/>
        <w:rPr>
          <w:sz w:val="20"/>
          <w:szCs w:val="20"/>
          <w:color w:val="auto"/>
        </w:rPr>
      </w:pPr>
      <w:r>
        <w:rPr>
          <w:rFonts w:ascii="Arial" w:cs="Arial" w:eastAsia="Arial" w:hAnsi="Arial"/>
          <w:sz w:val="17"/>
          <w:szCs w:val="17"/>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80"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94" w:lineRule="exact"/>
        <w:rPr>
          <w:sz w:val="20"/>
          <w:szCs w:val="20"/>
          <w:color w:val="auto"/>
        </w:rPr>
      </w:pPr>
    </w:p>
    <w:p>
      <w:pPr>
        <w:jc w:val="both"/>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the novel coronavirus disease, or COVID-19, pandemic or other causes;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ind w:left="1080" w:hanging="532"/>
        <w:spacing w:after="0" w:line="24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89"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88" w:lineRule="exact"/>
        <w:rPr>
          <w:rFonts w:ascii="Arial" w:cs="Arial" w:eastAsia="Arial" w:hAnsi="Arial"/>
          <w:sz w:val="18"/>
          <w:szCs w:val="18"/>
          <w:color w:val="auto"/>
        </w:rPr>
      </w:pPr>
    </w:p>
    <w:p>
      <w:pPr>
        <w:jc w:val="both"/>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4"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0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jc w:val="both"/>
        <w:spacing w:after="0" w:line="236" w:lineRule="auto"/>
        <w:rPr>
          <w:sz w:val="20"/>
          <w:szCs w:val="20"/>
          <w:color w:val="auto"/>
        </w:rPr>
      </w:pPr>
      <w:r>
        <w:rPr>
          <w:rFonts w:ascii="Arial" w:cs="Arial" w:eastAsia="Arial" w:hAnsi="Arial"/>
          <w:sz w:val="18"/>
          <w:szCs w:val="18"/>
          <w:color w:val="auto"/>
        </w:rPr>
        <w:t>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117" w:lineRule="exact"/>
        <w:rPr>
          <w:rFonts w:ascii="Arial" w:cs="Arial" w:eastAsia="Arial" w:hAnsi="Arial"/>
          <w:sz w:val="18"/>
          <w:szCs w:val="18"/>
          <w:color w:val="auto"/>
        </w:rPr>
      </w:pPr>
    </w:p>
    <w:p>
      <w:pPr>
        <w:jc w:val="both"/>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94"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311" w:lineRule="exact"/>
        <w:rPr>
          <w:sz w:val="20"/>
          <w:szCs w:val="20"/>
          <w:color w:val="auto"/>
        </w:rPr>
      </w:pPr>
    </w:p>
    <w:p>
      <w:pPr>
        <w:jc w:val="both"/>
        <w:ind w:firstLine="546"/>
        <w:spacing w:after="0" w:line="244"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90"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Alzheimer’s disease, or AD, and other central nervous system, or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0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a single clinical site and we cannot be certain that future trials involving a larger number of subjects and clinical sites will yield similar data. Additionally, in our Phase 1a and 1b clinical trials, we used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both"/>
        <w:spacing w:after="0" w:line="251" w:lineRule="auto"/>
        <w:rPr>
          <w:sz w:val="20"/>
          <w:szCs w:val="20"/>
          <w:color w:val="auto"/>
        </w:rPr>
      </w:pPr>
      <w:r>
        <w:rPr>
          <w:rFonts w:ascii="Arial" w:cs="Arial" w:eastAsia="Arial" w:hAnsi="Arial"/>
          <w:sz w:val="17"/>
          <w:szCs w:val="17"/>
          <w:color w:val="auto"/>
        </w:rPr>
        <w:t>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85"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91" w:lineRule="exact"/>
        <w:rPr>
          <w:sz w:val="20"/>
          <w:szCs w:val="20"/>
          <w:color w:val="auto"/>
        </w:rPr>
      </w:pPr>
    </w:p>
    <w:p>
      <w:pPr>
        <w:jc w:val="both"/>
        <w:ind w:firstLine="546"/>
        <w:spacing w:after="0" w:line="24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88"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Our lead product candidate, ATH-1017, is in clinical development for the potential treatment of AD and Parkinson’s disease dementia, or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spacing w:after="0" w:line="235" w:lineRule="auto"/>
        <w:rPr>
          <w:sz w:val="20"/>
          <w:szCs w:val="20"/>
          <w:color w:val="auto"/>
        </w:rPr>
      </w:pPr>
      <w:r>
        <w:rPr>
          <w:rFonts w:ascii="Arial" w:cs="Arial" w:eastAsia="Arial" w:hAnsi="Arial"/>
          <w:sz w:val="18"/>
          <w:szCs w:val="18"/>
          <w:color w:val="auto"/>
        </w:rPr>
        <w:t>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1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7"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0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5"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5" w:name="page56"/>
    <w:bookmarkEnd w:id="55"/>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311"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6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8"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8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7" w:name="page58"/>
    <w:bookmarkEnd w:id="57"/>
    <w:p>
      <w:pPr>
        <w:jc w:val="both"/>
        <w:ind w:firstLine="546"/>
        <w:spacing w:after="0" w:line="236"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report titled “Business—Competition.”</w:t>
      </w:r>
    </w:p>
    <w:p>
      <w:pPr>
        <w:spacing w:after="0" w:line="29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6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91"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8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9" w:name="page60"/>
    <w:bookmarkEnd w:id="59"/>
    <w:p>
      <w:pPr>
        <w:ind w:left="56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10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In addition, we have a number of clinical trial sites in the state of California which, due to state and local shelter-in-place orders, are not able to enroll patients at this time. If these restrictions are not lifted in the near-term, it could impact the overall enrollment rate for our ongoing trials.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205"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89" w:lineRule="exact"/>
        <w:rPr>
          <w:sz w:val="20"/>
          <w:szCs w:val="20"/>
          <w:color w:val="auto"/>
        </w:rPr>
      </w:pPr>
    </w:p>
    <w:p>
      <w:pPr>
        <w:jc w:val="both"/>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94"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6"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7" w:lineRule="exact"/>
        <w:rPr>
          <w:rFonts w:ascii="Arial" w:cs="Arial" w:eastAsia="Arial" w:hAnsi="Arial"/>
          <w:sz w:val="18"/>
          <w:szCs w:val="18"/>
          <w:color w:val="auto"/>
        </w:rPr>
      </w:pPr>
    </w:p>
    <w:p>
      <w:pPr>
        <w:jc w:val="both"/>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94"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0" w:name="page61"/>
    <w:bookmarkEnd w:id="60"/>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9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ind w:left="56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10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68"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$19.9 million and $5.2 million for the years ended December 31</w:t>
      </w:r>
      <w:r>
        <w:rPr>
          <w:rFonts w:ascii="Arial" w:cs="Arial" w:eastAsia="Arial" w:hAnsi="Arial"/>
          <w:sz w:val="18"/>
          <w:szCs w:val="18"/>
          <w:color w:val="212529"/>
        </w:rPr>
        <w:t>, 2020</w:t>
      </w:r>
      <w:r>
        <w:rPr>
          <w:rFonts w:ascii="Arial" w:cs="Arial" w:eastAsia="Arial" w:hAnsi="Arial"/>
          <w:sz w:val="18"/>
          <w:szCs w:val="18"/>
          <w:color w:val="auto"/>
        </w:rPr>
        <w:t xml:space="preserve"> </w:t>
      </w:r>
      <w:r>
        <w:rPr>
          <w:rFonts w:ascii="Arial" w:cs="Arial" w:eastAsia="Arial" w:hAnsi="Arial"/>
          <w:sz w:val="18"/>
          <w:szCs w:val="18"/>
          <w:color w:val="212529"/>
        </w:rPr>
        <w:t>and 2019, respectively, and an accumulated deficit of $41.0 million as of December 31, 2020.</w:t>
      </w:r>
    </w:p>
    <w:p>
      <w:pPr>
        <w:spacing w:after="0" w:line="20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2" w:name="page63"/>
    <w:bookmarkEnd w:id="62"/>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8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w:t>
      </w:r>
      <w:r>
        <w:rPr>
          <w:rFonts w:ascii="Arial" w:cs="Arial" w:eastAsia="Arial" w:hAnsi="Arial"/>
          <w:sz w:val="18"/>
          <w:szCs w:val="18"/>
          <w:color w:val="212529"/>
        </w:rPr>
        <w:t>obtain</w:t>
      </w:r>
      <w:r>
        <w:rPr>
          <w:rFonts w:ascii="Arial" w:cs="Arial" w:eastAsia="Arial" w:hAnsi="Arial"/>
          <w:sz w:val="18"/>
          <w:szCs w:val="18"/>
          <w:color w:val="auto"/>
        </w:rPr>
        <w:t xml:space="preserve"> </w:t>
      </w:r>
      <w:r>
        <w:rPr>
          <w:rFonts w:ascii="Arial" w:cs="Arial" w:eastAsia="Arial" w:hAnsi="Arial"/>
          <w:sz w:val="18"/>
          <w:szCs w:val="18"/>
          <w:color w:val="212529"/>
        </w:rPr>
        <w:t>marketing approval for ATH-1017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212529"/>
        </w:rPr>
        <w:t>Accordingly, we will need to obtain substantial additional funding in connection with our continuing operations. As of December 31, 2020, we had cash, cash equivalents, and investments of $268.2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89" w:lineRule="exact"/>
        <w:rPr>
          <w:sz w:val="20"/>
          <w:szCs w:val="20"/>
          <w:color w:val="auto"/>
        </w:rPr>
      </w:pPr>
    </w:p>
    <w:p>
      <w:pPr>
        <w:ind w:left="1080" w:hanging="532"/>
        <w:spacing w:after="0" w:line="24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rFonts w:ascii="Arial" w:cs="Arial" w:eastAsia="Arial" w:hAnsi="Arial"/>
          <w:sz w:val="18"/>
          <w:szCs w:val="18"/>
          <w:color w:val="auto"/>
        </w:rPr>
      </w:pPr>
    </w:p>
    <w:p>
      <w:pPr>
        <w:jc w:val="both"/>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94"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3" w:name="page64"/>
    <w:bookmarkEnd w:id="63"/>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212529"/>
        </w:rPr>
        <w:t xml:space="preserve">As of December 31, 2020, we had federal net operating loss carryforwards, or NOLs, to offset future taxable income of approximately $9.4 million and federal tax credit carryforwards of approximately $1.3 million. The federal NOLs generated during and after fiscal 2018 totaling $29.1 million are carried forward indefinitely, while all others, if not utilized, will expire in various </w:t>
      </w:r>
      <w:r>
        <w:rPr>
          <w:rFonts w:ascii="Arial" w:cs="Arial" w:eastAsia="Arial" w:hAnsi="Arial"/>
          <w:sz w:val="18"/>
          <w:szCs w:val="18"/>
          <w:color w:val="000000"/>
        </w:rPr>
        <w:t>years</w:t>
      </w:r>
      <w:r>
        <w:rPr>
          <w:rFonts w:ascii="Arial" w:cs="Arial" w:eastAsia="Arial" w:hAnsi="Arial"/>
          <w:sz w:val="18"/>
          <w:szCs w:val="18"/>
          <w:color w:val="212529"/>
        </w:rPr>
        <w:t xml:space="preserve">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4" w:lineRule="exact"/>
        <w:rPr>
          <w:sz w:val="20"/>
          <w:szCs w:val="20"/>
          <w:color w:val="auto"/>
        </w:rPr>
      </w:pPr>
    </w:p>
    <w:p>
      <w:pPr>
        <w:jc w:val="both"/>
        <w:ind w:firstLine="546"/>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4" w:name="page65"/>
    <w:bookmarkEnd w:id="64"/>
    <w:p>
      <w:pPr>
        <w:jc w:val="both"/>
        <w:spacing w:after="0" w:line="237" w:lineRule="auto"/>
        <w:rPr>
          <w:sz w:val="20"/>
          <w:szCs w:val="20"/>
          <w:color w:val="auto"/>
        </w:rPr>
      </w:pPr>
      <w:r>
        <w:rPr>
          <w:rFonts w:ascii="Arial" w:cs="Arial" w:eastAsia="Arial" w:hAnsi="Arial"/>
          <w:sz w:val="18"/>
          <w:szCs w:val="18"/>
          <w:color w:val="auto"/>
        </w:rPr>
        <w:t>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080" w:hanging="532"/>
        <w:spacing w:after="0" w:line="24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88" w:lineRule="exact"/>
        <w:rPr>
          <w:rFonts w:ascii="Arial" w:cs="Arial" w:eastAsia="Arial" w:hAnsi="Arial"/>
          <w:sz w:val="18"/>
          <w:szCs w:val="18"/>
          <w:color w:val="auto"/>
        </w:rPr>
      </w:pPr>
    </w:p>
    <w:p>
      <w:pPr>
        <w:jc w:val="both"/>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94"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9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0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jc w:val="both"/>
        <w:ind w:firstLine="546"/>
        <w:spacing w:after="0" w:line="247"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8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03"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1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6" w:name="page67"/>
    <w:bookmarkEnd w:id="66"/>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91"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8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7" w:lineRule="exact"/>
        <w:rPr>
          <w:sz w:val="20"/>
          <w:szCs w:val="20"/>
          <w:color w:val="auto"/>
        </w:rPr>
      </w:pPr>
    </w:p>
    <w:p>
      <w:pPr>
        <w:ind w:left="1080" w:right="20" w:hanging="532"/>
        <w:spacing w:after="0" w:line="24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7" w:name="page68"/>
    <w:bookmarkEnd w:id="67"/>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92" w:lineRule="exact"/>
        <w:rPr>
          <w:sz w:val="20"/>
          <w:szCs w:val="20"/>
          <w:color w:val="auto"/>
        </w:rPr>
      </w:pPr>
    </w:p>
    <w:p>
      <w:pPr>
        <w:jc w:val="both"/>
        <w:ind w:firstLine="546"/>
        <w:spacing w:after="0" w:line="244"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8" w:name="page69"/>
    <w:bookmarkEnd w:id="68"/>
    <w:p>
      <w:pPr>
        <w:jc w:val="both"/>
        <w:ind w:firstLine="546"/>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the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89" w:lineRule="exact"/>
        <w:rPr>
          <w:sz w:val="20"/>
          <w:szCs w:val="20"/>
          <w:color w:val="auto"/>
        </w:rPr>
      </w:pPr>
    </w:p>
    <w:p>
      <w:pPr>
        <w:jc w:val="both"/>
        <w:ind w:firstLine="546"/>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9" w:name="page70"/>
    <w:bookmarkEnd w:id="69"/>
    <w:p>
      <w:pPr>
        <w:jc w:val="both"/>
        <w:spacing w:after="0"/>
        <w:rPr>
          <w:sz w:val="20"/>
          <w:szCs w:val="20"/>
          <w:color w:val="auto"/>
        </w:rPr>
      </w:pPr>
      <w:r>
        <w:rPr>
          <w:rFonts w:ascii="Arial" w:cs="Arial" w:eastAsia="Arial" w:hAnsi="Arial"/>
          <w:sz w:val="18"/>
          <w:szCs w:val="18"/>
          <w:color w:val="auto"/>
        </w:rPr>
        <w:t>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89"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7"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97"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w:t>
      </w:r>
    </w:p>
    <w:p>
      <w:pPr>
        <w:spacing w:after="0" w:line="21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For example, various portions of the ACA are currently undergoing legal and constitutional challenges in the United States Supreme Court, which is expected to rule on the constitutionality of the ACA by mid-2021. On January 28, 2021, President Biden issued an executive order to initiate a special enrollment period from February 15, 2021 through May 15, 2021 for purposes of obtaining health insurance coverage through the ACA marketplace, which also instructs certain governmental agencies to review and reconsider their existing policies and rules that limit access to healthcare. We cannot predict how the Supreme Court will rule on the ACA litigation, how future litigation will impact our business, or what other healthcare measures and regulations will ultimately be implemented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0" w:name="page71"/>
    <w:bookmarkEnd w:id="70"/>
    <w:p>
      <w:pPr>
        <w:jc w:val="both"/>
        <w:spacing w:after="0"/>
        <w:rPr>
          <w:sz w:val="20"/>
          <w:szCs w:val="20"/>
          <w:color w:val="auto"/>
        </w:rPr>
      </w:pPr>
      <w:r>
        <w:rPr>
          <w:rFonts w:ascii="Arial" w:cs="Arial" w:eastAsia="Arial" w:hAnsi="Arial"/>
          <w:sz w:val="18"/>
          <w:szCs w:val="18"/>
          <w:color w:val="auto"/>
        </w:rPr>
        <w:t>at the federal or state level or the effect of any future legislation or regulation may have on our business. Complying with any new legislation or reversing changes implemented under the ACA could be time-intensive and expensive, resulting in a material adverse effect on our business.</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w:t>
      </w:r>
    </w:p>
    <w:p>
      <w:pPr>
        <w:spacing w:after="0" w:line="204"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The impact of these lawsuits as well as legislative, executive, and administrative actions of the Biden administration on us and the pharmaceutical industry as a whole is unclear.</w:t>
      </w:r>
    </w:p>
    <w:p>
      <w:pPr>
        <w:spacing w:after="0" w:line="214"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18"/>
          <w:szCs w:val="18"/>
          <w:color w:val="auto"/>
        </w:rPr>
        <w:t>the method of delivery or payment for healthcare products and services could negatively impact our business, operations and financial condition.</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4"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9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1" w:lineRule="exact"/>
        <w:rPr>
          <w:sz w:val="20"/>
          <w:szCs w:val="20"/>
          <w:color w:val="auto"/>
        </w:rPr>
      </w:pPr>
    </w:p>
    <w:p>
      <w:pPr>
        <w:jc w:val="both"/>
        <w:ind w:firstLine="546"/>
        <w:spacing w:after="0" w:line="244"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90"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080" w:hanging="532"/>
        <w:spacing w:after="0" w:line="24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jc w:val="both"/>
        <w:ind w:left="540"/>
        <w:spacing w:after="0" w:line="236" w:lineRule="auto"/>
        <w:rPr>
          <w:sz w:val="20"/>
          <w:szCs w:val="20"/>
          <w:color w:val="auto"/>
        </w:rPr>
      </w:pPr>
      <w:r>
        <w:rPr>
          <w:rFonts w:ascii="Arial" w:cs="Arial" w:eastAsia="Arial" w:hAnsi="Arial"/>
          <w:sz w:val="18"/>
          <w:szCs w:val="18"/>
          <w:color w:val="auto"/>
        </w:rPr>
        <w:t>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7" w:lineRule="exact"/>
        <w:rPr>
          <w:sz w:val="20"/>
          <w:szCs w:val="20"/>
          <w:color w:val="auto"/>
        </w:rPr>
      </w:pPr>
    </w:p>
    <w:p>
      <w:pPr>
        <w:jc w:val="both"/>
        <w:ind w:left="540" w:hanging="532"/>
        <w:spacing w:after="0" w:line="236"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96" w:lineRule="exact"/>
        <w:rPr>
          <w:rFonts w:ascii="Arial" w:cs="Arial" w:eastAsia="Arial" w:hAnsi="Arial"/>
          <w:sz w:val="18"/>
          <w:szCs w:val="18"/>
          <w:color w:val="auto"/>
        </w:rPr>
      </w:pPr>
    </w:p>
    <w:p>
      <w:pPr>
        <w:jc w:val="both"/>
        <w:ind w:left="540" w:hanging="532"/>
        <w:spacing w:after="0" w:line="236"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9" w:lineRule="exact"/>
        <w:rPr>
          <w:rFonts w:ascii="Arial" w:cs="Arial" w:eastAsia="Arial" w:hAnsi="Arial"/>
          <w:sz w:val="18"/>
          <w:szCs w:val="18"/>
          <w:color w:val="auto"/>
        </w:rPr>
      </w:pPr>
    </w:p>
    <w:p>
      <w:pPr>
        <w:jc w:val="both"/>
        <w:ind w:left="540" w:hanging="532"/>
        <w:spacing w:after="0" w:line="236"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9"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53340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860" w:top="140" w:right="339" w:bottom="1440" w:gutter="0" w:footer="0" w:header="0"/>
        </w:sectPr>
      </w:pPr>
    </w:p>
    <w:bookmarkStart w:id="73" w:name="page74"/>
    <w:bookmarkEnd w:id="73"/>
    <w:p>
      <w:pPr>
        <w:jc w:val="both"/>
        <w:ind w:left="1080"/>
        <w:spacing w:after="0" w:line="238" w:lineRule="auto"/>
        <w:rPr>
          <w:sz w:val="20"/>
          <w:szCs w:val="20"/>
          <w:color w:val="auto"/>
        </w:rPr>
      </w:pPr>
      <w:r>
        <w:rPr>
          <w:rFonts w:ascii="Arial" w:cs="Arial" w:eastAsia="Arial" w:hAnsi="Arial"/>
          <w:sz w:val="18"/>
          <w:szCs w:val="18"/>
          <w:color w:val="auto"/>
        </w:rPr>
        <w:t>podiatrists and chiropractors) and teaching hospitals, as well as ownership and investment interests held by physicians and their immediate family members. Effective January 1, 2022, these reporting obligations will extend to include payments and transfers of value made during the previous year to certain non-physician providers such as physician assistants and nurse practitioners.</w:t>
      </w:r>
    </w:p>
    <w:p>
      <w:pPr>
        <w:spacing w:after="0" w:line="96" w:lineRule="exact"/>
        <w:rPr>
          <w:sz w:val="20"/>
          <w:szCs w:val="20"/>
          <w:color w:val="auto"/>
        </w:rPr>
      </w:pPr>
    </w:p>
    <w:p>
      <w:pPr>
        <w:ind w:left="1080" w:hanging="532"/>
        <w:spacing w:after="0" w:line="246"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jc w:val="both"/>
        <w:ind w:left="1080" w:hanging="532"/>
        <w:spacing w:after="0" w:line="236"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93"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8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jc w:val="both"/>
        <w:spacing w:after="0" w:line="238" w:lineRule="auto"/>
        <w:rPr>
          <w:sz w:val="20"/>
          <w:szCs w:val="20"/>
          <w:color w:val="auto"/>
        </w:rPr>
      </w:pPr>
      <w:r>
        <w:rPr>
          <w:rFonts w:ascii="Arial" w:cs="Arial" w:eastAsia="Arial" w:hAnsi="Arial"/>
          <w:sz w:val="18"/>
          <w:szCs w:val="18"/>
          <w:color w:val="auto"/>
        </w:rPr>
        <w:t>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88"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89"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5" w:name="page76"/>
    <w:bookmarkEnd w:id="75"/>
    <w:p>
      <w:pPr>
        <w:ind w:left="56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4"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97"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0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6" w:name="page77"/>
    <w:bookmarkEnd w:id="76"/>
    <w:p>
      <w:pPr>
        <w:jc w:val="both"/>
        <w:ind w:firstLine="546"/>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8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6" w:lineRule="exact"/>
        <w:rPr>
          <w:sz w:val="20"/>
          <w:szCs w:val="20"/>
          <w:color w:val="auto"/>
        </w:rPr>
      </w:pPr>
    </w:p>
    <w:p>
      <w:pPr>
        <w:jc w:val="both"/>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7" w:name="page78"/>
    <w:bookmarkEnd w:id="77"/>
    <w:p>
      <w:pPr>
        <w:jc w:val="both"/>
        <w:spacing w:after="0" w:line="237" w:lineRule="auto"/>
        <w:rPr>
          <w:sz w:val="20"/>
          <w:szCs w:val="20"/>
          <w:color w:val="auto"/>
        </w:rPr>
      </w:pPr>
      <w:r>
        <w:rPr>
          <w:rFonts w:ascii="Arial" w:cs="Arial" w:eastAsia="Arial" w:hAnsi="Arial"/>
          <w:sz w:val="18"/>
          <w:szCs w:val="18"/>
          <w:color w:val="auto"/>
        </w:rPr>
        <w:t>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89"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8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0"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92"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8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jc w:val="both"/>
        <w:spacing w:after="0" w:line="246" w:lineRule="auto"/>
        <w:rPr>
          <w:sz w:val="20"/>
          <w:szCs w:val="20"/>
          <w:color w:val="auto"/>
        </w:rPr>
      </w:pPr>
      <w:r>
        <w:rPr>
          <w:rFonts w:ascii="Arial" w:cs="Arial" w:eastAsia="Arial" w:hAnsi="Arial"/>
          <w:sz w:val="18"/>
          <w:szCs w:val="18"/>
          <w:color w:val="auto"/>
        </w:rPr>
        <w:t>require us to incur non-recurring and other charges, increase our near and long-term expenditures, issue securities that dilute our existing stockholders or disrupt our management and business.</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8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6"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88" w:lineRule="exact"/>
        <w:rPr>
          <w:rFonts w:ascii="Arial" w:cs="Arial" w:eastAsia="Arial" w:hAnsi="Arial"/>
          <w:sz w:val="18"/>
          <w:szCs w:val="18"/>
          <w:color w:val="auto"/>
        </w:rPr>
      </w:pPr>
    </w:p>
    <w:p>
      <w:pPr>
        <w:jc w:val="both"/>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4" w:lineRule="exact"/>
        <w:rPr>
          <w:rFonts w:ascii="Arial" w:cs="Arial" w:eastAsia="Arial" w:hAnsi="Arial"/>
          <w:sz w:val="18"/>
          <w:szCs w:val="18"/>
          <w:color w:val="auto"/>
        </w:rPr>
      </w:pPr>
    </w:p>
    <w:p>
      <w:pPr>
        <w:jc w:val="both"/>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9" w:name="page80"/>
    <w:bookmarkEnd w:id="79"/>
    <w:p>
      <w:pPr>
        <w:jc w:val="both"/>
        <w:ind w:firstLine="546"/>
        <w:spacing w:after="0" w:line="237"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9"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8"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95"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97"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10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68"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5"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0" w:name="page81"/>
    <w:bookmarkEnd w:id="80"/>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 xml:space="preserve">If any of our product candidates is approved but does not achieve an adequate level of acceptance by physicians, hospitals, healthcare payors and patients, we may not generate or derive sufficient revenue from that product candidate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289"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8"/>
          <w:szCs w:val="18"/>
          <w:color w:val="212529"/>
        </w:rPr>
        <w:t>which we retain</w:t>
      </w:r>
      <w:r>
        <w:rPr>
          <w:rFonts w:ascii="Arial" w:cs="Arial" w:eastAsia="Arial" w:hAnsi="Arial"/>
          <w:sz w:val="18"/>
          <w:szCs w:val="18"/>
          <w:color w:val="auto"/>
        </w:rPr>
        <w:t xml:space="preserve"> </w:t>
      </w:r>
      <w:r>
        <w:rPr>
          <w:rFonts w:ascii="Arial" w:cs="Arial" w:eastAsia="Arial" w:hAnsi="Arial"/>
          <w:sz w:val="18"/>
          <w:szCs w:val="18"/>
          <w:color w:val="212529"/>
        </w:rPr>
        <w:t>commercialization rights and marketing approval, we will have to develop our own sales, marketing and supply organization or outsource these activities to a third party.</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1" w:name="page82"/>
    <w:bookmarkEnd w:id="81"/>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1"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2" w:name="page83"/>
    <w:bookmarkEnd w:id="82"/>
    <w:p>
      <w:pPr>
        <w:jc w:val="both"/>
        <w:spacing w:after="0" w:line="238" w:lineRule="auto"/>
        <w:rPr>
          <w:sz w:val="20"/>
          <w:szCs w:val="20"/>
          <w:color w:val="auto"/>
        </w:rPr>
      </w:pPr>
      <w:r>
        <w:rPr>
          <w:rFonts w:ascii="Arial" w:cs="Arial" w:eastAsia="Arial" w:hAnsi="Arial"/>
          <w:sz w:val="18"/>
          <w:szCs w:val="18"/>
          <w:color w:val="auto"/>
        </w:rPr>
        <w:t>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1" w:lineRule="exact"/>
        <w:rPr>
          <w:sz w:val="20"/>
          <w:szCs w:val="20"/>
          <w:color w:val="auto"/>
        </w:rPr>
      </w:pPr>
    </w:p>
    <w:p>
      <w:pPr>
        <w:jc w:val="both"/>
        <w:ind w:firstLine="546"/>
        <w:spacing w:after="0" w:line="24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8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7"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5"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546"/>
        <w:spacing w:after="0" w:line="24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jc w:val="both"/>
        <w:spacing w:after="0" w:line="237" w:lineRule="auto"/>
        <w:rPr>
          <w:sz w:val="20"/>
          <w:szCs w:val="20"/>
          <w:color w:val="auto"/>
        </w:rPr>
      </w:pPr>
      <w:r>
        <w:rPr>
          <w:rFonts w:ascii="Arial" w:cs="Arial" w:eastAsia="Arial" w:hAnsi="Arial"/>
          <w:sz w:val="18"/>
          <w:szCs w:val="18"/>
          <w:color w:val="auto"/>
        </w:rPr>
        <w:t xml:space="preserve">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05"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8"/>
          <w:szCs w:val="18"/>
          <w:color w:val="212529"/>
        </w:rPr>
        <w:t>results, our ability to</w:t>
      </w:r>
      <w:r>
        <w:rPr>
          <w:rFonts w:ascii="Arial" w:cs="Arial" w:eastAsia="Arial" w:hAnsi="Arial"/>
          <w:sz w:val="18"/>
          <w:szCs w:val="18"/>
          <w:color w:val="auto"/>
        </w:rPr>
        <w:t xml:space="preserve"> </w:t>
      </w:r>
      <w:r>
        <w:rPr>
          <w:rFonts w:ascii="Arial" w:cs="Arial" w:eastAsia="Arial" w:hAnsi="Arial"/>
          <w:sz w:val="18"/>
          <w:szCs w:val="18"/>
          <w:color w:val="212529"/>
        </w:rPr>
        <w:t>raise capital needed to commercialize product candidates, and our overall financial condition.</w:t>
      </w:r>
    </w:p>
    <w:p>
      <w:pPr>
        <w:spacing w:after="0" w:line="21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w:t>
      </w:r>
      <w:r>
        <w:rPr>
          <w:rFonts w:ascii="Arial" w:cs="Arial" w:eastAsia="Arial" w:hAnsi="Arial"/>
          <w:sz w:val="18"/>
          <w:szCs w:val="18"/>
          <w:color w:val="212529"/>
        </w:rPr>
        <w:t xml:space="preserve"> </w:t>
      </w:r>
      <w:r>
        <w:rPr>
          <w:rFonts w:ascii="Arial" w:cs="Arial" w:eastAsia="Arial" w:hAnsi="Arial"/>
          <w:sz w:val="18"/>
          <w:szCs w:val="18"/>
          <w:color w:val="000000"/>
        </w:rPr>
        <w:t>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4" w:name="page85"/>
    <w:bookmarkEnd w:id="84"/>
    <w:p>
      <w:pPr>
        <w:ind w:firstLine="546"/>
        <w:spacing w:after="0" w:line="271"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68"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89" w:lineRule="exact"/>
        <w:rPr>
          <w:sz w:val="20"/>
          <w:szCs w:val="20"/>
          <w:color w:val="auto"/>
        </w:rPr>
      </w:pPr>
    </w:p>
    <w:p>
      <w:pPr>
        <w:ind w:left="1080" w:hanging="532"/>
        <w:spacing w:after="0" w:line="24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 xml:space="preserve">profitable </w:t>
      </w:r>
      <w:r>
        <w:rPr>
          <w:rFonts w:ascii="Arial" w:cs="Arial" w:eastAsia="Arial" w:hAnsi="Arial"/>
          <w:sz w:val="18"/>
          <w:szCs w:val="18"/>
          <w:color w:val="000000"/>
        </w:rPr>
        <w:t>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5" w:name="page86"/>
    <w:bookmarkEnd w:id="85"/>
    <w:p>
      <w:pPr>
        <w:ind w:left="56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Our patent portfolio consists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0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5" w:lineRule="exact"/>
        <w:rPr>
          <w:sz w:val="20"/>
          <w:szCs w:val="20"/>
          <w:color w:val="auto"/>
        </w:rPr>
      </w:pPr>
    </w:p>
    <w:p>
      <w:pPr>
        <w:jc w:val="both"/>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4"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88" w:lineRule="exact"/>
        <w:rPr>
          <w:rFonts w:ascii="Arial" w:cs="Arial" w:eastAsia="Arial" w:hAnsi="Arial"/>
          <w:sz w:val="18"/>
          <w:szCs w:val="18"/>
          <w:color w:val="auto"/>
        </w:rPr>
      </w:pPr>
    </w:p>
    <w:p>
      <w:pPr>
        <w:jc w:val="both"/>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6" w:name="page87"/>
    <w:bookmarkEnd w:id="86"/>
    <w:p>
      <w:pPr>
        <w:jc w:val="both"/>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3"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0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89"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20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jc w:val="both"/>
        <w:spacing w:after="0" w:line="236" w:lineRule="auto"/>
        <w:rPr>
          <w:sz w:val="20"/>
          <w:szCs w:val="20"/>
          <w:color w:val="auto"/>
        </w:rPr>
      </w:pPr>
      <w:r>
        <w:rPr>
          <w:rFonts w:ascii="Arial" w:cs="Arial" w:eastAsia="Arial" w:hAnsi="Arial"/>
          <w:sz w:val="18"/>
          <w:szCs w:val="18"/>
          <w:color w:val="auto"/>
        </w:rPr>
        <w:t>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080" w:hanging="532"/>
        <w:spacing w:after="0" w:line="24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98" w:lineRule="exact"/>
        <w:rPr>
          <w:sz w:val="20"/>
          <w:szCs w:val="20"/>
          <w:color w:val="auto"/>
        </w:rPr>
      </w:pPr>
    </w:p>
    <w:p>
      <w:pPr>
        <w:jc w:val="both"/>
        <w:ind w:right="20" w:firstLine="546"/>
        <w:spacing w:after="0" w:line="25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83"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jc w:val="both"/>
        <w:spacing w:after="0" w:line="236" w:lineRule="auto"/>
        <w:rPr>
          <w:sz w:val="20"/>
          <w:szCs w:val="20"/>
          <w:color w:val="auto"/>
        </w:rPr>
      </w:pPr>
      <w:r>
        <w:rPr>
          <w:rFonts w:ascii="Arial" w:cs="Arial" w:eastAsia="Arial" w:hAnsi="Arial"/>
          <w:sz w:val="18"/>
          <w:szCs w:val="18"/>
          <w:color w:val="auto"/>
        </w:rPr>
        <w:t>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6"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9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9" w:name="page90"/>
    <w:bookmarkEnd w:id="89"/>
    <w:p>
      <w:pPr>
        <w:jc w:val="both"/>
        <w:spacing w:after="0" w:line="238" w:lineRule="auto"/>
        <w:rPr>
          <w:sz w:val="20"/>
          <w:szCs w:val="20"/>
          <w:color w:val="auto"/>
        </w:rPr>
      </w:pPr>
      <w:r>
        <w:rPr>
          <w:rFonts w:ascii="Arial" w:cs="Arial" w:eastAsia="Arial" w:hAnsi="Arial"/>
          <w:sz w:val="18"/>
          <w:szCs w:val="18"/>
          <w:color w:val="auto"/>
        </w:rPr>
        <w:t>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91"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0"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8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0" w:name="page91"/>
    <w:bookmarkEnd w:id="90"/>
    <w:p>
      <w:pPr>
        <w:jc w:val="both"/>
        <w:spacing w:after="0" w:line="238" w:lineRule="auto"/>
        <w:rPr>
          <w:sz w:val="20"/>
          <w:szCs w:val="20"/>
          <w:color w:val="auto"/>
        </w:rPr>
      </w:pPr>
      <w:r>
        <w:rPr>
          <w:rFonts w:ascii="Arial" w:cs="Arial" w:eastAsia="Arial" w:hAnsi="Arial"/>
          <w:sz w:val="18"/>
          <w:szCs w:val="18"/>
          <w:color w:val="auto"/>
        </w:rPr>
        <w:t>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0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2"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83"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1" w:name="page92"/>
    <w:bookmarkEnd w:id="91"/>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9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204"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2" w:name="page93"/>
    <w:bookmarkEnd w:id="92"/>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104"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3" w:name="page94"/>
    <w:bookmarkEnd w:id="93"/>
    <w:p>
      <w:pPr>
        <w:jc w:val="both"/>
        <w:spacing w:after="0" w:line="237" w:lineRule="auto"/>
        <w:rPr>
          <w:sz w:val="20"/>
          <w:szCs w:val="20"/>
          <w:color w:val="auto"/>
        </w:rPr>
      </w:pPr>
      <w:r>
        <w:rPr>
          <w:rFonts w:ascii="Arial" w:cs="Arial" w:eastAsia="Arial" w:hAnsi="Arial"/>
          <w:sz w:val="18"/>
          <w:szCs w:val="18"/>
          <w:color w:val="auto"/>
        </w:rPr>
        <w:t>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own or in-license eight U.S. issued patents and own two U.S. pending patent applications, as well as 13 in-licensed patents issued in jurisdictions outside of the United States, one in-licensed pending patent application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8"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4" w:name="page95"/>
    <w:bookmarkEnd w:id="94"/>
    <w:p>
      <w:pPr>
        <w:jc w:val="both"/>
        <w:spacing w:after="0" w:line="237" w:lineRule="auto"/>
        <w:rPr>
          <w:sz w:val="20"/>
          <w:szCs w:val="20"/>
          <w:color w:val="auto"/>
        </w:rPr>
      </w:pPr>
      <w:r>
        <w:rPr>
          <w:rFonts w:ascii="Arial" w:cs="Arial" w:eastAsia="Arial" w:hAnsi="Arial"/>
          <w:sz w:val="18"/>
          <w:szCs w:val="18"/>
          <w:color w:val="auto"/>
        </w:rPr>
        <w:t>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9"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8"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1"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68"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5" w:name="page96"/>
    <w:bookmarkEnd w:id="95"/>
    <w:p>
      <w:pPr>
        <w:jc w:val="both"/>
        <w:spacing w:after="0" w:line="236" w:lineRule="auto"/>
        <w:rPr>
          <w:sz w:val="20"/>
          <w:szCs w:val="20"/>
          <w:color w:val="auto"/>
        </w:rPr>
      </w:pPr>
      <w:r>
        <w:rPr>
          <w:rFonts w:ascii="Arial" w:cs="Arial" w:eastAsia="Arial" w:hAnsi="Arial"/>
          <w:sz w:val="18"/>
          <w:szCs w:val="18"/>
          <w:color w:val="auto"/>
        </w:rPr>
        <w:t>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8"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6" w:name="page97"/>
    <w:bookmarkEnd w:id="96"/>
    <w:p>
      <w:pPr>
        <w:jc w:val="both"/>
        <w:ind w:firstLine="546"/>
        <w:spacing w:after="0" w:line="238"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0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93"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8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8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jc w:val="both"/>
        <w:ind w:firstLine="546"/>
        <w:spacing w:after="0" w:line="238"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93"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83"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p>
      <w:pPr>
        <w:ind w:left="560"/>
        <w:spacing w:after="0"/>
        <w:rPr>
          <w:sz w:val="20"/>
          <w:szCs w:val="20"/>
          <w:color w:val="auto"/>
        </w:rPr>
      </w:pPr>
      <w:r>
        <w:rPr>
          <w:rFonts w:ascii="Arial" w:cs="Arial" w:eastAsia="Arial" w:hAnsi="Arial"/>
          <w:sz w:val="18"/>
          <w:szCs w:val="18"/>
          <w:b w:val="1"/>
          <w:bCs w:val="1"/>
          <w:color w:val="auto"/>
        </w:rPr>
        <w:t>Risks Relating to Cybersecurity</w:t>
      </w:r>
    </w:p>
    <w:p>
      <w:pPr>
        <w:spacing w:after="0" w:line="104" w:lineRule="exact"/>
        <w:rPr>
          <w:sz w:val="20"/>
          <w:szCs w:val="20"/>
          <w:color w:val="auto"/>
        </w:rPr>
      </w:pPr>
    </w:p>
    <w:p>
      <w:pPr>
        <w:jc w:val="both"/>
        <w:ind w:firstLine="546"/>
        <w:spacing w:after="0" w:line="247"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88"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13" w:lineRule="exact"/>
        <w:rPr>
          <w:sz w:val="20"/>
          <w:szCs w:val="20"/>
          <w:color w:val="auto"/>
        </w:rPr>
      </w:pPr>
    </w:p>
    <w:p>
      <w:pPr>
        <w:jc w:val="both"/>
        <w:ind w:firstLine="546"/>
        <w:spacing w:after="0" w:line="250" w:lineRule="auto"/>
        <w:rPr>
          <w:sz w:val="20"/>
          <w:szCs w:val="20"/>
          <w:color w:val="auto"/>
        </w:rPr>
      </w:pPr>
      <w:r>
        <w:rPr>
          <w:rFonts w:ascii="Arial" w:cs="Arial" w:eastAsia="Arial" w:hAnsi="Arial"/>
          <w:sz w:val="17"/>
          <w:szCs w:val="17"/>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9" w:name="page100"/>
    <w:bookmarkEnd w:id="99"/>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68"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1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Specifically, the UK exited the EU on January 1, 2020, subject to a transition period ending December 31, 2020. The UK has implemented legislation similar to the GDPR, referred to as the UK GDPR, which provides for fines of up to the greater of up to the greater of £17.5 million or 4% of global turnover. The relationship between the United Kingdom and the European Union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The CCPA and the CPRA, may impact our business activities and exemplifies the vulnerability of our business to the evolving regulatory environment related to personal data and protected health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0" w:name="page101"/>
    <w:bookmarkEnd w:id="100"/>
    <w:p>
      <w:pPr>
        <w:jc w:val="both"/>
        <w:ind w:firstLine="546"/>
        <w:spacing w:after="0" w:line="236"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04"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8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other factors described in this “Part II, Item 1A—Risk Factors” section.</w:t>
      </w:r>
    </w:p>
    <w:p>
      <w:pPr>
        <w:spacing w:after="0" w:line="22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8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For example, on March 17, 2021, certain lock-up agreements entered into in connection with our initial public offering expired, and as a result, a significant portion of shares of our common stock became available for resale, which may have affected, and may continue to affect, the market price of our common stock. In addition, based on 37,118,787 shares of our common stock outstanding as of February 28, 2021, 13.9% of our outstanding shares, or 5,165,103 shares, will be restricted from sale through April 20, 2021 as a result of lock-up agreements entered into by us and all of our directors and officers and certain other stockholders in connection with our follow -on public offering in January 2021, subject to applicable securities law restrictions.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2" w:name="page103"/>
    <w:bookmarkEnd w:id="102"/>
    <w:p>
      <w:pPr>
        <w:jc w:val="both"/>
        <w:ind w:firstLine="546"/>
        <w:spacing w:after="0" w:line="237" w:lineRule="auto"/>
        <w:rPr>
          <w:sz w:val="20"/>
          <w:szCs w:val="20"/>
          <w:color w:val="auto"/>
        </w:rPr>
      </w:pPr>
      <w:r>
        <w:rPr>
          <w:rFonts w:ascii="Arial" w:cs="Arial" w:eastAsia="Arial" w:hAnsi="Arial"/>
          <w:sz w:val="18"/>
          <w:szCs w:val="18"/>
          <w:color w:val="auto"/>
        </w:rPr>
        <w:t>Moreover, as of the date of this report, the holders of approximately 5,041,842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our final prospectus related to our follow-on public offering in January 2021 titled “Underwriting.” If any of these additional shares are sold, or if it is perceived that they will be sold, in the public market, the market price of our common stock could decline.</w:t>
      </w:r>
    </w:p>
    <w:p>
      <w:pPr>
        <w:spacing w:after="0" w:line="289"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directors, executive officers, holders of more than 5% of our outstanding common stock and their respective affiliates beneficially own shares representing approximately 27.7% of our outstanding common stock as of February 28, 2021.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8"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Part III of this report,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90"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jc w:val="both"/>
        <w:spacing w:after="0" w:line="246" w:lineRule="auto"/>
        <w:rPr>
          <w:sz w:val="20"/>
          <w:szCs w:val="20"/>
          <w:color w:val="auto"/>
        </w:rPr>
      </w:pPr>
      <w:r>
        <w:rPr>
          <w:rFonts w:ascii="Arial" w:cs="Arial" w:eastAsia="Arial" w:hAnsi="Arial"/>
          <w:sz w:val="18"/>
          <w:szCs w:val="18"/>
          <w:color w:val="auto"/>
        </w:rPr>
        <w:t>K filing for that year, as required by Section 404 of the Sarbanes-Oxley Act. We have never been required to test our internal controls within a specified period and, as a result, we may experience difficulty in meeting these reporting requirements in a timely manner.</w:t>
      </w:r>
    </w:p>
    <w:p>
      <w:pPr>
        <w:spacing w:after="0" w:line="19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91"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in September 2020 and follow-on public offering in January 2021 and may not use them effectively.</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have broad discretion in the application of the net proceeds received from our initial public offering in September 2020 and follow-on public offering in January 2021. We may spend a portion or all of the net proceeds from our public offerings in ways that our stockholders may not desire or that may not yield a favorable return. Any failure by us to apply these funds effectively could harm our business, financial condition, results of operations and prospects. Pending their use, we may invest the net proceeds from our public offerings in a manner that does not produce income or that loses value.</w:t>
      </w:r>
    </w:p>
    <w:p>
      <w:pPr>
        <w:spacing w:after="0" w:line="288"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97" w:lineRule="exact"/>
        <w:rPr>
          <w:sz w:val="20"/>
          <w:szCs w:val="20"/>
          <w:color w:val="auto"/>
        </w:rPr>
      </w:pPr>
    </w:p>
    <w:p>
      <w:pPr>
        <w:ind w:left="1080" w:hanging="532"/>
        <w:spacing w:after="0" w:line="24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4" w:name="page105"/>
    <w:bookmarkEnd w:id="104"/>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88" w:lineRule="exact"/>
        <w:rPr>
          <w:rFonts w:ascii="Arial" w:cs="Arial" w:eastAsia="Arial" w:hAnsi="Arial"/>
          <w:sz w:val="18"/>
          <w:szCs w:val="18"/>
          <w:color w:val="auto"/>
        </w:rPr>
      </w:pPr>
    </w:p>
    <w:p>
      <w:pPr>
        <w:jc w:val="both"/>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4"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88" w:lineRule="exact"/>
        <w:rPr>
          <w:rFonts w:ascii="Arial" w:cs="Arial" w:eastAsia="Arial" w:hAnsi="Arial"/>
          <w:sz w:val="18"/>
          <w:szCs w:val="18"/>
          <w:color w:val="auto"/>
        </w:rPr>
      </w:pPr>
    </w:p>
    <w:p>
      <w:pPr>
        <w:jc w:val="both"/>
        <w:ind w:left="1080" w:right="2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9"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8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0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jc w:val="both"/>
        <w:spacing w:after="0"/>
        <w:rPr>
          <w:sz w:val="20"/>
          <w:szCs w:val="20"/>
          <w:color w:val="auto"/>
        </w:rPr>
      </w:pPr>
      <w:r>
        <w:rPr>
          <w:rFonts w:ascii="Arial" w:cs="Arial" w:eastAsia="Arial" w:hAnsi="Arial"/>
          <w:sz w:val="18"/>
          <w:szCs w:val="18"/>
          <w:color w:val="auto"/>
        </w:rPr>
        <w:t>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jc w:val="both"/>
        <w:ind w:right="20" w:firstLine="546"/>
        <w:spacing w:after="0" w:line="271"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68"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00"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6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8"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6" w:name="page107"/>
    <w:bookmarkEnd w:id="106"/>
    <w:p>
      <w:pPr>
        <w:jc w:val="both"/>
        <w:spacing w:after="0" w:line="238" w:lineRule="auto"/>
        <w:rPr>
          <w:sz w:val="20"/>
          <w:szCs w:val="20"/>
          <w:color w:val="auto"/>
        </w:rPr>
      </w:pPr>
      <w:r>
        <w:rPr>
          <w:rFonts w:ascii="Arial" w:cs="Arial" w:eastAsia="Arial" w:hAnsi="Arial"/>
          <w:sz w:val="18"/>
          <w:szCs w:val="18"/>
          <w:color w:val="auto"/>
        </w:rPr>
        <w:t>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1" w:lineRule="exact"/>
        <w:rPr>
          <w:sz w:val="20"/>
          <w:szCs w:val="20"/>
          <w:color w:val="auto"/>
        </w:rPr>
      </w:pPr>
    </w:p>
    <w:p>
      <w:pPr>
        <w:jc w:val="both"/>
        <w:ind w:firstLine="546"/>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68"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2" w:lineRule="exact"/>
        <w:rPr>
          <w:sz w:val="20"/>
          <w:szCs w:val="20"/>
          <w:color w:val="auto"/>
        </w:rPr>
      </w:pPr>
    </w:p>
    <w:p>
      <w:pPr>
        <w:jc w:val="both"/>
        <w:ind w:right="20" w:firstLine="546"/>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Our corporate headquarters is located in Bothell, Washington, where we currently lease approximately 11,163 square feet of laboratory and office space. This lease expires in August 2027. In July 2020, we entered into an operating lease to rent two additional suites in Bothell, Washington with 6,169 and 1,994 square feet. The lease terms for these suites commence on the date that the landlord delivers the premises to us for construction of certain tenant improvements. Rent obligations for these suites begin 4 months thereafter, and the leases expire in August 2027. We also lease approximately 1,270 square feet of laboratory and office space in Seattle, Washington, pursuant to a lease expiring in June 2021. We believe these facilities will be adequate for the foreseeable future and that suitable additional or substitute space will be available as and when needed.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20"/>
        <w:spacing w:after="0" w:line="37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Our common stock began trading on The Nasdaq Global Select Market under the symbol “ATHA” on September 18, 2020. Prior to that date, there was no public trading market for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As of March 22, 2021, there were approximately 143 holders of record of our common stock. Because many of our shares are held by brokers and other institutions on behalf of shareholders, we are unable to estimate the total number of shareholders represented by these record 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currently intend to retain all available funds and future earnings to fund the development and growth of our business and we do not anticipate paying any cash dividends in the foreseeable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Part III, Item 12 of this report for information regarding securities authorized for issuance under our equity compensation plans.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list sets forth information regarding all unregistered securities sold by us during the fiscal year ended December 31,</w:t>
      </w:r>
    </w:p>
    <w:p>
      <w:pPr>
        <w:spacing w:after="0"/>
        <w:rPr>
          <w:sz w:val="20"/>
          <w:szCs w:val="20"/>
          <w:color w:val="auto"/>
        </w:rPr>
      </w:pPr>
      <w:r>
        <w:rPr>
          <w:rFonts w:ascii="Arial" w:cs="Arial" w:eastAsia="Arial" w:hAnsi="Arial"/>
          <w:sz w:val="18"/>
          <w:szCs w:val="18"/>
          <w:color w:val="auto"/>
        </w:rPr>
        <w:t>2020:</w:t>
      </w:r>
    </w:p>
    <w:p>
      <w:pPr>
        <w:spacing w:after="0" w:line="104" w:lineRule="exact"/>
        <w:rPr>
          <w:sz w:val="20"/>
          <w:szCs w:val="20"/>
          <w:color w:val="auto"/>
        </w:rPr>
      </w:pPr>
    </w:p>
    <w:p>
      <w:pPr>
        <w:jc w:val="both"/>
        <w:ind w:firstLine="554"/>
        <w:spacing w:after="0" w:line="237" w:lineRule="auto"/>
        <w:tabs>
          <w:tab w:leader="none" w:pos="8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From January 1, 2020 through February 26, 2020, we granted 44,765 options to purchase shares of our common stock to our employees, directors and consultants at an exercise price of $1.35 per share under our 2014 Equity Incentive Plan, or 2014 Plan. From January 1, 2020 through September 16, 2020, we issued and sold an aggregate of 540,339 shares of our common stock to our employees, directors and consultants at a weighted-average exercise price of $1.00 per share pursuant to exercises of options granted under our 2014 Plan. During the period between July 1, 2020 and September 17, 2020, we also issued to certain of our employees, consultants and directors, options to purchase an aggregate of 943,223 shares of our common stock at an exercise price of $17.00 per share pursuant to our 2020 Equity Incentive Plan, or 2020 Plan.</w:t>
      </w:r>
    </w:p>
    <w:p>
      <w:pPr>
        <w:spacing w:after="0" w:line="94" w:lineRule="exact"/>
        <w:rPr>
          <w:rFonts w:ascii="Arial" w:cs="Arial" w:eastAsia="Arial" w:hAnsi="Arial"/>
          <w:sz w:val="18"/>
          <w:szCs w:val="18"/>
          <w:color w:val="auto"/>
        </w:rPr>
      </w:pPr>
    </w:p>
    <w:p>
      <w:pPr>
        <w:ind w:firstLine="554"/>
        <w:spacing w:after="0" w:line="246" w:lineRule="auto"/>
        <w:tabs>
          <w:tab w:leader="none" w:pos="826" w:val="left"/>
        </w:tabs>
        <w:numPr>
          <w:ilvl w:val="0"/>
          <w:numId w:val="64"/>
        </w:numPr>
        <w:rPr>
          <w:rFonts w:ascii="Arial" w:cs="Arial" w:eastAsia="Arial" w:hAnsi="Arial"/>
          <w:sz w:val="18"/>
          <w:szCs w:val="18"/>
          <w:color w:val="auto"/>
        </w:rPr>
      </w:pPr>
      <w:r>
        <w:rPr>
          <w:rFonts w:ascii="Arial" w:cs="Arial" w:eastAsia="Arial" w:hAnsi="Arial"/>
          <w:sz w:val="18"/>
          <w:szCs w:val="18"/>
          <w:color w:val="auto"/>
        </w:rPr>
        <w:t>From January 6, 2020 through January 13, 2020, we issued and sold subordinated convertible promissory notes in an aggregate principal amount of $1.7 million.</w:t>
      </w:r>
    </w:p>
    <w:p>
      <w:pPr>
        <w:spacing w:after="0" w:line="88" w:lineRule="exact"/>
        <w:rPr>
          <w:rFonts w:ascii="Arial" w:cs="Arial" w:eastAsia="Arial" w:hAnsi="Arial"/>
          <w:sz w:val="18"/>
          <w:szCs w:val="18"/>
          <w:color w:val="auto"/>
        </w:rPr>
      </w:pPr>
    </w:p>
    <w:p>
      <w:pPr>
        <w:ind w:right="20" w:firstLine="554"/>
        <w:spacing w:after="0" w:line="246" w:lineRule="auto"/>
        <w:tabs>
          <w:tab w:leader="none" w:pos="8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512,858 shares of our Series B-1 convertible preferred stock upon conversion of approximately $4.0 million in outstanding convertible notes, at a conversion price of $7.752 per share.</w:t>
      </w:r>
    </w:p>
    <w:p>
      <w:pPr>
        <w:spacing w:after="0" w:line="88" w:lineRule="exact"/>
        <w:rPr>
          <w:rFonts w:ascii="Arial" w:cs="Arial" w:eastAsia="Arial" w:hAnsi="Arial"/>
          <w:sz w:val="18"/>
          <w:szCs w:val="18"/>
          <w:color w:val="auto"/>
        </w:rPr>
      </w:pPr>
    </w:p>
    <w:p>
      <w:pPr>
        <w:jc w:val="both"/>
        <w:ind w:firstLine="554"/>
        <w:spacing w:after="0" w:line="237" w:lineRule="auto"/>
        <w:tabs>
          <w:tab w:leader="none" w:pos="8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9,372,765 shares of our Series B convertible preferred stock at a purchase price of $9.12 per share, for aggregate consideration of approximately $85.5 million. Concurrently with these issuances, we also issued and sold warrants to purchase 2,343,168 shares of our common stock at an exercise price of $0.08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96" w:lineRule="exact"/>
        <w:rPr>
          <w:rFonts w:ascii="Arial" w:cs="Arial" w:eastAsia="Arial" w:hAnsi="Arial"/>
          <w:sz w:val="18"/>
          <w:szCs w:val="18"/>
          <w:color w:val="auto"/>
        </w:rPr>
      </w:pPr>
    </w:p>
    <w:p>
      <w:pPr>
        <w:jc w:val="both"/>
        <w:ind w:firstLine="554"/>
        <w:spacing w:after="0"/>
        <w:tabs>
          <w:tab w:leader="none" w:pos="8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127,481 shares of our Series B convertible preferred stock at an exercise price of $9.12 per share to JMP Securities LLC, in partial consideration for their services in connection with the sale and issuance of our Series B convertible preferred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left="560"/>
        <w:spacing w:after="0"/>
        <w:rPr>
          <w:sz w:val="20"/>
          <w:szCs w:val="20"/>
          <w:color w:val="auto"/>
        </w:rPr>
      </w:pPr>
      <w:r>
        <w:rPr>
          <w:rFonts w:ascii="Arial" w:cs="Arial" w:eastAsia="Arial" w:hAnsi="Arial"/>
          <w:sz w:val="18"/>
          <w:szCs w:val="18"/>
          <w:color w:val="auto"/>
        </w:rPr>
        <w:t>(f) On August 26, 2020, we issued a warrant to purchase up to 6,935 shares of our common stock at an exercise price per share of</w:t>
      </w:r>
    </w:p>
    <w:p>
      <w:pPr>
        <w:spacing w:after="0"/>
        <w:rPr>
          <w:sz w:val="20"/>
          <w:szCs w:val="20"/>
          <w:color w:val="auto"/>
        </w:rPr>
      </w:pPr>
      <w:r>
        <w:rPr>
          <w:rFonts w:ascii="Arial" w:cs="Arial" w:eastAsia="Arial" w:hAnsi="Arial"/>
          <w:sz w:val="18"/>
          <w:szCs w:val="18"/>
          <w:color w:val="auto"/>
        </w:rPr>
        <w:t>$9.52.</w:t>
      </w:r>
    </w:p>
    <w:p>
      <w:pPr>
        <w:spacing w:after="0" w:line="104" w:lineRule="exact"/>
        <w:rPr>
          <w:sz w:val="20"/>
          <w:szCs w:val="20"/>
          <w:color w:val="auto"/>
        </w:rPr>
      </w:pPr>
    </w:p>
    <w:p>
      <w:pPr>
        <w:ind w:firstLine="554"/>
        <w:spacing w:after="0" w:line="246" w:lineRule="auto"/>
        <w:tabs>
          <w:tab w:leader="none" w:pos="8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period between May 29, 2020 and September 11, 2020, we issued 1,258,253 shares of our common stock pursuant to the cash exercise of outstanding warrants to purchase shares of our common stock at an exercise price of $0.08 per share.</w:t>
      </w:r>
    </w:p>
    <w:p>
      <w:pPr>
        <w:spacing w:after="0" w:line="88" w:lineRule="exact"/>
        <w:rPr>
          <w:rFonts w:ascii="Arial" w:cs="Arial" w:eastAsia="Arial" w:hAnsi="Arial"/>
          <w:sz w:val="18"/>
          <w:szCs w:val="18"/>
          <w:color w:val="auto"/>
        </w:rPr>
      </w:pPr>
    </w:p>
    <w:p>
      <w:pPr>
        <w:jc w:val="both"/>
        <w:ind w:firstLine="554"/>
        <w:spacing w:after="0" w:line="238" w:lineRule="auto"/>
        <w:tabs>
          <w:tab w:leader="none" w:pos="8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September 22, 2020, upon the closing of our initial public offering, all shares of our convertible preferred stock then outstanding automatically converted into 12,503,009 shares of common stock. In addition, warrants to purchase 127,481 shares of convertible preferred stock automatically converted into warrants to purchase 127,481 shares of our common stock. Such warrants were then automatically net exercised into 59,093 shares of common stock. In addition, warrants to purchase 1,095,159 shares of our common stock were cash exercised or automatically net exercised into an aggregate of 1,085,334 shares of our common stock.</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offers, sales and issuances of the securities described in (b), (c), (d), (e), (f) and (g)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offers, sales and issuances of the securities described in (a) above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or 2020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05" w:lineRule="exact"/>
        <w:rPr>
          <w:sz w:val="20"/>
          <w:szCs w:val="20"/>
          <w:color w:val="auto"/>
        </w:rPr>
      </w:pPr>
    </w:p>
    <w:p>
      <w:pPr>
        <w:jc w:val="both"/>
        <w:ind w:firstLine="546"/>
        <w:spacing w:after="0" w:line="234" w:lineRule="auto"/>
        <w:rPr>
          <w:sz w:val="20"/>
          <w:szCs w:val="20"/>
          <w:color w:val="auto"/>
        </w:rPr>
      </w:pPr>
      <w:r>
        <w:rPr>
          <w:rFonts w:ascii="Arial" w:cs="Arial" w:eastAsia="Arial" w:hAnsi="Arial"/>
          <w:sz w:val="18"/>
          <w:szCs w:val="18"/>
          <w:color w:val="auto"/>
        </w:rPr>
        <w:t>The issuances of securities described in (h) above (except for the issuances of common stock upon cash exercises of warrants) were exempt from the registration requirements of the Securities Act pursuant to Section 3(a)(9) thereof, involving an exchange of securities exchanged by the issuer with its existing security holders exclusively where no commission or other remuneration is paid or given directly or indirectly for soliciting such exchange. The issuances of the common stock upon the cash exercises of common stock warrants described in</w:t>
      </w:r>
    </w:p>
    <w:p>
      <w:pPr>
        <w:spacing w:after="0" w:line="3" w:lineRule="exact"/>
        <w:rPr>
          <w:sz w:val="20"/>
          <w:szCs w:val="20"/>
          <w:color w:val="auto"/>
        </w:rPr>
      </w:pPr>
    </w:p>
    <w:p>
      <w:pPr>
        <w:ind w:firstLine="8"/>
        <w:spacing w:after="0" w:line="246" w:lineRule="auto"/>
        <w:tabs>
          <w:tab w:leader="none" w:pos="3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above was exempt from registration under the Securities Act pursuant to Section 4(a)(2) thereof as a transaction by an issuer not involving a public offering.</w:t>
      </w:r>
    </w:p>
    <w:p>
      <w:pPr>
        <w:spacing w:after="0" w:line="183" w:lineRule="exact"/>
        <w:rPr>
          <w:sz w:val="20"/>
          <w:szCs w:val="20"/>
          <w:color w:val="auto"/>
        </w:rPr>
      </w:pPr>
    </w:p>
    <w:p>
      <w:pPr>
        <w:jc w:val="both"/>
        <w:ind w:firstLine="546"/>
        <w:spacing w:after="0" w:line="216" w:lineRule="exact"/>
        <w:rPr>
          <w:sz w:val="20"/>
          <w:szCs w:val="20"/>
          <w:color w:val="auto"/>
        </w:rPr>
      </w:pPr>
      <w:r>
        <w:rPr>
          <w:rFonts w:ascii="Arial" w:cs="Arial" w:eastAsia="Arial" w:hAnsi="Arial"/>
          <w:sz w:val="18"/>
          <w:szCs w:val="18"/>
          <w:color w:val="auto"/>
        </w:rPr>
        <w:t>No underwriters were involved in the issuances of securities described above. We filed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under the Securities Act on September 18, 2020 to register all of the shares of our common stock subject to outstanding options and all shares of our common stock otherwise issuable pursuant to our 2014 Plan, 2020 Plan and 2020 Employee Stock Purchase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9" w:name="page110"/>
    <w:bookmarkEnd w:id="109"/>
    <w:p>
      <w:pPr>
        <w:ind w:firstLine="546"/>
        <w:spacing w:after="0" w:line="246"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(File No. 333-248428), which was declared effective by the SEC on September 17, 2020.</w:t>
      </w:r>
    </w:p>
    <w:p>
      <w:pPr>
        <w:spacing w:after="0" w:line="197"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September 18,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6"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201(e) of Regulation 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6"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301(c) of Regulation S-K.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08"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our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 Beyond AD, we believe that ATH-1017 can potentially address the broader dementia patient population.</w:t>
      </w:r>
    </w:p>
    <w:p>
      <w:pPr>
        <w:spacing w:after="0" w:line="20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line="246" w:lineRule="auto"/>
        <w:rPr>
          <w:sz w:val="20"/>
          <w:szCs w:val="20"/>
          <w:color w:val="auto"/>
        </w:rPr>
      </w:pPr>
      <w:r>
        <w:rPr>
          <w:rFonts w:ascii="Arial" w:cs="Arial" w:eastAsia="Arial" w:hAnsi="Arial"/>
          <w:sz w:val="18"/>
          <w:szCs w:val="18"/>
          <w:color w:val="auto"/>
        </w:rPr>
        <w:t>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086475" cy="32321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86475"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hanging="532"/>
        <w:spacing w:after="0"/>
        <w:tabs>
          <w:tab w:leader="none" w:pos="5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RoA: route of administration; SC: subcutaneous; PO: oral.</w:t>
      </w:r>
    </w:p>
    <w:p>
      <w:pPr>
        <w:ind w:left="540" w:hanging="532"/>
        <w:spacing w:after="0" w:line="187" w:lineRule="auto"/>
        <w:tabs>
          <w:tab w:leader="none" w:pos="540" w:val="left"/>
        </w:tabs>
        <w:numPr>
          <w:ilvl w:val="0"/>
          <w:numId w:val="67"/>
        </w:numPr>
        <w:rPr>
          <w:rFonts w:ascii="Arial" w:cs="Arial" w:eastAsia="Arial" w:hAnsi="Arial"/>
          <w:sz w:val="18"/>
          <w:szCs w:val="18"/>
          <w:color w:val="auto"/>
          <w:vertAlign w:val="superscript"/>
        </w:rPr>
      </w:pPr>
      <w:r>
        <w:rPr>
          <w:rFonts w:ascii="Arial" w:cs="Arial" w:eastAsia="Arial" w:hAnsi="Arial"/>
          <w:sz w:val="11"/>
          <w:szCs w:val="11"/>
          <w:color w:val="auto"/>
        </w:rPr>
        <w:t>ATH-1017 for AD is moving from Phase 1b to a Phase 2/3 clinical trial that may provide pivotal data in support of registration based on discussions with FDA.</w:t>
      </w:r>
    </w:p>
    <w:p>
      <w:pPr>
        <w:jc w:val="both"/>
        <w:ind w:left="540" w:hanging="532"/>
        <w:spacing w:after="0" w:line="199" w:lineRule="auto"/>
        <w:tabs>
          <w:tab w:leader="none" w:pos="5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01"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9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2" w:name="page113"/>
    <w:bookmarkEnd w:id="112"/>
    <w:p>
      <w:pPr>
        <w:jc w:val="both"/>
        <w:spacing w:after="0"/>
        <w:rPr>
          <w:sz w:val="20"/>
          <w:szCs w:val="20"/>
          <w:color w:val="auto"/>
        </w:rPr>
      </w:pPr>
      <w:r>
        <w:rPr>
          <w:rFonts w:ascii="Arial" w:cs="Arial" w:eastAsia="Arial" w:hAnsi="Arial"/>
          <w:sz w:val="18"/>
          <w:szCs w:val="18"/>
          <w:color w:val="auto"/>
        </w:rPr>
        <w:t>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the sale and issuance of convertible preferred stock, common stock warrants, and convertible notes, and to a lesser extent from grant income and stock option exercises. From inception to December 31, 2020, we have raised aggregate net cash proceeds of approximately $310.6 million primarily from the issuance of our common stock, convertible preferred stock, common stock warrants, and convertible notes. We have incurred significant operating losses to date. Our net losses were $19.9 million and $5.2 million for the years ended December 31, 2020 and 2019, respectively. As of December 31, 2020, we had an accumulated deficit of $41.0 million and cash, cash equivalents and investments of $268.2 million.</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080" w:hanging="532"/>
        <w:spacing w:after="0" w:line="24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Phase 2/3 clinical trial for ATH-1017 for the treatment of mild-to-moderate AD;</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97"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3" w:name="page114"/>
    <w:bookmarkEnd w:id="113"/>
    <w:p>
      <w:pPr>
        <w:jc w:val="both"/>
        <w:spacing w:after="0" w:line="237" w:lineRule="auto"/>
        <w:rPr>
          <w:sz w:val="20"/>
          <w:szCs w:val="20"/>
          <w:color w:val="auto"/>
        </w:rPr>
      </w:pPr>
      <w:r>
        <w:rPr>
          <w:rFonts w:ascii="Arial" w:cs="Arial" w:eastAsia="Arial" w:hAnsi="Arial"/>
          <w:sz w:val="18"/>
          <w:szCs w:val="18"/>
          <w:color w:val="auto"/>
        </w:rPr>
        <w:t>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at least through 2022.</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COVID-19 on our business, supply chain, operations and clinical development timelines and plans remains uncertain, and will depend on certain developments, including the duration and spread of the outbreak and its impact on our clinical trial enrollment, trial sites, contract research organizations, or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September 2020, we completed an initial public offering of our common stock. As part of the IPO, we issued and sold 12,000,000 shares of our common stock at a public offering price of $17.00 per share. We received net proceeds of approximately $186.4 million from the IPO, after deducting underwriting discounts and commissions of $14.3 million and offering costs of approximately $3.3 million. In October 2020, we sold an additional 1,397,712 shares of common stock to the underwriters of the IPO upon partial exercise of the underwriters’ option to purchase additional shares at the initial public offering price of $17.00 per share, less underwriting discounts and commissions, and offering costs of approximately $1.7 million resulting in net proceeds to us of approximately $22.1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Public Offering</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January 2021, we completed a follow-on public offering of our common stock. As part of the follow-on offering, we issued and sold 4,000,000 shares of our common stock at a public offering price of $22.50 per share. We received net proceeds of approximately $84.1 million from the follow-on offering, after deducting underwriting discounts and commissions and offering costs. In February 2021, we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net proceeds to use of approximately $12.7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and Grant Agreements</w:t>
      </w:r>
    </w:p>
    <w:p>
      <w:pPr>
        <w:spacing w:after="0" w:line="108" w:lineRule="exact"/>
        <w:rPr>
          <w:sz w:val="20"/>
          <w:szCs w:val="20"/>
          <w:color w:val="auto"/>
        </w:rPr>
      </w:pPr>
    </w:p>
    <w:p>
      <w:pPr>
        <w:jc w:val="both"/>
        <w:ind w:firstLine="546"/>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70"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4" w:name="page115"/>
    <w:bookmarkEnd w:id="114"/>
    <w:p>
      <w:pPr>
        <w:jc w:val="both"/>
        <w:spacing w:after="0" w:line="237" w:lineRule="auto"/>
        <w:rPr>
          <w:sz w:val="20"/>
          <w:szCs w:val="20"/>
          <w:color w:val="auto"/>
        </w:rPr>
      </w:pPr>
      <w:r>
        <w:rPr>
          <w:rFonts w:ascii="Arial" w:cs="Arial" w:eastAsia="Arial" w:hAnsi="Arial"/>
          <w:sz w:val="18"/>
          <w:szCs w:val="18"/>
          <w:color w:val="auto"/>
        </w:rPr>
        <w:t>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initiation of our first Phase 2 clinical trial in September 2020 triggered a $50,000 liability to WSU, which was repaid in full as of December 31, 2020.</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080" w:hanging="532"/>
        <w:spacing w:after="0" w:line="24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right="20" w:firstLine="54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our initial public offering in September 2020 was a triggering event under the terms of the grant and the liability was remeasured to the pay-off amount of $1.5 million as of September 30, 2020 and repaid in full as of December 31,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to support our ACT-AD Phase 2 clinical trial for ATH-1017. Under the terms of the agreement, we may receive approximately $7.8 million with the potential for an additional $7.4 million up to an aggregate of $15.2 million. For additional information regarding this grant, see the section of this Annual Report on Form 10-K titled “Business—Our Collaboration and Grant Agreements.” We recognized $1.1 million of income related to our NIH grant in 2020 and at December 31, 2020, carried on the accompanying balance sheet an unbilled receivable of $1.1 million for reimbursable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the Cloud</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January 2019, the Alzheimer’s Association awarded us a $1.0 million Part the Cloud research grant. Grant proceeds must be used to advance our ATH-1017 product candidate in the Alzheimer’s disease setting. Reporting of expenses incurred supported by the grant as well as research updates are sent to the Alzheimer’s Association semi-annually. Under the terms of the agreement, we received $ 776,000 in 2019 and received the remaining $224,000 in March 2021 after having completed certain development milestones in October 2020. We recognize income related to the Part the Cloud research grant as qualifying expenses under the grant agreement are incurred. During the years ended December 31, 2020 and 2019, we recognized $246,000 and $754,000, respectively, in grant income associated with the Part the Cloud research grant. As of December 31, 2020, we have incurred qualifying expenses in excess of cash received of approximately $224,000, which is included in unbilled grant receivable on the consolidated balance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5" w:name="page116"/>
    <w:bookmarkEnd w:id="115"/>
    <w:p>
      <w:pPr>
        <w:jc w:val="both"/>
        <w:spacing w:after="0" w:line="246" w:lineRule="auto"/>
        <w:rPr>
          <w:sz w:val="20"/>
          <w:szCs w:val="20"/>
          <w:color w:val="auto"/>
        </w:rPr>
      </w:pPr>
      <w:r>
        <w:rPr>
          <w:rFonts w:ascii="Arial" w:cs="Arial" w:eastAsia="Arial" w:hAnsi="Arial"/>
          <w:sz w:val="18"/>
          <w:szCs w:val="18"/>
          <w:color w:val="auto"/>
        </w:rPr>
        <w:t>sheets. As of December 31, 2019, we had cash received in excess of qualifying expenses of approximately $22,000, a liability for which was included in accrued expenses on the consolidated balance sheets.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initiate and conduct current and planned Phase 2 and Phase 2/3 clinical trials for ATH-1017.</w:t>
      </w:r>
    </w:p>
    <w:p>
      <w:pPr>
        <w:spacing w:after="0" w:line="20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95"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6" w:name="page117"/>
    <w:bookmarkEnd w:id="116"/>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impact of COVID-19 on timelines and clinical operations, which may lead to increased costs; and</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97"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Grant income consists of income related to the Part the Cloud and NIH grants and is recognized as qualifying expenses under the grant agreements are incurred. We expect grant income associated with the NIH grant will increase in future years, as we expect qualifying expenses under the grant terms to increase substantially in relation to our continued research activities and development of our programs. Under the terms of the agreement, we may receive approximately $7.8 million, with the potential for an additional $7.4 million, up to an aggregate of $15.2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Other income (expense), net consists of interest earned on our cash, cash equivalents, and investments, periodic mark-to-market gains and losses on the derivative, grant, and convertible preferred stock warrant liabilities carried at fair value, and interest expense on our convertible notes. In the future, we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7" w:name="page118"/>
    <w:bookmarkEnd w:id="117"/>
    <w:p>
      <w:pPr>
        <w:jc w:val="both"/>
        <w:ind w:right="20"/>
        <w:spacing w:after="0" w:line="246" w:lineRule="auto"/>
        <w:rPr>
          <w:sz w:val="20"/>
          <w:szCs w:val="20"/>
          <w:color w:val="auto"/>
        </w:rPr>
      </w:pPr>
      <w:r>
        <w:rPr>
          <w:rFonts w:ascii="Arial" w:cs="Arial" w:eastAsia="Arial" w:hAnsi="Arial"/>
          <w:sz w:val="18"/>
          <w:szCs w:val="18"/>
          <w:color w:val="auto"/>
        </w:rPr>
        <w:t>expect investment income to be the primary component of other income, net as the mark-to-market liabilities and convertible notes were all settled in 2020 and will no longer be adjusted to fair value.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69"/>
        </w:trPr>
        <w:tc>
          <w:tcPr>
            <w:tcW w:w="3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13,286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9,493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8"/>
                <w:szCs w:val="18"/>
                <w:color w:val="auto"/>
              </w:rPr>
            </w:pPr>
          </w:p>
        </w:tc>
      </w:tr>
      <w:tr>
        <w:trPr>
          <w:trHeight w:val="209"/>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FF0FC"/>
            </w:tcBorders>
          </w:tcPr>
          <w:p>
            <w:pPr>
              <w:spacing w:after="0"/>
              <w:rPr>
                <w:sz w:val="18"/>
                <w:szCs w:val="18"/>
                <w:color w:val="auto"/>
              </w:rPr>
            </w:pP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(19,995)</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(14,546)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 income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(1,281)</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(19,955)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(14,794)</w:t>
            </w: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75"/>
        </w:trPr>
        <w:tc>
          <w:tcPr>
            <w:tcW w:w="4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40"/>
              <w:spacing w:after="0"/>
              <w:rPr>
                <w:sz w:val="20"/>
                <w:szCs w:val="20"/>
                <w:color w:val="auto"/>
              </w:rPr>
            </w:pPr>
            <w:r>
              <w:rPr>
                <w:rFonts w:ascii="Arial" w:cs="Arial" w:eastAsia="Arial" w:hAnsi="Arial"/>
                <w:sz w:val="18"/>
                <w:szCs w:val="18"/>
                <w:color w:val="auto"/>
              </w:rPr>
              <w:t>ATH-1017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10,648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Preclinical programs</w:t>
            </w:r>
          </w:p>
        </w:tc>
        <w:tc>
          <w:tcPr>
            <w:tcW w:w="8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8"/>
                <w:szCs w:val="18"/>
                <w:color w:val="auto"/>
              </w:rPr>
            </w:pPr>
          </w:p>
        </w:tc>
      </w:tr>
      <w:tr>
        <w:trPr>
          <w:trHeight w:val="209"/>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8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FF0FC"/>
            </w:tcBorders>
          </w:tcPr>
          <w:p>
            <w:pPr>
              <w:spacing w:after="0"/>
              <w:rPr>
                <w:sz w:val="18"/>
                <w:szCs w:val="18"/>
                <w:color w:val="auto"/>
              </w:rPr>
            </w:pP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340" w:type="dxa"/>
            <w:vAlign w:val="bottom"/>
          </w:tcPr>
          <w:p>
            <w:pPr>
              <w:ind w:left="240"/>
              <w:spacing w:after="0"/>
              <w:rPr>
                <w:sz w:val="20"/>
                <w:szCs w:val="20"/>
                <w:color w:val="auto"/>
              </w:rPr>
            </w:pPr>
            <w:r>
              <w:rPr>
                <w:rFonts w:ascii="Arial" w:cs="Arial" w:eastAsia="Arial" w:hAnsi="Arial"/>
                <w:sz w:val="18"/>
                <w:szCs w:val="18"/>
                <w:color w:val="auto"/>
              </w:rPr>
              <w:t>Personnel-related costs, including stock-</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340" w:type="dxa"/>
            <w:vAlign w:val="bottom"/>
          </w:tcPr>
          <w:p>
            <w:pPr>
              <w:ind w:left="400"/>
              <w:spacing w:after="0" w:line="203" w:lineRule="exact"/>
              <w:rPr>
                <w:sz w:val="20"/>
                <w:szCs w:val="20"/>
                <w:color w:val="auto"/>
              </w:rPr>
            </w:pPr>
            <w:r>
              <w:rPr>
                <w:rFonts w:ascii="Arial" w:cs="Arial" w:eastAsia="Arial" w:hAnsi="Arial"/>
                <w:sz w:val="18"/>
                <w:szCs w:val="18"/>
                <w:color w:val="auto"/>
              </w:rPr>
              <w:t>based compensation</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1,831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791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1,040</w:t>
            </w:r>
          </w:p>
        </w:tc>
        <w:tc>
          <w:tcPr>
            <w:tcW w:w="1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r>
      <w:tr>
        <w:trPr>
          <w:trHeight w:val="216"/>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Facilities and other costs</w:t>
            </w:r>
          </w:p>
        </w:tc>
        <w:tc>
          <w:tcPr>
            <w:tcW w:w="8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8"/>
                <w:szCs w:val="18"/>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13,286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9,493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Research and development expenses increased by $9.5 million, from $3.8 million for the year ended December 31, 2019 to $13.3 million for the year ended December 31, 2020. The increase was driven primarily by an increase in expenses for ATH-1017 of $8.0 million related to start-up activities by our clinical research organization and clinical drug supply manufacturers for Phase 2 clinical trials, and to a lesser extent, by increases in personnel-related costs due primarily to an increase in headcount, facilities, and other costs supporting our general growth.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General and administrative expenses increased by $ 5.0 million, from $ 1.7 million for the year ended December 31, 2019 to $6.7 million for the year ended December 31, 2020. The increase was primarily due to an increase in corporate legal, accounting, technical and consulting services of $1.7 million, an increase in personnel-related costs of $1.9 million, due primarily to an increase in headcount to support our continued growth, and to a lesser extent, by increases in insurance and other administrative costs.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Grant income increased by $0.6 million, from $0.7 million for the year ended December 31, 2019 to $1.3 million for the year ended December 31, 2020. The increase was driven by our acceptance of the NIH grant, under which we recognized grant income of $1.1 million, offset by a decrease of $0.5 million in grant income recognized associated with our Part the Cloud grant.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Other income (expense), net, changed from expense of $0.5 million for the year ended December 31, 2019 to expense of $1.3 million for the year ended December 31, 2020. The change was primarily due to an increase of $1.0 million in losses of liabilities recorded at fair value during the year ended December 31, 2020 compared to the year ended December 31, 2019, offset by a gain of $0.2 million recognized during the year ended December 31, 2020 upon extinguishment of convertible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2020, we have raised aggregate net cash proceeds of $310.6 million primarily from the issuance of our common stock, convertible preferred stock, common stock warrants, and convertible notes. Net cash proceeds in 2020 totaled $294.3 million.</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Recent sales of our common stock were as follows: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9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w:t>
            </w:r>
          </w:p>
        </w:tc>
      </w:tr>
      <w:tr>
        <w:trPr>
          <w:trHeight w:val="175"/>
        </w:trPr>
        <w:tc>
          <w:tcPr>
            <w:tcW w:w="59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Proceeds</w:t>
            </w:r>
          </w:p>
        </w:tc>
      </w:tr>
      <w:tr>
        <w:trPr>
          <w:trHeight w:val="175"/>
        </w:trPr>
        <w:tc>
          <w:tcPr>
            <w:tcW w:w="59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FF0FC"/>
            </w:tcBorders>
          </w:tcPr>
          <w:p>
            <w:pPr>
              <w:spacing w:after="0"/>
              <w:rPr>
                <w:sz w:val="15"/>
                <w:szCs w:val="15"/>
                <w:color w:val="auto"/>
              </w:rPr>
            </w:pPr>
          </w:p>
        </w:tc>
      </w:tr>
      <w:tr>
        <w:trPr>
          <w:trHeight w:val="20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September 2020 IPO</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October 2020 overallotment exercise</w:t>
            </w:r>
          </w:p>
        </w:tc>
        <w:tc>
          <w:tcPr>
            <w:tcW w:w="1180" w:type="dxa"/>
            <w:vAlign w:val="bottom"/>
          </w:tcPr>
          <w:p>
            <w:pPr>
              <w:jc w:val="right"/>
              <w:spacing w:after="0"/>
              <w:rPr>
                <w:sz w:val="20"/>
                <w:szCs w:val="20"/>
                <w:color w:val="auto"/>
              </w:rPr>
            </w:pPr>
            <w:r>
              <w:rPr>
                <w:rFonts w:ascii="Arial" w:cs="Arial" w:eastAsia="Arial" w:hAnsi="Arial"/>
                <w:sz w:val="18"/>
                <w:szCs w:val="18"/>
                <w:color w:val="auto"/>
              </w:rPr>
              <w:t>1,397,712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January 2021 follow-on public offering</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February 2021 overallotment exercise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tcPr>
          <w:p>
            <w:pPr>
              <w:spacing w:after="0"/>
              <w:rPr>
                <w:sz w:val="18"/>
                <w:szCs w:val="18"/>
                <w:color w:val="auto"/>
              </w:rPr>
            </w:pPr>
          </w:p>
        </w:tc>
      </w:tr>
      <w:tr>
        <w:trPr>
          <w:trHeight w:val="209"/>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17,997,712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FF0FC"/>
          </w:tcPr>
          <w:p>
            <w:pPr>
              <w:spacing w:after="0"/>
              <w:rPr>
                <w:sz w:val="18"/>
                <w:szCs w:val="18"/>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As of December 31, 2020, we had $268.2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Based upon our current operating plan, we estimate that our $ 268.2 million of cash, cash equivalents, and investments at December 31, 2020 will be sufficient to fund our operating expenses and capital expenditure requirements through at least the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9" w:name="page120"/>
    <w:bookmarkEnd w:id="119"/>
    <w:p>
      <w:pPr>
        <w:jc w:val="both"/>
        <w:spacing w:after="0" w:line="236" w:lineRule="auto"/>
        <w:rPr>
          <w:sz w:val="20"/>
          <w:szCs w:val="20"/>
          <w:color w:val="auto"/>
        </w:rPr>
      </w:pPr>
      <w:r>
        <w:rPr>
          <w:rFonts w:ascii="Arial" w:cs="Arial" w:eastAsia="Arial" w:hAnsi="Arial"/>
          <w:sz w:val="18"/>
          <w:szCs w:val="18"/>
          <w:color w:val="auto"/>
        </w:rPr>
        <w:t>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0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97"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3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(24,113)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(3,713)</w:t>
            </w:r>
          </w:p>
        </w:tc>
      </w:tr>
      <w:tr>
        <w:trPr>
          <w:trHeight w:val="216"/>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(210,068)</w:t>
            </w: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292,750</w:t>
            </w:r>
          </w:p>
        </w:tc>
        <w:tc>
          <w:tcPr>
            <w:tcW w:w="2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FF0FC"/>
            </w:tcBorders>
          </w:tcPr>
          <w:p>
            <w:pPr>
              <w:spacing w:after="0"/>
              <w:rPr>
                <w:sz w:val="18"/>
                <w:szCs w:val="18"/>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3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equivalents</w:t>
            </w: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58,569</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(1,261)</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During the year ended December 31, 2020, net cash used in operating activities was $ 24.1 million. This consisted primarily of a net loss of $19.9 million, partially offset by non-cash charges of $2.3 million and an increase in our net operating assets of $6.5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unbilled grant receivable and prepaid expenses and other current assets and a decrease in grant liabilities, partially offset by an increase in accounts payable and accrued expenses.</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During the year ended December 31, 2020, net cash used in investing activities was $210.1 million. This consisted primarily of purchases of available-for-sale securities of $226.8 million and purchases of property and equipment of $2.3 million, partially offset by maturities of available-for-sale securities of $19.1 million.</w:t>
      </w:r>
    </w:p>
    <w:p>
      <w:pPr>
        <w:spacing w:after="0" w:line="20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During the year ended December 31, 2020, net cash provided by financing activities was $292.8 million. This consisted primarily of net proceeds received from our IPO of $ 208.5 million, net proceeds of $81.9 million from the issuance of our Series B convertible preferred stock and common stock warrants, $1.7 million from the issuance of our convertible notes, and to a lesser extent from exercises of stock options and common stock warrants.</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During the year ended December 31, 2019, net cash provided by financing activities was $0.9 million. This consisted primarily of proceeds of $0.9 million from the issuance of our convertible notes and to a lesser extent from exercises of stock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303(d) of Regulation 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Our convertible notes had conversion and redemption features that met the definition of an embedded derivative and were therefore subject to derivative accounting. The initial fair value of the derivative was recorded as a discount to the convertible notes, with a corresponding derivative liability. The discount to the convertible notes was amortized using the effective interest method. The amortization of the discount was included in other income (expense), net in our statements of operations and comprehensive loss. The derivative liability related to these features was recorded at estimated fair value on a recurring basis. Any changes in fair value were reflected in other income (expense), net in our statements of operations and comprehensive loss at each period end while such instruments were outstanding. The derivative liability was remeasured to fair value until its settlement in May 2020 upon the conversion of the underlying convertible notes into shares of our Series B-1 convertible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Freestanding warrants to purchase shares of our convertible preferred stock were accounted for as liabilities at fair value, because the shares underlying the warrants contained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The liability is adjusted for changes in the fair value of these warrants until the earlier of the exercise of the warrants, the expiration of the warrants, or until such time as the warrants are no longer considered liability instruments. The convertible preferred stock warrant liability was remeasured to fair value until its settlement in September 2020 upon the net exercise of warrants in connection with our IPO.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2" w:name="page123"/>
    <w:bookmarkEnd w:id="122"/>
    <w:p>
      <w:pPr>
        <w:jc w:val="both"/>
        <w:spacing w:after="0" w:line="237" w:lineRule="auto"/>
        <w:rPr>
          <w:sz w:val="20"/>
          <w:szCs w:val="20"/>
          <w:color w:val="auto"/>
        </w:rPr>
      </w:pPr>
      <w:r>
        <w:rPr>
          <w:rFonts w:ascii="Arial" w:cs="Arial" w:eastAsia="Arial" w:hAnsi="Arial"/>
          <w:sz w:val="18"/>
          <w:szCs w:val="18"/>
          <w:color w:val="auto"/>
        </w:rPr>
        <w:t>probabilities to the timing and likelihood of each triggering event, each of which is disclosed in Note 7 to our consolidated financial statements included elsewhere in this report,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The consummation of our IPO in September 2020 was a triggering event under the terms of the grant and the liability was remeasured to the pay-off amount of $1.5 million as of September 30, 2020 and repaid in full as of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20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71"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7"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2" w:lineRule="exact"/>
        <w:rPr>
          <w:rFonts w:ascii="Arial" w:cs="Arial" w:eastAsia="Arial" w:hAnsi="Arial"/>
          <w:sz w:val="18"/>
          <w:szCs w:val="18"/>
          <w:color w:val="auto"/>
        </w:rPr>
      </w:pPr>
    </w:p>
    <w:p>
      <w:pPr>
        <w:jc w:val="both"/>
        <w:ind w:left="1080" w:hanging="532"/>
        <w:spacing w:after="0" w:line="242"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have been privately held and do not have sufficient trading history for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76" w:lineRule="exact"/>
        <w:rPr>
          <w:rFonts w:ascii="Arial" w:cs="Arial" w:eastAsia="Arial" w:hAnsi="Arial"/>
          <w:sz w:val="18"/>
          <w:szCs w:val="18"/>
          <w:color w:val="auto"/>
        </w:rPr>
      </w:pPr>
    </w:p>
    <w:p>
      <w:pPr>
        <w:jc w:val="both"/>
        <w:ind w:left="1080" w:hanging="532"/>
        <w:spacing w:after="0" w:line="250"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68" w:lineRule="exact"/>
        <w:rPr>
          <w:rFonts w:ascii="Arial" w:cs="Arial" w:eastAsia="Arial" w:hAnsi="Arial"/>
          <w:sz w:val="18"/>
          <w:szCs w:val="18"/>
          <w:color w:val="auto"/>
        </w:rPr>
      </w:pPr>
    </w:p>
    <w:p>
      <w:pPr>
        <w:ind w:left="1080" w:right="20" w:hanging="532"/>
        <w:spacing w:after="0" w:line="26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3" w:name="page124"/>
    <w:bookmarkEnd w:id="123"/>
    <w:p>
      <w:pPr>
        <w:jc w:val="both"/>
        <w:ind w:firstLine="546"/>
        <w:spacing w:after="0" w:line="238" w:lineRule="auto"/>
        <w:rPr>
          <w:sz w:val="20"/>
          <w:szCs w:val="20"/>
          <w:color w:val="auto"/>
        </w:rPr>
      </w:pPr>
      <w:r>
        <w:rPr>
          <w:rFonts w:ascii="Arial" w:cs="Arial" w:eastAsia="Arial" w:hAnsi="Arial"/>
          <w:sz w:val="18"/>
          <w:szCs w:val="18"/>
          <w:color w:val="auto"/>
        </w:rPr>
        <w:t>See Note 12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recorded stock-based compensation expense of $0.6 million and $0.3 million for the years ended December 31, 2020 and 2019, respectively. As of December 31, 2020, there was $ 3.9 million of total unrecognized stock-based compensation expense related to unvested stock options which we expect to recognize over a remaining weighted-average period of 1.75 years. We expect to continue to grant stock options and other equity-based awards in the future, and to the extent that we do, our stock-based compensation expense recognized in future periods will likely increase.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 xml:space="preserve">Historically, for all periods prior to our IPO, since there was no public market of our common stock,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 but are not limited to:</w:t>
      </w:r>
    </w:p>
    <w:p>
      <w:pPr>
        <w:spacing w:after="0" w:line="95"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4" w:name="page125"/>
    <w:bookmarkEnd w:id="124"/>
    <w:p>
      <w:pPr>
        <w:jc w:val="both"/>
        <w:spacing w:after="0" w:line="246" w:lineRule="auto"/>
        <w:rPr>
          <w:sz w:val="20"/>
          <w:szCs w:val="20"/>
          <w:color w:val="auto"/>
        </w:rPr>
      </w:pPr>
      <w:r>
        <w:rPr>
          <w:rFonts w:ascii="Arial" w:cs="Arial" w:eastAsia="Arial" w:hAnsi="Arial"/>
          <w:sz w:val="18"/>
          <w:szCs w:val="18"/>
          <w:color w:val="auto"/>
        </w:rPr>
        <w:t>financing equals the amount paid. This method was selected as management concluded that the contemporaneous financing transaction was an arms-length transaction.</w:t>
      </w:r>
    </w:p>
    <w:p>
      <w:pPr>
        <w:spacing w:after="0" w:line="19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205"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Since the completion of our IPO in September 2020, our board of directors will determine the fair market value of our common stock based on its closing price as reported on the date of grant on the Nasdaq Global Select Market.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As of December 31, 2020, we had $9.4 million of federal net operating loss, or NOL, carryforwards and $1.3 million of tax credit carryforwards which expire over a period of 11 to 17 years. As of December 31, 2020, we had $29.1 million of such NOLs that do not expire.</w:t>
      </w:r>
    </w:p>
    <w:p>
      <w:pPr>
        <w:spacing w:after="0" w:line="19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2 to our consolidated financial statements included elsewhere in this report for additional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jc w:val="both"/>
        <w:ind w:right="20" w:firstLine="546"/>
        <w:spacing w:after="0"/>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5" w:name="page126"/>
    <w:bookmarkEnd w:id="125"/>
    <w:p>
      <w:pPr>
        <w:jc w:val="both"/>
        <w:spacing w:after="0" w:line="238" w:lineRule="auto"/>
        <w:rPr>
          <w:sz w:val="20"/>
          <w:szCs w:val="20"/>
          <w:color w:val="auto"/>
        </w:rPr>
      </w:pPr>
      <w:r>
        <w:rPr>
          <w:rFonts w:ascii="Arial" w:cs="Arial" w:eastAsia="Arial" w:hAnsi="Arial"/>
          <w:sz w:val="18"/>
          <w:szCs w:val="18"/>
          <w:color w:val="auto"/>
        </w:rPr>
        <w:t>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6"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6" w:name="page127"/>
    <w:bookmarkEnd w:id="126"/>
    <w:p>
      <w:pPr>
        <w:jc w:val="center"/>
        <w:ind w:left="5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Index to Financial Statements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gridSpan w:val="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Report of Independent Registered Public Accounting Firm</w:t>
              </w:r>
            </w:hyperlink>
          </w:p>
        </w:tc>
        <w:tc>
          <w:tcPr>
            <w:tcW w:w="21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196"/>
        </w:trPr>
        <w:tc>
          <w:tcPr>
            <w:tcW w:w="4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Consolidated Balance Sheets</w:t>
              </w:r>
            </w:hyperlink>
          </w:p>
        </w:tc>
        <w:tc>
          <w:tcPr>
            <w:tcW w:w="444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2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52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Consolidated Statements of Operations and Comprehensive Loss</w:t>
              </w:r>
            </w:hyperlink>
          </w:p>
        </w:tc>
        <w:tc>
          <w:tcPr>
            <w:tcW w:w="380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71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Consolidated Statements of Convertible Preferred Stock and Stockholders' (Deficit) Equity</w:t>
              </w:r>
            </w:hyperlink>
          </w:p>
        </w:tc>
        <w:tc>
          <w:tcPr>
            <w:tcW w:w="186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9040" w:type="dxa"/>
            <w:vAlign w:val="bottom"/>
            <w:gridSpan w:val="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Cash Flows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9040" w:type="dxa"/>
            <w:vAlign w:val="bottom"/>
            <w:gridSpan w:val="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Notes to Consolidated Financial Statements</w:t>
              </w:r>
            </w:hyperlink>
          </w:p>
        </w:tc>
        <w:tc>
          <w:tcPr>
            <w:tcW w:w="218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7" w:name="page128"/>
    <w:bookmarkEnd w:id="127"/>
    <w:p>
      <w:pPr>
        <w:ind w:right="2880" w:firstLine="2884"/>
        <w:spacing w:after="0" w:line="464"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Stockholders and the Board of Directors of Athira Pharma, Inc.: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0"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We have audited the accompanying consolidated balance sheets of Athira Pharma, Inc. (the Company) as of December 31, 2020 and 2019, the related consolidated statements of operations and comprehensive loss, consolidated statements of convertible preferred stock and stockholders’ (deficit) equity,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-556895</wp:posOffset>
            </wp:positionV>
            <wp:extent cx="2540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400" cy="1371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Standard</w:t>
      </w:r>
    </w:p>
    <w:p>
      <w:pPr>
        <w:spacing w:after="0" w:line="240"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As discussed in Note 2 to the consolidated financial statements, the Company has changed its method for accounting for leases in 2020 due to the adoption of ASU No. 2016-02, Leases (Topic 842).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40"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9"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rPr>
          <w:sz w:val="20"/>
          <w:szCs w:val="20"/>
          <w:color w:val="auto"/>
        </w:rPr>
      </w:pPr>
      <w:r>
        <w:rPr>
          <w:rFonts w:ascii="Arial" w:cs="Arial" w:eastAsia="Arial" w:hAnsi="Arial"/>
          <w:sz w:val="20"/>
          <w:szCs w:val="20"/>
          <w:color w:val="auto"/>
        </w:rPr>
        <w:t>March 25, 2021</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7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124,057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Unbilled grant receivable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192,337</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Unsecured related party note receivable</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8"/>
                <w:szCs w:val="18"/>
                <w:color w:val="auto"/>
              </w:rPr>
            </w:pPr>
          </w:p>
        </w:tc>
      </w:tr>
      <w:tr>
        <w:trPr>
          <w:trHeight w:val="25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279,563</w:t>
            </w:r>
          </w:p>
        </w:tc>
        <w:tc>
          <w:tcPr>
            <w:tcW w:w="3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tcPr>
          <w:p>
            <w:pPr>
              <w:spacing w:after="0"/>
              <w:rPr>
                <w:sz w:val="21"/>
                <w:szCs w:val="21"/>
                <w:color w:val="auto"/>
              </w:rPr>
            </w:pPr>
          </w:p>
        </w:tc>
      </w:tr>
      <w:tr>
        <w:trPr>
          <w:trHeight w:val="174"/>
        </w:trPr>
        <w:tc>
          <w:tcPr>
            <w:tcW w:w="7700" w:type="dxa"/>
            <w:vAlign w:val="bottom"/>
            <w:shd w:val="clear" w:color="auto" w:fill="CFF0FC"/>
          </w:tcPr>
          <w:p>
            <w:pPr>
              <w:spacing w:after="0" w:line="174" w:lineRule="exact"/>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5"/>
        </w:trPr>
        <w:tc>
          <w:tcPr>
            <w:tcW w:w="770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(deficit)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less current portion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Grant liability</w:t>
            </w:r>
          </w:p>
        </w:tc>
        <w:tc>
          <w:tcPr>
            <w:tcW w:w="2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$0.0001 par value; 0 and 2,797,464</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shares authorized at December 31, 2020 and 2019,</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respectively; 0 and 2,617,386 shares issued and outstanding</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at December 31, 2020 and 2019, respectively</w:t>
            </w: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17,051</w:t>
            </w: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900,000,000 and 10,088,017</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shares authorized at December 31, 2020 and 2019,</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respectively; 32,485,784 and 3,641,449 shares issued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outstanding at December 31, 2020 and 2019, respectively</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315,288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(41,042)</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(21,087)</w:t>
            </w:r>
          </w:p>
        </w:tc>
      </w:tr>
      <w:tr>
        <w:trPr>
          <w:trHeight w:val="20"/>
        </w:trPr>
        <w:tc>
          <w:tcPr>
            <w:tcW w:w="7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(19,723)</w:t>
            </w: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liabilities, convertible preferred stock and stockholders'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660"/>
              <w:spacing w:after="0" w:line="203" w:lineRule="exact"/>
              <w:rPr>
                <w:sz w:val="20"/>
                <w:szCs w:val="20"/>
                <w:color w:val="auto"/>
              </w:rPr>
            </w:pPr>
            <w:r>
              <w:rPr>
                <w:rFonts w:ascii="Arial" w:cs="Arial" w:eastAsia="Arial" w:hAnsi="Arial"/>
                <w:sz w:val="18"/>
                <w:szCs w:val="18"/>
                <w:color w:val="auto"/>
              </w:rPr>
              <w:t>equity (deficit)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279,563</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2,189</w:t>
            </w:r>
          </w:p>
        </w:tc>
        <w:tc>
          <w:tcPr>
            <w:tcW w:w="12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13,286</w:t>
            </w:r>
          </w:p>
        </w:tc>
        <w:tc>
          <w:tcPr>
            <w:tcW w:w="18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(19,995)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Grant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(19,955)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197"/>
        </w:trPr>
        <w:tc>
          <w:tcPr>
            <w:tcW w:w="7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Unrealized gain on available-for-sale securities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700" w:type="dxa"/>
            <w:vAlign w:val="bottom"/>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(19,922)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360" w:type="dxa"/>
            <w:vAlign w:val="bottom"/>
            <w:shd w:val="clear" w:color="auto" w:fill="CFF0FC"/>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(1.67)</w:t>
            </w:r>
          </w:p>
        </w:tc>
        <w:tc>
          <w:tcPr>
            <w:tcW w:w="48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11,966,912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3,566,849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2040" w:type="dxa"/>
            <w:vAlign w:val="bottom"/>
            <w:tcBorders>
              <w:right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82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880" w:type="dxa"/>
            <w:vAlign w:val="bottom"/>
          </w:tcPr>
          <w:p>
            <w:pPr>
              <w:jc w:val="center"/>
              <w:ind w:right="148"/>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28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right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as of January 1, 2019</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2,617,386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3,559,484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(15,926)</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(14,887)</w:t>
            </w:r>
          </w:p>
        </w:tc>
        <w:tc>
          <w:tcPr>
            <w:tcW w:w="0" w:type="dxa"/>
            <w:vAlign w:val="bottom"/>
          </w:tcPr>
          <w:p>
            <w:pPr>
              <w:spacing w:after="0"/>
              <w:rPr>
                <w:sz w:val="1"/>
                <w:szCs w:val="1"/>
                <w:color w:val="auto"/>
              </w:rPr>
            </w:pPr>
          </w:p>
        </w:tc>
      </w:tr>
      <w:tr>
        <w:trPr>
          <w:trHeight w:val="180"/>
        </w:trPr>
        <w:tc>
          <w:tcPr>
            <w:tcW w:w="28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380"/>
              <w:spacing w:after="0" w:line="157" w:lineRule="exact"/>
              <w:rPr>
                <w:sz w:val="20"/>
                <w:szCs w:val="20"/>
                <w:color w:val="auto"/>
              </w:rPr>
            </w:pPr>
            <w:r>
              <w:rPr>
                <w:rFonts w:ascii="Arial" w:cs="Arial" w:eastAsia="Arial" w:hAnsi="Arial"/>
                <w:sz w:val="14"/>
                <w:szCs w:val="14"/>
                <w:color w:val="auto"/>
              </w:rPr>
              <w:t>exercise of common stock options</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81,965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76"/>
        </w:trPr>
        <w:tc>
          <w:tcPr>
            <w:tcW w:w="28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(5,161)</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(5,161)</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as of December 31, 2019</w:t>
            </w: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vMerge w:val="continue"/>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2,617,386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3,641,449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(21,087)</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(19,723)</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of common stock upon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380"/>
              <w:spacing w:after="0" w:line="157" w:lineRule="exact"/>
              <w:rPr>
                <w:sz w:val="20"/>
                <w:szCs w:val="20"/>
                <w:color w:val="auto"/>
              </w:rPr>
            </w:pPr>
            <w:r>
              <w:rPr>
                <w:rFonts w:ascii="Arial" w:cs="Arial" w:eastAsia="Arial" w:hAnsi="Arial"/>
                <w:sz w:val="14"/>
                <w:szCs w:val="14"/>
                <w:color w:val="auto"/>
              </w:rPr>
              <w:t>exercise of common stock options</w:t>
            </w: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540,934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544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80"/>
        </w:trPr>
        <w:tc>
          <w:tcPr>
            <w:tcW w:w="2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Series B convertible</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preferred stock and common</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warrants, net of issuance</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costs of $3.5 million</w:t>
            </w:r>
          </w:p>
        </w:tc>
        <w:tc>
          <w:tcPr>
            <w:tcW w:w="8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9,372,765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70,971</w:t>
            </w:r>
          </w:p>
        </w:tc>
        <w:tc>
          <w:tcPr>
            <w:tcW w:w="22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10,591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10,591</w:t>
            </w:r>
          </w:p>
        </w:tc>
        <w:tc>
          <w:tcPr>
            <w:tcW w:w="0" w:type="dxa"/>
            <w:vAlign w:val="bottom"/>
          </w:tcPr>
          <w:p>
            <w:pPr>
              <w:spacing w:after="0"/>
              <w:rPr>
                <w:sz w:val="1"/>
                <w:szCs w:val="1"/>
                <w:color w:val="auto"/>
              </w:rPr>
            </w:pPr>
          </w:p>
        </w:tc>
      </w:tr>
      <w:tr>
        <w:trPr>
          <w:trHeight w:val="180"/>
        </w:trPr>
        <w:tc>
          <w:tcPr>
            <w:tcW w:w="2840" w:type="dxa"/>
            <w:vAlign w:val="bottom"/>
          </w:tcPr>
          <w:p>
            <w:pPr>
              <w:ind w:left="260"/>
              <w:spacing w:after="0"/>
              <w:rPr>
                <w:sz w:val="20"/>
                <w:szCs w:val="20"/>
                <w:color w:val="auto"/>
              </w:rPr>
            </w:pPr>
            <w:r>
              <w:rPr>
                <w:rFonts w:ascii="Arial" w:cs="Arial" w:eastAsia="Arial" w:hAnsi="Arial"/>
                <w:sz w:val="14"/>
                <w:szCs w:val="14"/>
                <w:color w:val="auto"/>
              </w:rPr>
              <w:t>Issuance of the Series B-1 convertible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380"/>
              <w:spacing w:after="0"/>
              <w:rPr>
                <w:sz w:val="20"/>
                <w:szCs w:val="20"/>
                <w:color w:val="auto"/>
              </w:rPr>
            </w:pPr>
            <w:r>
              <w:rPr>
                <w:rFonts w:ascii="Arial" w:cs="Arial" w:eastAsia="Arial" w:hAnsi="Arial"/>
                <w:sz w:val="14"/>
                <w:szCs w:val="14"/>
                <w:color w:val="auto"/>
              </w:rPr>
              <w:t>preferred stock upon conversion of</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380"/>
              <w:spacing w:after="0" w:line="157" w:lineRule="exact"/>
              <w:rPr>
                <w:sz w:val="20"/>
                <w:szCs w:val="20"/>
                <w:color w:val="auto"/>
              </w:rPr>
            </w:pPr>
            <w:r>
              <w:rPr>
                <w:rFonts w:ascii="Arial" w:cs="Arial" w:eastAsia="Arial" w:hAnsi="Arial"/>
                <w:sz w:val="14"/>
                <w:szCs w:val="14"/>
                <w:color w:val="auto"/>
              </w:rPr>
              <w:t>convertible notes</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512,858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4,515</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w:t>
            </w: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of underwriters' discounts and</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commissions and issuance costs of</w:t>
            </w: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$3.3 million</w:t>
            </w: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80" w:type="dxa"/>
            <w:vAlign w:val="bottom"/>
            <w:tcBorders>
              <w:right w:val="single" w:sz="8" w:color="auto"/>
            </w:tcBorders>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13,397,712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208,515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jc w:val="right"/>
              <w:ind w:right="8"/>
              <w:spacing w:after="0" w:line="157" w:lineRule="exact"/>
              <w:rPr>
                <w:sz w:val="20"/>
                <w:szCs w:val="20"/>
                <w:color w:val="auto"/>
              </w:rPr>
            </w:pPr>
            <w:r>
              <w:rPr>
                <w:rFonts w:ascii="Arial" w:cs="Arial" w:eastAsia="Arial" w:hAnsi="Arial"/>
                <w:sz w:val="14"/>
                <w:szCs w:val="14"/>
                <w:color w:val="auto"/>
              </w:rPr>
              <w:t>208,517</w:t>
            </w:r>
          </w:p>
        </w:tc>
        <w:tc>
          <w:tcPr>
            <w:tcW w:w="0" w:type="dxa"/>
            <w:vAlign w:val="bottom"/>
          </w:tcPr>
          <w:p>
            <w:pPr>
              <w:spacing w:after="0"/>
              <w:rPr>
                <w:sz w:val="1"/>
                <w:szCs w:val="1"/>
                <w:color w:val="auto"/>
              </w:rPr>
            </w:pPr>
          </w:p>
        </w:tc>
      </w:tr>
      <w:tr>
        <w:trPr>
          <w:trHeight w:val="180"/>
        </w:trPr>
        <w:tc>
          <w:tcPr>
            <w:tcW w:w="2840" w:type="dxa"/>
            <w:vAlign w:val="bottom"/>
          </w:tcPr>
          <w:p>
            <w:pPr>
              <w:ind w:left="260"/>
              <w:spacing w:after="0"/>
              <w:rPr>
                <w:sz w:val="20"/>
                <w:szCs w:val="20"/>
                <w:color w:val="auto"/>
              </w:rPr>
            </w:pPr>
            <w:r>
              <w:rPr>
                <w:rFonts w:ascii="Arial" w:cs="Arial" w:eastAsia="Arial" w:hAnsi="Arial"/>
                <w:sz w:val="14"/>
                <w:szCs w:val="14"/>
                <w:color w:val="auto"/>
              </w:rPr>
              <w:t>Conversion of convertible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380"/>
              <w:spacing w:after="0" w:line="157" w:lineRule="exact"/>
              <w:rPr>
                <w:sz w:val="20"/>
                <w:szCs w:val="20"/>
                <w:color w:val="auto"/>
              </w:rPr>
            </w:pPr>
            <w:r>
              <w:rPr>
                <w:rFonts w:ascii="Arial" w:cs="Arial" w:eastAsia="Arial" w:hAnsi="Arial"/>
                <w:sz w:val="14"/>
                <w:szCs w:val="14"/>
                <w:color w:val="auto"/>
              </w:rPr>
              <w:t>preferred stock</w:t>
            </w:r>
          </w:p>
        </w:tc>
        <w:tc>
          <w:tcPr>
            <w:tcW w:w="10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(12,503,009)</w:t>
            </w:r>
          </w:p>
        </w:tc>
        <w:tc>
          <w:tcPr>
            <w:tcW w:w="8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(92,537)</w:t>
            </w:r>
          </w:p>
        </w:tc>
        <w:tc>
          <w:tcPr>
            <w:tcW w:w="8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12,503,009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92,536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tcPr>
          <w:p>
            <w:pPr>
              <w:jc w:val="right"/>
              <w:ind w:right="8"/>
              <w:spacing w:after="0" w:line="157" w:lineRule="exact"/>
              <w:rPr>
                <w:sz w:val="20"/>
                <w:szCs w:val="20"/>
                <w:color w:val="auto"/>
              </w:rPr>
            </w:pPr>
            <w:r>
              <w:rPr>
                <w:rFonts w:ascii="Arial" w:cs="Arial" w:eastAsia="Arial" w:hAnsi="Arial"/>
                <w:sz w:val="14"/>
                <w:szCs w:val="14"/>
                <w:color w:val="auto"/>
              </w:rPr>
              <w:t>92,537</w:t>
            </w: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common stock warrants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2,402,680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75"/>
        </w:trPr>
        <w:tc>
          <w:tcPr>
            <w:tcW w:w="28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76"/>
        </w:trPr>
        <w:tc>
          <w:tcPr>
            <w:tcW w:w="2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5"/>
        </w:trPr>
        <w:tc>
          <w:tcPr>
            <w:tcW w:w="28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(19,955)</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(19,955)</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as of December 31, 2020</w:t>
            </w: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vMerge w:val="continue"/>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32,485,784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315,288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(41,042)</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274,282</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64"/>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ind w:right="765"/>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(19,955)</w:t>
            </w:r>
          </w:p>
        </w:tc>
        <w:tc>
          <w:tcPr>
            <w:tcW w:w="1020" w:type="dxa"/>
            <w:vAlign w:val="bottom"/>
          </w:tcPr>
          <w:p>
            <w:pPr>
              <w:jc w:val="right"/>
              <w:ind w:right="844"/>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(5,161)</w:t>
            </w: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500"/>
              <w:spacing w:after="0"/>
              <w:rPr>
                <w:sz w:val="20"/>
                <w:szCs w:val="20"/>
                <w:color w:val="auto"/>
              </w:rPr>
            </w:pPr>
            <w:r>
              <w:rPr>
                <w:rFonts w:ascii="Arial" w:cs="Arial" w:eastAsia="Arial" w:hAnsi="Arial"/>
                <w:sz w:val="15"/>
                <w:szCs w:val="15"/>
                <w:color w:val="auto"/>
              </w:rPr>
              <w:t>Stock-based compensation</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633</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fair value of derivative liability</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Change in fair value of convertible preferred stock warrant liability</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Change in fair value of grant liability</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Accretion of discounts on convertible notes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289</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Non-cash interest expense</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Gain on extinguishment of convertible notes</w:t>
            </w:r>
          </w:p>
        </w:tc>
        <w:tc>
          <w:tcPr>
            <w:tcW w:w="9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(199)</w:t>
            </w:r>
          </w:p>
        </w:tc>
        <w:tc>
          <w:tcPr>
            <w:tcW w:w="10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77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of premiums and accretion of discounts on</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720" w:type="dxa"/>
            <w:vAlign w:val="bottom"/>
            <w:shd w:val="clear" w:color="auto" w:fill="CFF0FC"/>
          </w:tcPr>
          <w:p>
            <w:pPr>
              <w:ind w:left="620"/>
              <w:spacing w:after="0" w:line="166" w:lineRule="exact"/>
              <w:rPr>
                <w:sz w:val="20"/>
                <w:szCs w:val="20"/>
                <w:color w:val="auto"/>
              </w:rPr>
            </w:pPr>
            <w:r>
              <w:rPr>
                <w:rFonts w:ascii="Arial" w:cs="Arial" w:eastAsia="Arial" w:hAnsi="Arial"/>
                <w:sz w:val="15"/>
                <w:szCs w:val="15"/>
                <w:color w:val="auto"/>
              </w:rPr>
              <w:t>available-for-sale securities, net</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251</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720" w:type="dxa"/>
            <w:vAlign w:val="bottom"/>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720" w:type="dxa"/>
            <w:vAlign w:val="bottom"/>
            <w:shd w:val="clear" w:color="auto" w:fill="CFF0FC"/>
          </w:tcPr>
          <w:p>
            <w:pPr>
              <w:ind w:left="620"/>
              <w:spacing w:after="0"/>
              <w:rPr>
                <w:sz w:val="20"/>
                <w:szCs w:val="20"/>
                <w:color w:val="auto"/>
              </w:rPr>
            </w:pPr>
            <w:r>
              <w:rPr>
                <w:rFonts w:ascii="Arial" w:cs="Arial" w:eastAsia="Arial" w:hAnsi="Arial"/>
                <w:sz w:val="15"/>
                <w:szCs w:val="15"/>
                <w:color w:val="auto"/>
              </w:rPr>
              <w:t>Unbilled grant receivables, prepaid expenses and other</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720" w:type="dxa"/>
            <w:vAlign w:val="bottom"/>
            <w:shd w:val="clear" w:color="auto" w:fill="CFF0FC"/>
          </w:tcPr>
          <w:p>
            <w:pPr>
              <w:ind w:left="760"/>
              <w:spacing w:after="0" w:line="166" w:lineRule="exact"/>
              <w:rPr>
                <w:sz w:val="20"/>
                <w:szCs w:val="20"/>
                <w:color w:val="auto"/>
              </w:rPr>
            </w:pPr>
            <w:r>
              <w:rPr>
                <w:rFonts w:ascii="Arial" w:cs="Arial" w:eastAsia="Arial" w:hAnsi="Arial"/>
                <w:sz w:val="15"/>
                <w:szCs w:val="15"/>
                <w:color w:val="auto"/>
              </w:rPr>
              <w:t>current assets</w:t>
            </w:r>
          </w:p>
        </w:tc>
        <w:tc>
          <w:tcPr>
            <w:tcW w:w="9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line="166" w:lineRule="exact"/>
              <w:rPr>
                <w:sz w:val="20"/>
                <w:szCs w:val="20"/>
                <w:color w:val="auto"/>
              </w:rPr>
            </w:pPr>
            <w:r>
              <w:rPr>
                <w:rFonts w:ascii="Arial" w:cs="Arial" w:eastAsia="Arial" w:hAnsi="Arial"/>
                <w:sz w:val="15"/>
                <w:szCs w:val="15"/>
                <w:color w:val="auto"/>
              </w:rPr>
              <w:t>(7,610)</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line="166"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75"/>
        </w:trPr>
        <w:tc>
          <w:tcPr>
            <w:tcW w:w="7720" w:type="dxa"/>
            <w:vAlign w:val="bottom"/>
          </w:tcPr>
          <w:p>
            <w:pPr>
              <w:ind w:left="620"/>
              <w:spacing w:after="0"/>
              <w:rPr>
                <w:sz w:val="20"/>
                <w:szCs w:val="20"/>
                <w:color w:val="auto"/>
              </w:rPr>
            </w:pPr>
            <w:r>
              <w:rPr>
                <w:rFonts w:ascii="Arial" w:cs="Arial" w:eastAsia="Arial" w:hAnsi="Arial"/>
                <w:sz w:val="15"/>
                <w:szCs w:val="15"/>
                <w:color w:val="auto"/>
              </w:rPr>
              <w:t>Accounts payable and accrued expenses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2,601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620"/>
              <w:spacing w:after="0"/>
              <w:rPr>
                <w:sz w:val="20"/>
                <w:szCs w:val="20"/>
                <w:color w:val="auto"/>
              </w:rPr>
            </w:pPr>
            <w:r>
              <w:rPr>
                <w:rFonts w:ascii="Arial" w:cs="Arial" w:eastAsia="Arial" w:hAnsi="Arial"/>
                <w:sz w:val="15"/>
                <w:szCs w:val="15"/>
                <w:color w:val="auto"/>
              </w:rPr>
              <w:t>Operating lease liability</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620"/>
              <w:spacing w:after="0"/>
              <w:rPr>
                <w:sz w:val="20"/>
                <w:szCs w:val="20"/>
                <w:color w:val="auto"/>
              </w:rPr>
            </w:pPr>
            <w:r>
              <w:rPr>
                <w:rFonts w:ascii="Arial" w:cs="Arial" w:eastAsia="Arial" w:hAnsi="Arial"/>
                <w:sz w:val="15"/>
                <w:szCs w:val="15"/>
                <w:color w:val="auto"/>
              </w:rPr>
              <w:t>Grant liability</w:t>
            </w:r>
          </w:p>
        </w:tc>
        <w:tc>
          <w:tcPr>
            <w:tcW w:w="9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(1,500)</w:t>
            </w:r>
          </w:p>
        </w:tc>
        <w:tc>
          <w:tcPr>
            <w:tcW w:w="10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ind w:left="880"/>
              <w:spacing w:after="0" w:line="169" w:lineRule="exact"/>
              <w:rPr>
                <w:sz w:val="20"/>
                <w:szCs w:val="20"/>
                <w:color w:val="auto"/>
              </w:rPr>
            </w:pPr>
            <w:r>
              <w:rPr>
                <w:rFonts w:ascii="Arial" w:cs="Arial" w:eastAsia="Arial" w:hAnsi="Arial"/>
                <w:sz w:val="15"/>
                <w:szCs w:val="15"/>
                <w:color w:val="auto"/>
              </w:rPr>
              <w:t>Net cash (used in) operating activities</w:t>
            </w:r>
          </w:p>
        </w:tc>
        <w:tc>
          <w:tcPr>
            <w:tcW w:w="9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(24,113)</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(3,713)</w:t>
            </w:r>
          </w:p>
        </w:tc>
        <w:tc>
          <w:tcPr>
            <w:tcW w:w="0" w:type="dxa"/>
            <w:vAlign w:val="bottom"/>
          </w:tcPr>
          <w:p>
            <w:pPr>
              <w:spacing w:after="0"/>
              <w:rPr>
                <w:sz w:val="1"/>
                <w:szCs w:val="1"/>
                <w:color w:val="auto"/>
              </w:rPr>
            </w:pPr>
          </w:p>
        </w:tc>
      </w:tr>
      <w:tr>
        <w:trPr>
          <w:trHeight w:val="169"/>
        </w:trPr>
        <w:tc>
          <w:tcPr>
            <w:tcW w:w="7720" w:type="dxa"/>
            <w:vAlign w:val="bottom"/>
          </w:tcPr>
          <w:p>
            <w:pPr>
              <w:spacing w:after="0" w:line="169" w:lineRule="exact"/>
              <w:rPr>
                <w:sz w:val="20"/>
                <w:szCs w:val="20"/>
                <w:color w:val="auto"/>
              </w:rPr>
            </w:pPr>
            <w:r>
              <w:rPr>
                <w:rFonts w:ascii="Arial" w:cs="Arial" w:eastAsia="Arial" w:hAnsi="Arial"/>
                <w:sz w:val="15"/>
                <w:szCs w:val="15"/>
                <w:b w:val="1"/>
                <w:bCs w:val="1"/>
                <w:color w:val="auto"/>
              </w:rPr>
              <w:t>Investing activities</w:t>
            </w:r>
          </w:p>
        </w:tc>
        <w:tc>
          <w:tcPr>
            <w:tcW w:w="9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available-for-sale securities</w:t>
            </w:r>
          </w:p>
        </w:tc>
        <w:tc>
          <w:tcPr>
            <w:tcW w:w="9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(226,837)</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(995)</w:t>
            </w: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Maturities of available-for-sale securities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19,053</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property and equipment</w:t>
            </w:r>
          </w:p>
        </w:tc>
        <w:tc>
          <w:tcPr>
            <w:tcW w:w="9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(2,320)</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Principal payments received on stockholder note receivable</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2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880"/>
              <w:spacing w:after="0" w:line="169" w:lineRule="exact"/>
              <w:rPr>
                <w:sz w:val="20"/>
                <w:szCs w:val="20"/>
                <w:color w:val="auto"/>
              </w:rPr>
            </w:pPr>
            <w:r>
              <w:rPr>
                <w:rFonts w:ascii="Arial" w:cs="Arial" w:eastAsia="Arial" w:hAnsi="Arial"/>
                <w:sz w:val="15"/>
                <w:szCs w:val="15"/>
                <w:color w:val="auto"/>
              </w:rPr>
              <w:t>Net cash (used in) provided by investing activities</w:t>
            </w:r>
          </w:p>
        </w:tc>
        <w:tc>
          <w:tcPr>
            <w:tcW w:w="9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(210,068)</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line="169" w:lineRule="exact"/>
              <w:rPr>
                <w:sz w:val="20"/>
                <w:szCs w:val="20"/>
                <w:color w:val="auto"/>
              </w:rPr>
            </w:pPr>
            <w:r>
              <w:rPr>
                <w:rFonts w:ascii="Arial" w:cs="Arial" w:eastAsia="Arial" w:hAnsi="Arial"/>
                <w:sz w:val="15"/>
                <w:szCs w:val="15"/>
                <w:b w:val="1"/>
                <w:bCs w:val="1"/>
                <w:color w:val="auto"/>
              </w:rPr>
              <w:t>Financing activities</w:t>
            </w:r>
          </w:p>
        </w:tc>
        <w:tc>
          <w:tcPr>
            <w:tcW w:w="9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common stock options and common stock</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7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warrants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643</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Proceeds from initial public offering, net of issuance costs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208,517</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sales of convertible preferred stock and stock warrants, net</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720" w:type="dxa"/>
            <w:vAlign w:val="bottom"/>
            <w:shd w:val="clear" w:color="auto" w:fill="CFF0FC"/>
          </w:tcPr>
          <w:p>
            <w:pPr>
              <w:ind w:left="380"/>
              <w:spacing w:after="0" w:line="166" w:lineRule="exact"/>
              <w:rPr>
                <w:sz w:val="20"/>
                <w:szCs w:val="20"/>
                <w:color w:val="auto"/>
              </w:rPr>
            </w:pPr>
            <w:r>
              <w:rPr>
                <w:rFonts w:ascii="Arial" w:cs="Arial" w:eastAsia="Arial" w:hAnsi="Arial"/>
                <w:sz w:val="15"/>
                <w:szCs w:val="15"/>
                <w:color w:val="auto"/>
              </w:rPr>
              <w:t>of issuance costs</w:t>
            </w: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81,926</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7720" w:type="dxa"/>
            <w:vAlign w:val="bottom"/>
          </w:tcPr>
          <w:p>
            <w:pPr>
              <w:ind w:left="260"/>
              <w:spacing w:after="0"/>
              <w:rPr>
                <w:sz w:val="20"/>
                <w:szCs w:val="20"/>
                <w:color w:val="auto"/>
              </w:rPr>
            </w:pPr>
            <w:r>
              <w:rPr>
                <w:rFonts w:ascii="Arial" w:cs="Arial" w:eastAsia="Arial" w:hAnsi="Arial"/>
                <w:sz w:val="15"/>
                <w:szCs w:val="15"/>
                <w:color w:val="auto"/>
              </w:rPr>
              <w:t>Proceeds from issuance of convertible notes, including derivative, net of</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720" w:type="dxa"/>
            <w:vAlign w:val="bottom"/>
            <w:tcBorders>
              <w:bottom w:val="single" w:sz="8" w:color="CFF0FC"/>
            </w:tcBorders>
          </w:tcPr>
          <w:p>
            <w:pPr>
              <w:ind w:left="380"/>
              <w:spacing w:after="0" w:line="166" w:lineRule="exact"/>
              <w:rPr>
                <w:sz w:val="20"/>
                <w:szCs w:val="20"/>
                <w:color w:val="auto"/>
              </w:rPr>
            </w:pPr>
            <w:r>
              <w:rPr>
                <w:rFonts w:ascii="Arial" w:cs="Arial" w:eastAsia="Arial" w:hAnsi="Arial"/>
                <w:sz w:val="15"/>
                <w:szCs w:val="15"/>
                <w:color w:val="auto"/>
              </w:rPr>
              <w:t>issuance costs</w:t>
            </w: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1,664</w:t>
            </w:r>
          </w:p>
        </w:tc>
        <w:tc>
          <w:tcPr>
            <w:tcW w:w="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874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88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9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292,750</w:t>
            </w:r>
          </w:p>
        </w:tc>
        <w:tc>
          <w:tcPr>
            <w:tcW w:w="2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line="169" w:lineRule="exact"/>
              <w:rPr>
                <w:sz w:val="20"/>
                <w:szCs w:val="20"/>
                <w:color w:val="auto"/>
              </w:rPr>
            </w:pPr>
            <w:r>
              <w:rPr>
                <w:rFonts w:ascii="Arial" w:cs="Arial" w:eastAsia="Arial" w:hAnsi="Arial"/>
                <w:sz w:val="15"/>
                <w:szCs w:val="15"/>
                <w:color w:val="auto"/>
              </w:rPr>
              <w:t>Net increase (decrease) in cash and cash equivalents</w:t>
            </w:r>
          </w:p>
        </w:tc>
        <w:tc>
          <w:tcPr>
            <w:tcW w:w="9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58,569</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(1,261)</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 beginning of period</w:t>
            </w:r>
          </w:p>
        </w:tc>
        <w:tc>
          <w:tcPr>
            <w:tcW w:w="9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2,056</w:t>
            </w:r>
          </w:p>
        </w:tc>
        <w:tc>
          <w:tcPr>
            <w:tcW w:w="28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3,317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Cash and cash equivalents, end of period</w:t>
            </w:r>
          </w:p>
        </w:tc>
        <w:tc>
          <w:tcPr>
            <w:tcW w:w="940" w:type="dxa"/>
            <w:vAlign w:val="bottom"/>
            <w:tcBorders>
              <w:bottom w:val="single" w:sz="8" w:color="auto"/>
            </w:tcBorders>
          </w:tcPr>
          <w:p>
            <w:pPr>
              <w:jc w:val="right"/>
              <w:ind w:right="765"/>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60,625</w:t>
            </w: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844"/>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2,056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9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720" w:type="dxa"/>
            <w:vAlign w:val="bottom"/>
          </w:tcPr>
          <w:p>
            <w:pPr>
              <w:ind w:left="260"/>
              <w:spacing w:after="0"/>
              <w:rPr>
                <w:sz w:val="20"/>
                <w:szCs w:val="20"/>
                <w:color w:val="auto"/>
              </w:rPr>
            </w:pPr>
            <w:r>
              <w:rPr>
                <w:rFonts w:ascii="Arial" w:cs="Arial" w:eastAsia="Arial" w:hAnsi="Arial"/>
                <w:sz w:val="15"/>
                <w:szCs w:val="15"/>
                <w:color w:val="auto"/>
              </w:rPr>
              <w:t>Purchases of property and equipment included in accounts payable and</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720" w:type="dxa"/>
            <w:vAlign w:val="bottom"/>
            <w:tcBorders>
              <w:bottom w:val="single" w:sz="8" w:color="CFF0FC"/>
            </w:tcBorders>
          </w:tcPr>
          <w:p>
            <w:pPr>
              <w:ind w:left="380"/>
              <w:spacing w:after="0" w:line="166" w:lineRule="exact"/>
              <w:rPr>
                <w:sz w:val="20"/>
                <w:szCs w:val="20"/>
                <w:color w:val="auto"/>
              </w:rPr>
            </w:pPr>
            <w:r>
              <w:rPr>
                <w:rFonts w:ascii="Arial" w:cs="Arial" w:eastAsia="Arial" w:hAnsi="Arial"/>
                <w:sz w:val="15"/>
                <w:szCs w:val="15"/>
                <w:color w:val="auto"/>
              </w:rPr>
              <w:t>accrued liabilities</w:t>
            </w:r>
          </w:p>
        </w:tc>
        <w:tc>
          <w:tcPr>
            <w:tcW w:w="940" w:type="dxa"/>
            <w:vAlign w:val="bottom"/>
            <w:tcBorders>
              <w:bottom w:val="single" w:sz="8" w:color="auto"/>
            </w:tcBorders>
          </w:tcPr>
          <w:p>
            <w:pPr>
              <w:jc w:val="right"/>
              <w:ind w:right="765"/>
              <w:spacing w:after="0" w:line="166" w:lineRule="exact"/>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331</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ind w:right="844"/>
              <w:spacing w:after="0" w:line="166" w:lineRule="exact"/>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260"/>
              <w:spacing w:after="0" w:line="156" w:lineRule="exact"/>
              <w:rPr>
                <w:sz w:val="20"/>
                <w:szCs w:val="20"/>
                <w:color w:val="auto"/>
              </w:rPr>
            </w:pPr>
            <w:r>
              <w:rPr>
                <w:rFonts w:ascii="Arial" w:cs="Arial" w:eastAsia="Arial" w:hAnsi="Arial"/>
                <w:sz w:val="15"/>
                <w:szCs w:val="15"/>
                <w:color w:val="auto"/>
              </w:rPr>
              <w:t>Deferred offering costs included in accounts payable and accrued liabilities</w:t>
            </w:r>
          </w:p>
        </w:tc>
        <w:tc>
          <w:tcPr>
            <w:tcW w:w="940" w:type="dxa"/>
            <w:vAlign w:val="bottom"/>
            <w:shd w:val="clear" w:color="auto" w:fill="CFF0FC"/>
          </w:tcPr>
          <w:p>
            <w:pPr>
              <w:jc w:val="right"/>
              <w:ind w:right="765"/>
              <w:spacing w:after="0" w:line="156"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77</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4"/>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Issuance of common stock warrants in connection with Series B</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720" w:type="dxa"/>
            <w:vAlign w:val="bottom"/>
            <w:tcBorders>
              <w:bottom w:val="single" w:sz="8" w:color="CFF0FC"/>
            </w:tcBorders>
          </w:tcPr>
          <w:p>
            <w:pPr>
              <w:ind w:left="380"/>
              <w:spacing w:after="0" w:line="166" w:lineRule="exact"/>
              <w:rPr>
                <w:sz w:val="20"/>
                <w:szCs w:val="20"/>
                <w:color w:val="auto"/>
              </w:rPr>
            </w:pPr>
            <w:r>
              <w:rPr>
                <w:rFonts w:ascii="Arial" w:cs="Arial" w:eastAsia="Arial" w:hAnsi="Arial"/>
                <w:sz w:val="15"/>
                <w:szCs w:val="15"/>
                <w:color w:val="auto"/>
              </w:rPr>
              <w:t>convertible preferred stock financing</w:t>
            </w:r>
          </w:p>
        </w:tc>
        <w:tc>
          <w:tcPr>
            <w:tcW w:w="940" w:type="dxa"/>
            <w:vAlign w:val="bottom"/>
            <w:tcBorders>
              <w:bottom w:val="single" w:sz="8" w:color="auto"/>
            </w:tcBorders>
          </w:tcPr>
          <w:p>
            <w:pPr>
              <w:jc w:val="right"/>
              <w:ind w:right="765"/>
              <w:spacing w:after="0" w:line="166" w:lineRule="exact"/>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10,591</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ind w:right="844"/>
              <w:spacing w:after="0" w:line="166" w:lineRule="exact"/>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260"/>
              <w:spacing w:after="0" w:line="156" w:lineRule="exact"/>
              <w:rPr>
                <w:sz w:val="20"/>
                <w:szCs w:val="20"/>
                <w:color w:val="auto"/>
              </w:rPr>
            </w:pPr>
            <w:r>
              <w:rPr>
                <w:rFonts w:ascii="Arial" w:cs="Arial" w:eastAsia="Arial" w:hAnsi="Arial"/>
                <w:sz w:val="15"/>
                <w:szCs w:val="15"/>
                <w:color w:val="auto"/>
              </w:rPr>
              <w:t>Issuance of Series B preferred stock upon conversion of promissory notes</w:t>
            </w:r>
          </w:p>
        </w:tc>
        <w:tc>
          <w:tcPr>
            <w:tcW w:w="940" w:type="dxa"/>
            <w:vAlign w:val="bottom"/>
            <w:shd w:val="clear" w:color="auto" w:fill="CFF0FC"/>
          </w:tcPr>
          <w:p>
            <w:pPr>
              <w:jc w:val="right"/>
              <w:ind w:right="765"/>
              <w:spacing w:after="0" w:line="156"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4,515</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4"/>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Recognition of warrant liability in connection with Series B convertible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720" w:type="dxa"/>
            <w:vAlign w:val="bottom"/>
          </w:tcPr>
          <w:p>
            <w:pPr>
              <w:ind w:left="380"/>
              <w:spacing w:after="0" w:line="166" w:lineRule="exact"/>
              <w:rPr>
                <w:sz w:val="20"/>
                <w:szCs w:val="20"/>
                <w:color w:val="auto"/>
              </w:rPr>
            </w:pPr>
            <w:r>
              <w:rPr>
                <w:rFonts w:ascii="Arial" w:cs="Arial" w:eastAsia="Arial" w:hAnsi="Arial"/>
                <w:sz w:val="15"/>
                <w:szCs w:val="15"/>
                <w:color w:val="auto"/>
              </w:rPr>
              <w:t>preferred stock financing</w:t>
            </w:r>
          </w:p>
        </w:tc>
        <w:tc>
          <w:tcPr>
            <w:tcW w:w="940" w:type="dxa"/>
            <w:vAlign w:val="bottom"/>
          </w:tcPr>
          <w:p>
            <w:pPr>
              <w:jc w:val="right"/>
              <w:ind w:right="765"/>
              <w:spacing w:after="0" w:line="166" w:lineRule="exact"/>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line="166" w:lineRule="exact"/>
              <w:rPr>
                <w:sz w:val="20"/>
                <w:szCs w:val="20"/>
                <w:color w:val="auto"/>
              </w:rPr>
            </w:pPr>
            <w:r>
              <w:rPr>
                <w:rFonts w:ascii="Arial" w:cs="Arial" w:eastAsia="Arial" w:hAnsi="Arial"/>
                <w:sz w:val="15"/>
                <w:szCs w:val="15"/>
                <w:color w:val="auto"/>
              </w:rPr>
              <w:t>364</w:t>
            </w:r>
          </w:p>
        </w:tc>
        <w:tc>
          <w:tcPr>
            <w:tcW w:w="280" w:type="dxa"/>
            <w:vAlign w:val="bottom"/>
          </w:tcPr>
          <w:p>
            <w:pPr>
              <w:spacing w:after="0"/>
              <w:rPr>
                <w:sz w:val="17"/>
                <w:szCs w:val="17"/>
                <w:color w:val="auto"/>
              </w:rPr>
            </w:pPr>
          </w:p>
        </w:tc>
        <w:tc>
          <w:tcPr>
            <w:tcW w:w="1020" w:type="dxa"/>
            <w:vAlign w:val="bottom"/>
          </w:tcPr>
          <w:p>
            <w:pPr>
              <w:jc w:val="right"/>
              <w:ind w:right="844"/>
              <w:spacing w:after="0" w:line="166"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bottom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Derivative liability recorded upon issuance of convertible notes</w:t>
            </w:r>
          </w:p>
        </w:tc>
        <w:tc>
          <w:tcPr>
            <w:tcW w:w="940" w:type="dxa"/>
            <w:vAlign w:val="bottom"/>
            <w:tcBorders>
              <w:top w:val="single" w:sz="8" w:color="auto"/>
              <w:bottom w:val="single" w:sz="8" w:color="auto"/>
            </w:tcBorders>
            <w:shd w:val="clear" w:color="auto" w:fill="CFF0FC"/>
          </w:tcPr>
          <w:p>
            <w:pPr>
              <w:jc w:val="right"/>
              <w:ind w:right="765"/>
              <w:spacing w:after="0" w:line="156"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774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ind w:right="844"/>
              <w:spacing w:after="0" w:line="156" w:lineRule="exact"/>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390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5"/>
                <w:szCs w:val="15"/>
                <w:color w:val="auto"/>
              </w:rPr>
              <w:t>Conversion of convertible preferred stock upon closing of initial public</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720" w:type="dxa"/>
            <w:vAlign w:val="bottom"/>
            <w:tcBorders>
              <w:bottom w:val="single" w:sz="8" w:color="CFF0FC"/>
            </w:tcBorders>
          </w:tcPr>
          <w:p>
            <w:pPr>
              <w:ind w:left="380"/>
              <w:spacing w:after="0" w:line="166" w:lineRule="exact"/>
              <w:rPr>
                <w:sz w:val="20"/>
                <w:szCs w:val="20"/>
                <w:color w:val="auto"/>
              </w:rPr>
            </w:pPr>
            <w:r>
              <w:rPr>
                <w:rFonts w:ascii="Arial" w:cs="Arial" w:eastAsia="Arial" w:hAnsi="Arial"/>
                <w:sz w:val="15"/>
                <w:szCs w:val="15"/>
                <w:color w:val="auto"/>
              </w:rPr>
              <w:t>offering</w:t>
            </w:r>
          </w:p>
        </w:tc>
        <w:tc>
          <w:tcPr>
            <w:tcW w:w="940" w:type="dxa"/>
            <w:vAlign w:val="bottom"/>
            <w:tcBorders>
              <w:bottom w:val="single" w:sz="8" w:color="auto"/>
            </w:tcBorders>
          </w:tcPr>
          <w:p>
            <w:pPr>
              <w:jc w:val="right"/>
              <w:ind w:right="765"/>
              <w:spacing w:after="0" w:line="166" w:lineRule="exact"/>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92,537</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jc w:val="right"/>
              <w:ind w:right="844"/>
              <w:spacing w:after="0" w:line="166" w:lineRule="exact"/>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260"/>
              <w:spacing w:after="0" w:line="156" w:lineRule="exact"/>
              <w:rPr>
                <w:sz w:val="20"/>
                <w:szCs w:val="20"/>
                <w:color w:val="auto"/>
              </w:rPr>
            </w:pPr>
            <w:r>
              <w:rPr>
                <w:rFonts w:ascii="Arial" w:cs="Arial" w:eastAsia="Arial" w:hAnsi="Arial"/>
                <w:sz w:val="15"/>
                <w:szCs w:val="15"/>
                <w:color w:val="auto"/>
              </w:rPr>
              <w:t>Right-of-use asset obtained in exchange for new operating lease liability</w:t>
            </w:r>
          </w:p>
        </w:tc>
        <w:tc>
          <w:tcPr>
            <w:tcW w:w="940" w:type="dxa"/>
            <w:vAlign w:val="bottom"/>
            <w:shd w:val="clear" w:color="auto" w:fill="CFF0FC"/>
          </w:tcPr>
          <w:p>
            <w:pPr>
              <w:jc w:val="right"/>
              <w:ind w:right="765"/>
              <w:spacing w:after="0" w:line="156" w:lineRule="exact"/>
              <w:rPr>
                <w:sz w:val="20"/>
                <w:szCs w:val="20"/>
                <w:color w:val="auto"/>
              </w:rPr>
            </w:pPr>
            <w:r>
              <w:rPr>
                <w:rFonts w:ascii="Arial" w:cs="Arial" w:eastAsia="Arial" w:hAnsi="Arial"/>
                <w:sz w:val="15"/>
                <w:szCs w:val="15"/>
                <w:color w:val="auto"/>
                <w:w w:val="95"/>
              </w:rPr>
              <w:t>$</w:t>
            </w:r>
          </w:p>
        </w:tc>
        <w:tc>
          <w:tcPr>
            <w:tcW w:w="6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975</w:t>
            </w: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844"/>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ind w:left="560" w:right="8980" w:hanging="552"/>
        <w:spacing w:after="0" w:line="394" w:lineRule="auto"/>
        <w:tabs>
          <w:tab w:leader="none" w:pos="214"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b w:val="1"/>
          <w:bCs w:val="1"/>
          <w:i w:val="1"/>
          <w:iCs w:val="1"/>
          <w:color w:val="auto"/>
        </w:rPr>
        <w:t>Organization</w:t>
      </w:r>
    </w:p>
    <w:p>
      <w:pPr>
        <w:spacing w:after="0" w:line="1"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and Bothell, Washington. The Company is a late clinical-stage biopharmaceutical company focused on developing small molecules to restore neuronal health and stop neurodegeneration.</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On September 11, 2020, the Company effected a one-for-7.9302 reverse split of its issued and outstanding common stock, convertible preferred stock, warrants, and stock options. The par value of the common stock and convertible preferred stock was not adjusted as a result of the reverse stock split. All share and per share amounts in the accompanying consolidated financial statements and notes to the consolidated financial statements have been retroactively adjusted for all periods presented to reflect the reverse stock split.</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On September 17, 2020, the Company’s registration statement on Form S-1 (File No. 333-248428) for its initial public offering of common stock (“IPO”) was declared effective by the Securities and Exchange Commission (“SEC”). On September 22, 2020, the Company issued and sold 12,000,000 shares of common stock in the IPO at a public offering price of $17.00 per share, resulting in net proceeds of $186.4 million after deducting underwriting discounts and commissions and offering expenses paid by the Company. In October 2020, the Company sold an additional 1,397,712 shares of common stock to the underwriters of the IPO upon partial exercise of the underwriters’ option to purchase additional shares at the initial public offering price of $17.00 per share, less underwriting discounts and commissions and offering costs resulting in net proceeds to the Company of approximately $22.1 million.</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connection with the closing of the IPO, all of the Company’s outstanding shares of convertible preferred stock were automatically converted into 12,503,009 shares of common stock. Immediately prior to the Company’s IPO, all outstanding common stock warrants were exercised into 1,085,334 shares of common stock. Additionally, all outstanding Series B convertible preferred stock warrants were remeasured to their fair value. The final remeasurement of the Series B convertible preferred stock warrant liability resulted in a $0.6 million loss which was recorded to other income (expense), net. Following remeasurement, all Series B convertible preferred stock warrants automatically net exercised into 59,093 shares of common stock and the corresponding liability was reclassified to additional paid in capital. Following the IPO, there are no shares of convertible preferred stock, common stock warrants, or Series B convertible preferred stock warrants outstanding.</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2020, it has raised aggregate net cash proceeds of $310.6 million primarily from the issuance of its common stock, convertible preferred stock, common stock warrants, and convertible notes. As of December 31, 2020, the Company had $268.2 million in cash, cash equivalents, and investments and had not generated positive cash flows from operations. Since the Company’s inception, it has devoted substantially all of its resources to its research and development efforts such as small molecule compound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both"/>
        <w:spacing w:after="0" w:line="246" w:lineRule="auto"/>
        <w:rPr>
          <w:sz w:val="20"/>
          <w:szCs w:val="20"/>
          <w:color w:val="auto"/>
        </w:rPr>
      </w:pPr>
      <w:r>
        <w:rPr>
          <w:rFonts w:ascii="Arial" w:cs="Arial" w:eastAsia="Arial" w:hAnsi="Arial"/>
          <w:sz w:val="18"/>
          <w:szCs w:val="18"/>
          <w:color w:val="auto"/>
        </w:rPr>
        <w:t>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9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Based upon the Company’s current operating plan, it estimates that its $268.2 million of cash, cash equivalents, and investments at December 31, 2020 will be sufficient to fund its operating expenses and capital expenditure requirements through at least the 12 months following the date of the Company’s Annual Report on Form 10-K.</w:t>
      </w:r>
    </w:p>
    <w:p>
      <w:pPr>
        <w:spacing w:after="0" w:line="289" w:lineRule="exact"/>
        <w:rPr>
          <w:sz w:val="20"/>
          <w:szCs w:val="20"/>
          <w:color w:val="auto"/>
        </w:rPr>
      </w:pPr>
    </w:p>
    <w:p>
      <w:pPr>
        <w:jc w:val="center"/>
        <w:ind w:right="8340"/>
        <w:spacing w:after="0"/>
        <w:rPr>
          <w:sz w:val="20"/>
          <w:szCs w:val="20"/>
          <w:color w:val="auto"/>
        </w:rPr>
      </w:pPr>
      <w:r>
        <w:rPr>
          <w:rFonts w:ascii="Arial" w:cs="Arial" w:eastAsia="Arial" w:hAnsi="Arial"/>
          <w:sz w:val="18"/>
          <w:szCs w:val="18"/>
          <w:b w:val="1"/>
          <w:bCs w:val="1"/>
          <w:color w:val="auto"/>
        </w:rPr>
        <w:t>2. Significant Accounting Policies</w:t>
      </w:r>
    </w:p>
    <w:p>
      <w:pPr>
        <w:spacing w:after="0" w:line="104" w:lineRule="exact"/>
        <w:rPr>
          <w:sz w:val="20"/>
          <w:szCs w:val="20"/>
          <w:color w:val="auto"/>
        </w:rPr>
      </w:pPr>
    </w:p>
    <w:p>
      <w:pPr>
        <w:jc w:val="center"/>
        <w:ind w:right="8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consolidated financial statements.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Realized gains and losses on the sale of these securities are recognized in net loss.</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4" w:name="page135"/>
    <w:bookmarkEnd w:id="134"/>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Property and equipment consist of computer equipment, computer software, laboratory equipment, leasehold improvements and furniture and office equipment. Property and equipment are recorded at cost and depreciation is recognized using the straight-line method based on estimated useful life, generally three to five years. Leasehold improvements are amortized over the shorter of their useful life or the remaining lease term. Maintenance and repairs are charged to expense as incurred, and costs of improvements are capitalized.</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Company reviews long-lived assets for impairment whenever events or circumstances indicate the carrying amount of an asset group may not be recoverable. When such events occur, the Company determines whether there has been an impairment in value by comparing the asset’s carrying value with its fair value, as measured by the anticipated undiscounted net cash flows of the asset. If an impairment in value exists, the asset is written down to its estimated fair value. Gains and losses from asset disposals and impairment losses are classified within the consolidated statements of operations in accordance with the use of the asset. There were no impairment losses in the years ended December 31, 2020 and 2019 as there have been no events warranting an impairment analysis.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carrying amounts of certain financial instruments, including cash, cash equivalents, accounts payable and accrued expenses approximate their fair values due to the short-term nature of those amounts. The fair values of the grant liability to Washington Life Sciences Discovery Fund (“LSDF”), currently managed by the Washington State Department of Commerce, the derivative liability, and the convertible preferred stock warrant liability were estimated using level 3 unobservable inputs.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Freestanding warrants to purchase shares of the Company’s convertible preferred stock were accounted for as liabilities at fair value, because the shares underlying the warrants contained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adjusted the liability for the final change in the fair value of these warrants immediately preceding their automatic exercise in connection with the Company’s IPO. Subsequent to the Company’s IPO, the corresponding liability was reclassified to additional paid in capital.</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grant liability associated with the grants from the Washington LSDF was accounted for under Accounting Standards Codification (“ASC”) 825-10, Financial Instruments − Overall. The estimated fair value of the grant liability was reassessed at each balance sheet date, with changes in fair value reflected in other income (expense), net. The Company estimated the fair value of the grant liability by using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were subject to significant judgment. The consummation of the Company’s IPO in September 2020 was a triggering event under the terms of the grant and the liability was remeasured to the pay-off amount of $1.5 million and repaid in full as of December 31, 2020. See Note 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5" w:name="page136"/>
    <w:bookmarkEnd w:id="135"/>
    <w:p>
      <w:pPr>
        <w:ind w:left="560"/>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Company’s convertible notes (see Note 8) had conversion and redemption features that met the definition of an embedded derivative and were therefore subject to derivative accounting. The initial fair value of the derivative was recorded as a discount to the convertible notes, with a corresponding derivative liability. The discount to the convertible notes was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were reflected in other income (expense), net in the statements of operations and comprehensive loss at each period end while such instruments were outstanding. The derivative liability was settled in May 2020 upon conversion of the underlying convertible notes into Series B-1 convertible preferred stock. See Note 10.</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Income</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January 2019, the Alzheimer’s Association awarded the Company a $1.0 million Part the Cloud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received the remaining $224,000 in March 2021 after having completed certain development milestones in October 2020. The Company recognizes income related to the Part the Cloud research grant as qualifying expenses under the grant agreement are incurred. During the years ended December 31, 2020 and 2019, the Company recognized $246,000 and $ 754,000, respectively, in grant income associated with the Part the Cloud research grant. As of December 31, 2020, the Company has incurred qualifying expenses in excess of cash received of approximately $224,000, which is included in unbilled grant receivable on the consolidated balance sheets. As of December 31, 2019, the Company had cash received in excess of qualifying expenses of approximately $22,000, a liability for which was included in accrued expenses on the consolidated balance sheets.</w:t>
      </w:r>
    </w:p>
    <w:p>
      <w:pPr>
        <w:spacing w:after="0" w:line="20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ATH-1017, the Company’s lead therapeutic candidate being developed for the treatment of individual with mild-to-moderate Alzheimer’s disease. Under the terms of the agreement, the Company may potentially receive $7.8 million with the potential for an additional $7.4 million, up to an aggregate of $15.2 million. The Company recognizes income related to the NIH grant as qualifying expenses under the grant agreement are incurred. During the year ended December 31, 2020, the Company had recognized $1.1 million in grant income associated with the NIH grant, which is included in grant income in the consolidated statement of operations and comprehensive loss. As of December 31, 2020, the Company has incurred qualifying expenses in excess of cash received of approximately $1.1 million, which is included in unbilled grant receivable on the consolidated balance sheets.</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6" w:name="page137"/>
    <w:bookmarkEnd w:id="136"/>
    <w:p>
      <w:pPr>
        <w:jc w:val="both"/>
        <w:spacing w:after="0" w:line="238" w:lineRule="auto"/>
        <w:rPr>
          <w:sz w:val="20"/>
          <w:szCs w:val="20"/>
          <w:color w:val="auto"/>
        </w:rPr>
      </w:pPr>
      <w:r>
        <w:rPr>
          <w:rFonts w:ascii="Arial" w:cs="Arial" w:eastAsia="Arial" w:hAnsi="Arial"/>
          <w:sz w:val="18"/>
          <w:szCs w:val="18"/>
          <w:color w:val="auto"/>
        </w:rPr>
        <w:t>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Recently Adopted Accounting Standards</w:t>
      </w:r>
      <w:r>
        <w:rPr>
          <w:rFonts w:ascii="Arial" w:cs="Arial" w:eastAsia="Arial" w:hAnsi="Arial"/>
          <w:sz w:val="18"/>
          <w:szCs w:val="18"/>
          <w:color w:val="auto"/>
        </w:rPr>
        <w:t xml:space="preserve"> below, 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on July 1, 2020, effective January 1, 2020. The Company determines if an arrangement contains a lease at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 generally does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04"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The Company’s lease contains an option to extend the lease; lease terms are adjusted for these options only when it is reasonably certain the Company will exercise these options. The Company’s lease agreement does not contain residual value guarantees or covenants.</w:t>
      </w:r>
    </w:p>
    <w:p>
      <w:pPr>
        <w:spacing w:after="0" w:line="19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0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jc w:val="both"/>
        <w:spacing w:after="0" w:line="246" w:lineRule="auto"/>
        <w:rPr>
          <w:sz w:val="20"/>
          <w:szCs w:val="20"/>
          <w:color w:val="auto"/>
        </w:rPr>
      </w:pPr>
      <w:r>
        <w:rPr>
          <w:rFonts w:ascii="Arial" w:cs="Arial" w:eastAsia="Arial" w:hAnsi="Arial"/>
          <w:sz w:val="18"/>
          <w:szCs w:val="18"/>
          <w:color w:val="auto"/>
        </w:rPr>
        <w:t>model. Compensation expense is recognized over the requisite service period on a straight-line basis. Forfeitures are recognized as they occur.</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jc w:val="both"/>
        <w:ind w:right="20" w:firstLine="546"/>
        <w:spacing w:after="0"/>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Company’s comprehensive loss is comprised of net loss and unrealized gains and losses on available-for-sale investments.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8" w:name="page139"/>
    <w:bookmarkEnd w:id="138"/>
    <w:p>
      <w:pPr>
        <w:ind w:left="5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translation adjustments are reported within other income (expense), net in the consolidated statement of operations and comprehensive loss. The functional currency of the Company’s Australian subsidiary is the U.S. dollar.</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As of December 31, 2019, the Company had an unsecured note receivable outstanding from its chief executive officer of approximately $36,000. The note incurred interest at 1.45% and the remaining outstanding principal was repaid in full in August 2020. The note is included in current portion of unsecured related party note receivable and unsecured related party note receivable in the accompanying balance sheet as of December 31, 2019. Interest income is recognized using the effective interest method, and is included in other income (expense), net in the consolidated statements of operations and comprehensive loss.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consolidated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intended to increase transparency and comparability among organizations by recognizing lease assets and lease liabilities on the balance sheets and disclosing key information about leasing arrangements. The Company adopted the guidance on July 1, 2020, effective January 1, 2020, using the optional transition method described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Prior to adoption, the Company did not have any leases with initial terms longer than 12 months. The Company will continue to account for leases with initial terms of 12 months or less as operating expenses on a straight-line basis over the lease term.</w:t>
      </w:r>
    </w:p>
    <w:p>
      <w:pPr>
        <w:spacing w:after="0" w:line="202" w:lineRule="exact"/>
        <w:rPr>
          <w:sz w:val="20"/>
          <w:szCs w:val="20"/>
          <w:color w:val="auto"/>
        </w:rPr>
      </w:pPr>
    </w:p>
    <w:p>
      <w:pPr>
        <w:jc w:val="both"/>
        <w:ind w:firstLine="546"/>
        <w:spacing w:after="0" w:line="234" w:lineRule="auto"/>
        <w:rPr>
          <w:sz w:val="20"/>
          <w:szCs w:val="20"/>
          <w:color w:val="auto"/>
        </w:rPr>
      </w:pPr>
      <w:r>
        <w:rPr>
          <w:rFonts w:ascii="Arial" w:cs="Arial" w:eastAsia="Arial" w:hAnsi="Arial"/>
          <w:sz w:val="18"/>
          <w:szCs w:val="18"/>
          <w:color w:val="auto"/>
        </w:rPr>
        <w:t>In adopting the new standard, the Company utilized certain practical expedients available. These practical expedients include waiving reassessment of 1) whether any expired or existing contracts are or contain leases; 2) lease classification of expired or existing leases; and</w:t>
      </w:r>
    </w:p>
    <w:p>
      <w:pPr>
        <w:spacing w:after="0" w:line="1" w:lineRule="exact"/>
        <w:rPr>
          <w:sz w:val="20"/>
          <w:szCs w:val="20"/>
          <w:color w:val="auto"/>
        </w:rPr>
      </w:pPr>
    </w:p>
    <w:p>
      <w:pPr>
        <w:jc w:val="both"/>
        <w:ind w:firstLine="8"/>
        <w:spacing w:after="0"/>
        <w:tabs>
          <w:tab w:leader="none" w:pos="2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initial direct costs for existing leases. The Company also elected to use hindsight in determining the lease term and in assessing impairment of its ROU assets. Furthermore, the Company has made a policy decision regarding its real estate leases not to separate nonlease components from lease components, to the extent they are fixed.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9" w:name="page140"/>
    <w:bookmarkEnd w:id="139"/>
    <w:p>
      <w:pPr>
        <w:jc w:val="both"/>
        <w:spacing w:after="0" w:line="246" w:lineRule="auto"/>
        <w:rPr>
          <w:sz w:val="20"/>
          <w:szCs w:val="20"/>
          <w:color w:val="auto"/>
        </w:rPr>
      </w:pPr>
      <w:r>
        <w:rPr>
          <w:rFonts w:ascii="Arial" w:cs="Arial" w:eastAsia="Arial" w:hAnsi="Arial"/>
          <w:sz w:val="18"/>
          <w:szCs w:val="18"/>
          <w:color w:val="auto"/>
        </w:rPr>
        <w:t>The Company has also elected not to record on the balance sheet a lease that has a lease term of 12 months or less and does not contain a purchase option that the Company is reasonably certain to exercise.</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standard had a material impact on the Company’s consolidated balance sheets but did not have a material impact on its consolidated statements of operations or consolidated statements of cash flows. The most significant impact was the recognition of $ 1.0 million and $1.0 million of operating lease ROU assets and liabilities, respectively. Refer to Note 9, Commitments and Contingencies, for additional information regarding leases.</w:t>
      </w:r>
    </w:p>
    <w:p>
      <w:pPr>
        <w:spacing w:after="0" w:line="187" w:lineRule="exact"/>
        <w:rPr>
          <w:sz w:val="20"/>
          <w:szCs w:val="20"/>
          <w:color w:val="auto"/>
        </w:rPr>
      </w:pPr>
    </w:p>
    <w:p>
      <w:pPr>
        <w:jc w:val="both"/>
        <w:ind w:firstLine="546"/>
        <w:spacing w:after="0" w:line="24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ASU simplified the accounting for share-based payments to non-employees by aligning 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share-based payments to employees, with certain exceptions. The Company adopted the standard on January 1, 2020 and it did not have a material impact on its financial condition, results of operations and cash flows.</w:t>
      </w:r>
    </w:p>
    <w:p>
      <w:pPr>
        <w:spacing w:after="0" w:line="181" w:lineRule="exact"/>
        <w:rPr>
          <w:sz w:val="20"/>
          <w:szCs w:val="20"/>
          <w:color w:val="auto"/>
        </w:rPr>
      </w:pPr>
    </w:p>
    <w:p>
      <w:pPr>
        <w:jc w:val="both"/>
        <w:ind w:firstLine="546"/>
        <w:spacing w:after="0" w:line="24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consolidated financial statements.</w:t>
      </w:r>
    </w:p>
    <w:p>
      <w:pPr>
        <w:spacing w:after="0" w:line="181"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This update removes certain exceptions to the general principles in Topic 740 and also clarifies and amends existing guidance to improve consistent application. Early adoption of the new standard is permitted for companies for periods for which financial statements have not yet been issued. The Company early adopted the standard effective January 1, 2020. Since the Company has incurred net losses since its inception and maintains a full valuation allowance on the net deferred tax assets, the adoption did not have a material impact on the financial condition, results of operations and cash flows, or financial statement disclosures.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8" w:lineRule="exact"/>
        <w:rPr>
          <w:sz w:val="20"/>
          <w:szCs w:val="20"/>
          <w:color w:val="auto"/>
        </w:rPr>
      </w:pPr>
    </w:p>
    <w:p>
      <w:pPr>
        <w:jc w:val="both"/>
        <w:ind w:firstLine="546"/>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to the Company beginning on January 1, 2023, with early adoption permitted. The Company is currently evaluating the potential impacts of the ASU on its financial condition, results of operations, cash flows and financial statement disclosures.</w:t>
      </w:r>
    </w:p>
    <w:p>
      <w:pPr>
        <w:spacing w:after="0" w:line="203"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26"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71" w:lineRule="exact"/>
        <w:rPr>
          <w:sz w:val="20"/>
          <w:szCs w:val="20"/>
          <w:color w:val="auto"/>
        </w:rPr>
      </w:pPr>
    </w:p>
    <w:p>
      <w:pPr>
        <w:jc w:val="both"/>
        <w:ind w:firstLine="546"/>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jc w:val="both"/>
        <w:ind w:right="20" w:firstLine="546"/>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0" w:name="page141"/>
    <w:bookmarkEnd w:id="140"/>
    <w:p>
      <w:pPr>
        <w:jc w:val="both"/>
        <w:ind w:firstLine="546"/>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9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following table reflects the Company’s financial asset balances measured on a recurring basis as of December 31, 2020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72"/>
              <w:spacing w:after="0" w:line="156"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12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Fair</w:t>
            </w: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r>
      <w:tr>
        <w:trPr>
          <w:trHeight w:val="210"/>
        </w:trPr>
        <w:tc>
          <w:tcPr>
            <w:tcW w:w="508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44,316</w:t>
            </w:r>
          </w:p>
        </w:tc>
        <w:tc>
          <w:tcPr>
            <w:tcW w:w="100" w:type="dxa"/>
            <w:vAlign w:val="bottom"/>
            <w:shd w:val="clear" w:color="auto" w:fill="CFF0FC"/>
          </w:tcPr>
          <w:p>
            <w:pPr>
              <w:spacing w:after="0"/>
              <w:rPr>
                <w:sz w:val="18"/>
                <w:szCs w:val="18"/>
                <w:color w:val="auto"/>
              </w:rPr>
            </w:pP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U.S. government debt and agency</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080" w:type="dxa"/>
            <w:vAlign w:val="bottom"/>
          </w:tcPr>
          <w:p>
            <w:pPr>
              <w:ind w:left="400"/>
              <w:spacing w:after="0" w:line="203" w:lineRule="exact"/>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4,999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4,999</w:t>
            </w:r>
          </w:p>
        </w:tc>
        <w:tc>
          <w:tcPr>
            <w:tcW w:w="100" w:type="dxa"/>
            <w:vAlign w:val="bottom"/>
          </w:tcPr>
          <w:p>
            <w:pPr>
              <w:spacing w:after="0"/>
              <w:rPr>
                <w:sz w:val="17"/>
                <w:szCs w:val="17"/>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CFF0FC"/>
          </w:tcPr>
          <w:p>
            <w:pPr>
              <w:spacing w:after="0"/>
              <w:rPr>
                <w:sz w:val="18"/>
                <w:szCs w:val="18"/>
                <w:color w:val="auto"/>
              </w:rPr>
            </w:pPr>
          </w:p>
        </w:tc>
      </w:tr>
      <w:tr>
        <w:trPr>
          <w:trHeight w:val="249"/>
        </w:trPr>
        <w:tc>
          <w:tcPr>
            <w:tcW w:w="508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53,772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53,770</w:t>
            </w:r>
          </w:p>
        </w:tc>
        <w:tc>
          <w:tcPr>
            <w:tcW w:w="100" w:type="dxa"/>
            <w:vAlign w:val="bottom"/>
          </w:tcPr>
          <w:p>
            <w:pPr>
              <w:spacing w:after="0"/>
              <w:rPr>
                <w:sz w:val="21"/>
                <w:szCs w:val="21"/>
                <w:color w:val="auto"/>
              </w:rPr>
            </w:pPr>
          </w:p>
        </w:tc>
      </w:tr>
      <w:tr>
        <w:trPr>
          <w:trHeight w:val="197"/>
        </w:trPr>
        <w:tc>
          <w:tcPr>
            <w:tcW w:w="508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77,272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77,269</w:t>
            </w:r>
          </w:p>
        </w:tc>
        <w:tc>
          <w:tcPr>
            <w:tcW w:w="100" w:type="dxa"/>
            <w:vAlign w:val="bottom"/>
          </w:tcPr>
          <w:p>
            <w:pPr>
              <w:spacing w:after="0"/>
              <w:rPr>
                <w:sz w:val="18"/>
                <w:szCs w:val="18"/>
                <w:color w:val="auto"/>
              </w:rPr>
            </w:pP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0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securities</w:t>
            </w:r>
          </w:p>
        </w:tc>
        <w:tc>
          <w:tcPr>
            <w:tcW w:w="1200" w:type="dxa"/>
            <w:vAlign w:val="bottom"/>
            <w:gridSpan w:val="2"/>
            <w:shd w:val="clear" w:color="auto" w:fill="CFF0FC"/>
          </w:tcPr>
          <w:p>
            <w:pPr>
              <w:jc w:val="center"/>
              <w:ind w:left="10"/>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31,835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31,842</w:t>
            </w:r>
          </w:p>
        </w:tc>
        <w:tc>
          <w:tcPr>
            <w:tcW w:w="100" w:type="dxa"/>
            <w:vAlign w:val="bottom"/>
            <w:shd w:val="clear" w:color="auto" w:fill="CFF0FC"/>
          </w:tcPr>
          <w:p>
            <w:pPr>
              <w:spacing w:after="0"/>
              <w:rPr>
                <w:sz w:val="17"/>
                <w:szCs w:val="17"/>
                <w:color w:val="auto"/>
              </w:rPr>
            </w:pPr>
          </w:p>
        </w:tc>
      </w:tr>
      <w:tr>
        <w:trPr>
          <w:trHeight w:val="216"/>
        </w:trPr>
        <w:tc>
          <w:tcPr>
            <w:tcW w:w="508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14,026</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18"/>
                <w:szCs w:val="18"/>
                <w:color w:val="auto"/>
              </w:rPr>
            </w:pPr>
          </w:p>
        </w:tc>
      </w:tr>
      <w:tr>
        <w:trPr>
          <w:trHeight w:val="249"/>
        </w:trPr>
        <w:tc>
          <w:tcPr>
            <w:tcW w:w="508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124,056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1"/>
                <w:szCs w:val="21"/>
                <w:color w:val="auto"/>
              </w:rPr>
            </w:pPr>
          </w:p>
        </w:tc>
      </w:tr>
      <w:tr>
        <w:trPr>
          <w:trHeight w:val="197"/>
        </w:trPr>
        <w:tc>
          <w:tcPr>
            <w:tcW w:w="508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5080" w:type="dxa"/>
            <w:vAlign w:val="bottom"/>
          </w:tcPr>
          <w:p>
            <w:pPr>
              <w:ind w:left="260"/>
              <w:spacing w:after="0"/>
              <w:rPr>
                <w:sz w:val="20"/>
                <w:szCs w:val="20"/>
                <w:color w:val="auto"/>
              </w:rPr>
            </w:pPr>
            <w:r>
              <w:rPr>
                <w:rFonts w:ascii="Arial" w:cs="Arial" w:eastAsia="Arial" w:hAnsi="Arial"/>
                <w:sz w:val="18"/>
                <w:szCs w:val="18"/>
                <w:color w:val="auto"/>
              </w:rPr>
              <w:t>U.S. government debt and agency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080" w:type="dxa"/>
            <w:vAlign w:val="bottom"/>
          </w:tcPr>
          <w:p>
            <w:pPr>
              <w:ind w:left="400"/>
              <w:spacing w:after="0" w:line="203" w:lineRule="exact"/>
              <w:rPr>
                <w:sz w:val="20"/>
                <w:szCs w:val="20"/>
                <w:color w:val="auto"/>
              </w:rPr>
            </w:pPr>
            <w:r>
              <w:rPr>
                <w:rFonts w:ascii="Arial" w:cs="Arial" w:eastAsia="Arial" w:hAnsi="Arial"/>
                <w:sz w:val="18"/>
                <w:szCs w:val="18"/>
                <w:color w:val="auto"/>
              </w:rPr>
              <w:t>securities</w:t>
            </w:r>
          </w:p>
        </w:tc>
        <w:tc>
          <w:tcPr>
            <w:tcW w:w="1200" w:type="dxa"/>
            <w:vAlign w:val="bottom"/>
            <w:gridSpan w:val="2"/>
          </w:tcPr>
          <w:p>
            <w:pPr>
              <w:jc w:val="center"/>
              <w:ind w:left="10"/>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78,924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78,956</w:t>
            </w:r>
          </w:p>
        </w:tc>
        <w:tc>
          <w:tcPr>
            <w:tcW w:w="100" w:type="dxa"/>
            <w:vAlign w:val="bottom"/>
          </w:tcPr>
          <w:p>
            <w:pPr>
              <w:spacing w:after="0"/>
              <w:rPr>
                <w:sz w:val="17"/>
                <w:szCs w:val="17"/>
                <w:color w:val="auto"/>
              </w:rPr>
            </w:pPr>
          </w:p>
        </w:tc>
      </w:tr>
      <w:tr>
        <w:trPr>
          <w:trHeight w:val="216"/>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w:t>
            </w:r>
          </w:p>
        </w:tc>
        <w:tc>
          <w:tcPr>
            <w:tcW w:w="100" w:type="dxa"/>
            <w:vAlign w:val="bottom"/>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Total long-term investments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83,475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All the commercial paper, U.S. government debt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205"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As of December 31, 2019, the Company held level 1 cash equivalent financial assets with amortized costs and fair values of $894,000.</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Prior to the IPO, the Company’s level 3 financial liabilities carried at fair value and remeasured on a recurring basis are the grant liability, derivative liability, and the convertible preferred stock warrant liability. In the third quarter the Company recorded an additional $464,000 to bring the total grant liability to $1.5 million as the Company’s IPO triggered the repayment obligation (see Note 7), and the derivative was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1" w:name="page142"/>
    <w:bookmarkEnd w:id="141"/>
    <w:p>
      <w:pPr>
        <w:jc w:val="both"/>
        <w:spacing w:after="0" w:line="238" w:lineRule="auto"/>
        <w:rPr>
          <w:sz w:val="20"/>
          <w:szCs w:val="20"/>
          <w:color w:val="auto"/>
        </w:rPr>
      </w:pPr>
      <w:r>
        <w:rPr>
          <w:rFonts w:ascii="Arial" w:cs="Arial" w:eastAsia="Arial" w:hAnsi="Arial"/>
          <w:sz w:val="18"/>
          <w:szCs w:val="18"/>
          <w:color w:val="auto"/>
        </w:rPr>
        <w:t>settled upon the Company’s conversion of its convertible notes in May 2020 (see Note 8). The losses resulting from the change in fair value of the grant liability, the bifurcated conversion and redemption features related to the derivative liability, and the convertible preferred stock warrant liability are classified as other income (expense), net in the accompanying consolidated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activity for the grant liability for the years ended December 31, 2020 and 2019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44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Change in fair value of grant liability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 settled upon completion of IPO</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9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activity for the derivative liability for the years ended December 31, 2020 and 2019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44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FF0FC"/>
          </w:tcPr>
          <w:p>
            <w:pPr>
              <w:spacing w:after="0"/>
              <w:rPr>
                <w:sz w:val="18"/>
                <w:szCs w:val="18"/>
                <w:color w:val="auto"/>
              </w:rPr>
            </w:pP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Derivative liability recorded upon issuance of</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440" w:type="dxa"/>
            <w:vAlign w:val="bottom"/>
          </w:tcPr>
          <w:p>
            <w:pPr>
              <w:ind w:left="140"/>
              <w:spacing w:after="0" w:line="203" w:lineRule="exact"/>
              <w:rPr>
                <w:sz w:val="20"/>
                <w:szCs w:val="20"/>
                <w:color w:val="auto"/>
              </w:rPr>
            </w:pPr>
            <w:r>
              <w:rPr>
                <w:rFonts w:ascii="Arial" w:cs="Arial" w:eastAsia="Arial" w:hAnsi="Arial"/>
                <w:sz w:val="18"/>
                <w:szCs w:val="18"/>
                <w:color w:val="auto"/>
              </w:rPr>
              <w:t>convertible notes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774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389</w:t>
            </w:r>
          </w:p>
        </w:tc>
        <w:tc>
          <w:tcPr>
            <w:tcW w:w="80" w:type="dxa"/>
            <w:vAlign w:val="bottom"/>
          </w:tcPr>
          <w:p>
            <w:pPr>
              <w:spacing w:after="0"/>
              <w:rPr>
                <w:sz w:val="17"/>
                <w:szCs w:val="17"/>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8"/>
                <w:szCs w:val="18"/>
                <w:color w:val="auto"/>
              </w:rPr>
            </w:pPr>
          </w:p>
        </w:tc>
      </w:tr>
      <w:tr>
        <w:trPr>
          <w:trHeight w:val="215"/>
        </w:trPr>
        <w:tc>
          <w:tcPr>
            <w:tcW w:w="4440" w:type="dxa"/>
            <w:vAlign w:val="bottom"/>
          </w:tcPr>
          <w:p>
            <w:pPr>
              <w:spacing w:after="0"/>
              <w:rPr>
                <w:sz w:val="20"/>
                <w:szCs w:val="20"/>
                <w:color w:val="auto"/>
              </w:rPr>
            </w:pPr>
            <w:r>
              <w:rPr>
                <w:rFonts w:ascii="Arial" w:cs="Arial" w:eastAsia="Arial" w:hAnsi="Arial"/>
                <w:sz w:val="18"/>
                <w:szCs w:val="18"/>
                <w:color w:val="auto"/>
              </w:rPr>
              <w:t>Derivative liability settled upon conversion of</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440" w:type="dxa"/>
            <w:vAlign w:val="bottom"/>
          </w:tcPr>
          <w:p>
            <w:pPr>
              <w:ind w:left="140"/>
              <w:spacing w:after="0" w:line="203" w:lineRule="exact"/>
              <w:rPr>
                <w:sz w:val="20"/>
                <w:szCs w:val="20"/>
                <w:color w:val="auto"/>
              </w:rPr>
            </w:pPr>
            <w:r>
              <w:rPr>
                <w:rFonts w:ascii="Arial" w:cs="Arial" w:eastAsia="Arial" w:hAnsi="Arial"/>
                <w:sz w:val="18"/>
                <w:szCs w:val="18"/>
                <w:color w:val="auto"/>
              </w:rPr>
              <w:t>convertible notes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(1,905)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r>
      <w:tr>
        <w:trPr>
          <w:trHeight w:val="210"/>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following table presents the activity for the convertible preferred stock warrant liability for the year ended December 31, 2020 (in thousands):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400" w:type="dxa"/>
            <w:vAlign w:val="bottom"/>
            <w:tcBorders>
              <w:bottom w:val="single" w:sz="8" w:color="CFF0FC"/>
            </w:tcBorders>
          </w:tcPr>
          <w:p>
            <w:pPr>
              <w:spacing w:after="0"/>
              <w:rPr>
                <w:sz w:val="15"/>
                <w:szCs w:val="15"/>
                <w:color w:val="auto"/>
              </w:rPr>
            </w:pPr>
          </w:p>
        </w:tc>
        <w:tc>
          <w:tcPr>
            <w:tcW w:w="10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0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Recognition of convertible preferred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400" w:type="dxa"/>
            <w:vAlign w:val="bottom"/>
          </w:tcPr>
          <w:p>
            <w:pPr>
              <w:ind w:left="140"/>
              <w:spacing w:after="0" w:line="203" w:lineRule="exact"/>
              <w:rPr>
                <w:sz w:val="20"/>
                <w:szCs w:val="20"/>
                <w:color w:val="auto"/>
              </w:rPr>
            </w:pPr>
            <w:r>
              <w:rPr>
                <w:rFonts w:ascii="Arial" w:cs="Arial" w:eastAsia="Arial" w:hAnsi="Arial"/>
                <w:sz w:val="18"/>
                <w:szCs w:val="18"/>
                <w:color w:val="auto"/>
              </w:rPr>
              <w:t>warrant liability</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364</w:t>
            </w:r>
          </w:p>
        </w:tc>
        <w:tc>
          <w:tcPr>
            <w:tcW w:w="80" w:type="dxa"/>
            <w:vAlign w:val="bottom"/>
          </w:tcPr>
          <w:p>
            <w:pPr>
              <w:spacing w:after="0"/>
              <w:rPr>
                <w:sz w:val="17"/>
                <w:szCs w:val="17"/>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Settlement upon IPO</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r>
      <w:tr>
        <w:trPr>
          <w:trHeight w:val="20"/>
        </w:trPr>
        <w:tc>
          <w:tcPr>
            <w:tcW w:w="44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Prior to the IPO, the activity for the convertible preferred stock warrant liability presented in the table above was shown in the Company’s financial statements as level 3. Following the IPO, the preferred stock warrant liability was revalued based on the IPO price of $17.00 per share.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3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as cost</w:t>
            </w: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09"/>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was $2,000 and $2,000 for the years ended December 31, 2020 and 2019,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53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1700"/>
              <w:spacing w:after="0"/>
              <w:rPr>
                <w:sz w:val="20"/>
                <w:szCs w:val="20"/>
                <w:color w:val="auto"/>
              </w:rPr>
            </w:pPr>
            <w:r>
              <w:rPr>
                <w:rFonts w:ascii="Arial" w:cs="Arial" w:eastAsia="Arial" w:hAnsi="Arial"/>
                <w:sz w:val="18"/>
                <w:szCs w:val="18"/>
                <w:color w:val="auto"/>
              </w:rPr>
              <w:t>Research and development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3,123</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Other Income (Expense), Net</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20" w:type="dxa"/>
            <w:vAlign w:val="bottom"/>
            <w:gridSpan w:val="2"/>
          </w:tcPr>
          <w:p>
            <w:pPr>
              <w:ind w:left="560"/>
              <w:spacing w:after="0"/>
              <w:rPr>
                <w:sz w:val="20"/>
                <w:szCs w:val="20"/>
                <w:color w:val="auto"/>
              </w:rPr>
            </w:pPr>
            <w:r>
              <w:rPr>
                <w:rFonts w:ascii="Arial" w:cs="Arial" w:eastAsia="Arial" w:hAnsi="Arial"/>
                <w:sz w:val="18"/>
                <w:szCs w:val="18"/>
                <w:color w:val="auto"/>
              </w:rPr>
              <w:t>Other income (expense), net consisted of the following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320" w:type="dxa"/>
            <w:vAlign w:val="bottom"/>
            <w:tcBorders>
              <w:bottom w:val="single" w:sz="8" w:color="CFF0FC"/>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CFF0FC"/>
            </w:tcBorders>
          </w:tcPr>
          <w:p>
            <w:pPr>
              <w:spacing w:after="0"/>
              <w:rPr>
                <w:sz w:val="14"/>
                <w:szCs w:val="14"/>
                <w:color w:val="auto"/>
              </w:rPr>
            </w:pPr>
          </w:p>
        </w:tc>
        <w:tc>
          <w:tcPr>
            <w:tcW w:w="18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ind w:left="170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700"/>
              <w:spacing w:after="0"/>
              <w:rPr>
                <w:sz w:val="20"/>
                <w:szCs w:val="20"/>
                <w:color w:val="auto"/>
              </w:rPr>
            </w:pPr>
            <w:r>
              <w:rPr>
                <w:rFonts w:ascii="Arial" w:cs="Arial" w:eastAsia="Arial" w:hAnsi="Arial"/>
                <w:sz w:val="18"/>
                <w:szCs w:val="18"/>
                <w:color w:val="auto"/>
              </w:rPr>
              <w:t>Change in fair value of grant liability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Change in convertible preferred stock</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3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warrant liability</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(641)</w:t>
            </w:r>
          </w:p>
        </w:tc>
        <w:tc>
          <w:tcPr>
            <w:tcW w:w="24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tcPr>
          <w:p>
            <w:pPr>
              <w:ind w:left="1700"/>
              <w:spacing w:after="0"/>
              <w:rPr>
                <w:sz w:val="20"/>
                <w:szCs w:val="20"/>
                <w:color w:val="auto"/>
              </w:rPr>
            </w:pPr>
            <w:r>
              <w:rPr>
                <w:rFonts w:ascii="Arial" w:cs="Arial" w:eastAsia="Arial" w:hAnsi="Arial"/>
                <w:sz w:val="18"/>
                <w:szCs w:val="18"/>
                <w:color w:val="auto"/>
              </w:rPr>
              <w:t>Gain on extinguishment of convertible notes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20" w:type="dxa"/>
            <w:vAlign w:val="bottom"/>
            <w:shd w:val="clear" w:color="auto" w:fill="CFF0FC"/>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other income (expense), net</w:t>
            </w:r>
          </w:p>
        </w:tc>
        <w:tc>
          <w:tcPr>
            <w:tcW w:w="2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(1,281)</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a chemical compound that forms the underlying technology of the drug therapies being developed by the Company.</w:t>
      </w:r>
    </w:p>
    <w:p>
      <w:pPr>
        <w:spacing w:after="0" w:line="20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3" w:name="page144"/>
    <w:bookmarkEnd w:id="143"/>
    <w:p>
      <w:pPr>
        <w:ind w:firstLine="546"/>
        <w:spacing w:after="0" w:line="246"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080" w:hanging="532"/>
        <w:spacing w:after="0" w:line="246"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2020, the Company had not incurred a royalty obligation under this agreement.</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mid-teens of any non-sales based payments received, and low twenties of net sales based sublicense royalties. As of December 31, 2020, the Company has not entered into or incurred any liability from a sublicense agreement.</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LSDF Grant Liability</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9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20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estimated fair value of the grant liability was $1.0 million as of December 31, 2019. The consummation of the Company’s IPO in September 2020 was a triggering event under the terms of the grant and the liability was remeasured to the pay-off amount of $1.5 million prior to settlement. The changes in the fair value of the liability resulted in expense of approximately $464,000 and $100,000 for the years ended December 31, 2020 and 2019, respectively, which were included in other income (expense), net in the accompanying consolidated statements of operations and comprehensive loss.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8. Convertible Notes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Company issued unsecured convertible notes with an aggregate principal amount of $1.7 million in 2020. Previously, the Company issued unsecured convertible notes with aggregate principal amounts of $0.9 million and $1.3 million and in 2019 and 2018, respectively. The notes accrued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20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39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97"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283" w:lineRule="exact"/>
        <w:rPr>
          <w:sz w:val="20"/>
          <w:szCs w:val="20"/>
          <w:color w:val="auto"/>
        </w:rPr>
      </w:pPr>
    </w:p>
    <w:p>
      <w:pPr>
        <w:ind w:left="540" w:right="8180" w:hanging="532"/>
        <w:spacing w:after="0" w:line="394" w:lineRule="auto"/>
        <w:tabs>
          <w:tab w:leader="none" w:pos="205"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5" w:name="page146"/>
    <w:bookmarkEnd w:id="145"/>
    <w:p>
      <w:pPr>
        <w:jc w:val="both"/>
        <w:spacing w:after="0" w:line="246" w:lineRule="auto"/>
        <w:rPr>
          <w:sz w:val="20"/>
          <w:szCs w:val="20"/>
          <w:color w:val="auto"/>
        </w:rPr>
      </w:pPr>
      <w:r>
        <w:rPr>
          <w:rFonts w:ascii="Arial" w:cs="Arial" w:eastAsia="Arial" w:hAnsi="Arial"/>
          <w:sz w:val="18"/>
          <w:szCs w:val="18"/>
          <w:color w:val="auto"/>
        </w:rPr>
        <w:t>a portion of any future amounts paid. The Company believes the estimated fair value of these indemnification agreements in excess of applicable insurance coverage is minimal.</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Company has an operating lease for laboratory and office facilities in Bothell, Washington that expires in August 2027. The initial term of the lease is seven years and the Company has an option to extend the lease for an additional five years that it is not reasonably certain to exercise. As of December 31, 2020, the remaining lease term for the Company’s operating lease was 6.7 years. The Company discounted future operating lease payments using an incremental borrowing rate of 8.2%. Additionally, the Company has a lease agreement for laboratory and office facilities at the University of Washington in Seattle, Washington with an initial term of 12 months for which the Company recognizes expense on a straight-line basis within operating expenses. As of December 31, 2020, the Company was not party to any finance leases.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40"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4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r>
      <w:tr>
        <w:trPr>
          <w:trHeight w:val="21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bottom w:val="single" w:sz="8" w:color="CFF0FC"/>
            </w:tcBorders>
          </w:tcPr>
          <w:p>
            <w:pPr>
              <w:spacing w:after="0"/>
              <w:rPr>
                <w:sz w:val="18"/>
                <w:szCs w:val="18"/>
                <w:color w:val="auto"/>
              </w:rPr>
            </w:pPr>
          </w:p>
        </w:tc>
      </w:tr>
      <w:tr>
        <w:trPr>
          <w:trHeight w:val="20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FF0FC"/>
          </w:tcPr>
          <w:p>
            <w:pPr>
              <w:spacing w:after="0"/>
              <w:rPr>
                <w:sz w:val="18"/>
                <w:szCs w:val="18"/>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Present value adjustment for minimum lease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80" w:type="dxa"/>
            <w:vAlign w:val="bottom"/>
          </w:tcPr>
          <w:p>
            <w:pPr>
              <w:ind w:left="140"/>
              <w:spacing w:after="0" w:line="203" w:lineRule="exact"/>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(429)</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r>
      <w:tr>
        <w:trPr>
          <w:trHeight w:val="210"/>
        </w:trPr>
        <w:tc>
          <w:tcPr>
            <w:tcW w:w="5480" w:type="dxa"/>
            <w:vAlign w:val="bottom"/>
          </w:tcPr>
          <w:p>
            <w:pPr>
              <w:ind w:left="240"/>
              <w:spacing w:after="0"/>
              <w:rPr>
                <w:sz w:val="20"/>
                <w:szCs w:val="20"/>
                <w:color w:val="auto"/>
              </w:rPr>
            </w:pPr>
            <w:r>
              <w:rPr>
                <w:rFonts w:ascii="Arial" w:cs="Arial" w:eastAsia="Arial" w:hAnsi="Arial"/>
                <w:sz w:val="18"/>
                <w:szCs w:val="18"/>
                <w:color w:val="auto"/>
              </w:rPr>
              <w:t>Net lease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Operating lease expense was $85,000 for the year ended December 31, 2020. The Company did not incur variable lease expense for operating leases during the year ended December 31, 2020. Rent expense recognized for short-term leases was $76,000 and $97,000 for the years ended December 31, 2020 and 2019,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paid for amounts included in the measurement of the lease liability for the year ended December 31, 2020 was $21,000.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preferred stock as of December 31, 2019 consisted of the following (in thousands, except share amounts):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5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Issued and</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Authorized</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FF0FC"/>
            </w:tcBorders>
          </w:tcPr>
          <w:p>
            <w:pPr>
              <w:spacing w:after="0"/>
              <w:rPr>
                <w:sz w:val="15"/>
                <w:szCs w:val="15"/>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8"/>
                <w:szCs w:val="18"/>
                <w:color w:val="auto"/>
              </w:rPr>
            </w:pPr>
          </w:p>
        </w:tc>
      </w:tr>
      <w:tr>
        <w:trPr>
          <w:trHeight w:val="210"/>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FF0FC"/>
          </w:tcPr>
          <w:p>
            <w:pPr>
              <w:spacing w:after="0"/>
              <w:rPr>
                <w:sz w:val="18"/>
                <w:szCs w:val="18"/>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$81.6 million, net of offering costs. The Company issued warrants to purchase 2,343,168 shares of its common stock,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6" w:name="page147"/>
    <w:bookmarkEnd w:id="146"/>
    <w:p>
      <w:pPr>
        <w:jc w:val="both"/>
        <w:spacing w:after="0" w:line="238" w:lineRule="auto"/>
        <w:rPr>
          <w:sz w:val="20"/>
          <w:szCs w:val="20"/>
          <w:color w:val="auto"/>
        </w:rPr>
      </w:pPr>
      <w:r>
        <w:rPr>
          <w:rFonts w:ascii="Arial" w:cs="Arial" w:eastAsia="Arial" w:hAnsi="Arial"/>
          <w:sz w:val="18"/>
          <w:szCs w:val="18"/>
          <w:color w:val="212121"/>
        </w:rPr>
        <w:t>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202"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53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Stock options outstanding</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1,974,873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1,514,770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 under the 2020</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3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Equity Incentive Plan</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3,742,234</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399,737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Shares available for future grant under the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360" w:type="dxa"/>
            <w:vAlign w:val="bottom"/>
          </w:tcPr>
          <w:p>
            <w:pPr>
              <w:ind w:left="140"/>
              <w:spacing w:after="0" w:line="203" w:lineRule="exact"/>
              <w:rPr>
                <w:sz w:val="20"/>
                <w:szCs w:val="20"/>
                <w:color w:val="auto"/>
              </w:rPr>
            </w:pPr>
            <w:r>
              <w:rPr>
                <w:rFonts w:ascii="Arial" w:cs="Arial" w:eastAsia="Arial" w:hAnsi="Arial"/>
                <w:sz w:val="18"/>
                <w:szCs w:val="18"/>
                <w:color w:val="auto"/>
              </w:rPr>
              <w:t>Employee Stock Purchase Plan</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323,000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6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6,040,107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Stock-based Compensation</w:t>
            </w: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60" w:type="dxa"/>
            <w:vAlign w:val="bottom"/>
            <w:gridSpan w:val="2"/>
          </w:tcPr>
          <w:p>
            <w:pPr>
              <w:ind w:left="56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gridSpan w:val="7"/>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FF0FC"/>
            </w:tcBorders>
          </w:tcPr>
          <w:p>
            <w:pPr>
              <w:spacing w:after="0"/>
              <w:rPr>
                <w:sz w:val="14"/>
                <w:szCs w:val="14"/>
                <w:color w:val="auto"/>
              </w:rPr>
            </w:pPr>
          </w:p>
        </w:tc>
        <w:tc>
          <w:tcPr>
            <w:tcW w:w="160" w:type="dxa"/>
            <w:vAlign w:val="bottom"/>
            <w:tcBorders>
              <w:top w:val="single" w:sz="8" w:color="auto"/>
              <w:bottom w:val="single" w:sz="8" w:color="CFF0FC"/>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26" w:lineRule="exact"/>
        <w:rPr>
          <w:sz w:val="20"/>
          <w:szCs w:val="20"/>
          <w:color w:val="auto"/>
        </w:rPr>
      </w:pPr>
    </w:p>
    <w:p>
      <w:pPr>
        <w:ind w:right="20" w:firstLine="546"/>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jc w:val="both"/>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7" w:name="page148"/>
    <w:bookmarkEnd w:id="147"/>
    <w:p>
      <w:pPr>
        <w:jc w:val="both"/>
        <w:ind w:left="1080"/>
        <w:spacing w:after="0" w:line="239" w:lineRule="auto"/>
        <w:rPr>
          <w:sz w:val="20"/>
          <w:szCs w:val="20"/>
          <w:color w:val="auto"/>
        </w:rPr>
      </w:pPr>
      <w:r>
        <w:rPr>
          <w:rFonts w:ascii="Arial" w:cs="Arial" w:eastAsia="Arial" w:hAnsi="Arial"/>
          <w:sz w:val="18"/>
          <w:szCs w:val="18"/>
          <w:color w:val="auto"/>
        </w:rPr>
        <w:t>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78" w:lineRule="exact"/>
        <w:rPr>
          <w:sz w:val="20"/>
          <w:szCs w:val="20"/>
          <w:color w:val="auto"/>
        </w:rPr>
      </w:pPr>
    </w:p>
    <w:p>
      <w:pPr>
        <w:ind w:left="1080" w:hanging="532"/>
        <w:spacing w:after="0" w:line="26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2" w:lineRule="exact"/>
        <w:rPr>
          <w:rFonts w:ascii="Arial" w:cs="Arial" w:eastAsia="Arial" w:hAnsi="Arial"/>
          <w:sz w:val="18"/>
          <w:szCs w:val="18"/>
          <w:color w:val="auto"/>
        </w:rPr>
      </w:pPr>
    </w:p>
    <w:p>
      <w:pPr>
        <w:jc w:val="both"/>
        <w:ind w:left="1080" w:hanging="532"/>
        <w:spacing w:after="0" w:line="242"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6" w:lineRule="exact"/>
        <w:rPr>
          <w:rFonts w:ascii="Arial" w:cs="Arial" w:eastAsia="Arial" w:hAnsi="Arial"/>
          <w:sz w:val="18"/>
          <w:szCs w:val="18"/>
          <w:color w:val="auto"/>
        </w:rPr>
      </w:pPr>
    </w:p>
    <w:p>
      <w:pPr>
        <w:jc w:val="both"/>
        <w:ind w:left="1080" w:hanging="532"/>
        <w:spacing w:after="0" w:line="250"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8"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178" w:lineRule="exact"/>
        <w:rPr>
          <w:sz w:val="20"/>
          <w:szCs w:val="20"/>
          <w:color w:val="auto"/>
        </w:rPr>
      </w:pPr>
    </w:p>
    <w:p>
      <w:pPr>
        <w:jc w:val="both"/>
        <w:ind w:firstLine="546"/>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6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240" w:type="dxa"/>
            <w:vAlign w:val="bottom"/>
            <w:tcBorders>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0.49%</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87.41%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FF0FC"/>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2020 and 2019 were $3.4 million and $274,000 respectively. The weighted-average grant-date fair value of options granted to advisors during the year ended December 31, 2020 was $818,000. The remeasured weighted-average fair value of options granted to advisors during the year ended December 31, 2019 was $47,000.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8" w:name="page149"/>
    <w:bookmarkEnd w:id="148"/>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option activity for the year ended December 31, 2020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r>
      <w:tr>
        <w:trPr>
          <w:trHeight w:val="175"/>
        </w:trPr>
        <w:tc>
          <w:tcPr>
            <w:tcW w:w="5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for Grant</w:t>
            </w: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5"/>
                <w:szCs w:val="15"/>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4,343,534</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(1,053,053)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1,053,053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(540,934)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52,016</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(52,016)</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3,742,234</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1,974,873</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7.98</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49,275</w:t>
            </w:r>
          </w:p>
        </w:tc>
        <w:tc>
          <w:tcPr>
            <w:tcW w:w="100" w:type="dxa"/>
            <w:vAlign w:val="bottom"/>
            <w:tcBorders>
              <w:bottom w:val="single" w:sz="8" w:color="CFF0FC"/>
            </w:tcBorders>
          </w:tcPr>
          <w:p>
            <w:pPr>
              <w:spacing w:after="0"/>
              <w:rPr>
                <w:sz w:val="21"/>
                <w:szCs w:val="2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1,315,050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13.67</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9.31</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659,823</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5.34</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21,877</w:t>
            </w:r>
          </w:p>
        </w:tc>
        <w:tc>
          <w:tcPr>
            <w:tcW w:w="10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546"/>
        <w:spacing w:after="0" w:line="23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2020 was $271,000 which included $191,000 for options granted to employees and directors and $80,000 for options granted to advisors. The total fair value of options that vested during the year ended December 31, 2019 was $183,000, which included $104,000 for options granted to employees and directors and $79,000 for options granted to advisors.</w:t>
      </w:r>
    </w:p>
    <w:p>
      <w:pPr>
        <w:spacing w:after="0" w:line="205" w:lineRule="exact"/>
        <w:rPr>
          <w:sz w:val="20"/>
          <w:szCs w:val="20"/>
          <w:color w:val="auto"/>
        </w:rPr>
      </w:pPr>
    </w:p>
    <w:p>
      <w:pPr>
        <w:jc w:val="both"/>
        <w:ind w:right="20" w:firstLine="546"/>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 -the-money at December 31, 2020. The aggregate intrinsic value of options exercised was $18.0 million and $39,000 during the year ended December 31, 2020 and 2019, respectively, determined as of the date of option exercise. As of December 31, 2020, there was $3.9 million of total unrecognized compensation cost related to unvested stock options. The Company expects to recognize this cost over a remaining weighted-average period of 1.75 years. The Company utilizes newly issued shares to satisfy option exercises.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options outstanding and exercisable consisted of the following at December 31,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Employees and Directors</w:t>
            </w:r>
          </w:p>
        </w:tc>
        <w:tc>
          <w:tcPr>
            <w:tcW w:w="22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20" w:type="dxa"/>
            <w:vAlign w:val="bottom"/>
            <w:gridSpan w:val="2"/>
          </w:tcPr>
          <w:p>
            <w:pPr>
              <w:ind w:left="260"/>
              <w:spacing w:after="0" w:line="156" w:lineRule="exact"/>
              <w:rPr>
                <w:sz w:val="20"/>
                <w:szCs w:val="20"/>
                <w:color w:val="auto"/>
              </w:rPr>
            </w:pPr>
            <w:r>
              <w:rPr>
                <w:rFonts w:ascii="Arial" w:cs="Arial" w:eastAsia="Arial" w:hAnsi="Arial"/>
                <w:sz w:val="14"/>
                <w:szCs w:val="14"/>
                <w:b w:val="1"/>
                <w:bCs w:val="1"/>
                <w:color w:val="auto"/>
              </w:rPr>
              <w:t>Shares</w:t>
            </w:r>
          </w:p>
        </w:tc>
        <w:tc>
          <w:tcPr>
            <w:tcW w:w="1260" w:type="dxa"/>
            <w:vAlign w:val="bottom"/>
            <w:gridSpan w:val="2"/>
          </w:tcPr>
          <w:p>
            <w:pPr>
              <w:ind w:left="280"/>
              <w:spacing w:after="0" w:line="156" w:lineRule="exact"/>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ind w:left="260"/>
              <w:spacing w:after="0" w:line="156" w:lineRule="exact"/>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ind w:left="260"/>
              <w:spacing w:after="0" w:line="156"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0.16</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162,353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162,353</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0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70,931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70,931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31,525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52,045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46,685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63,050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63,050</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294,760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116,642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63,837</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31,525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10,508</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17.00</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737,052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195,453</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22.22</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29,618</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23.79</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29.41</w:t>
            </w:r>
          </w:p>
        </w:tc>
        <w:tc>
          <w:tcPr>
            <w:tcW w:w="40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27,742</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1,546,136</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479,341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428,737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180,479</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147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bookmarkStart w:id="149" w:name="page150"/>
    <w:bookmarkEnd w:id="149"/>
    <w:p>
      <w:pPr>
        <w:ind w:left="560"/>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26" w:lineRule="exact"/>
        <w:rPr>
          <w:sz w:val="20"/>
          <w:szCs w:val="20"/>
          <w:color w:val="auto"/>
        </w:rPr>
      </w:pPr>
    </w:p>
    <w:p>
      <w:pPr>
        <w:jc w:val="both"/>
        <w:ind w:right="20" w:firstLine="546"/>
        <w:spacing w:after="0" w:line="238"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Shares subject to repurchase as of December 31, 2020 and December 31, 2019 were 4,204 shares and 8,407 shares, respectively, all of which were related to non-employee RSAs.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RSA activity for the year ended December 31, 2020 was as follows: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38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538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Equivalent</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(4,203)</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Non-vested at December 31,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212121"/>
        </w:rPr>
        <w:t>Employee Stock Purchase Plan</w:t>
      </w:r>
    </w:p>
    <w:p>
      <w:pPr>
        <w:spacing w:after="0" w:line="126" w:lineRule="exact"/>
        <w:rPr>
          <w:sz w:val="20"/>
          <w:szCs w:val="20"/>
          <w:color w:val="auto"/>
        </w:rPr>
      </w:pPr>
    </w:p>
    <w:p>
      <w:pPr>
        <w:jc w:val="both"/>
        <w:ind w:right="20" w:firstLine="546"/>
        <w:spacing w:after="0" w:line="235" w:lineRule="auto"/>
        <w:rPr>
          <w:sz w:val="20"/>
          <w:szCs w:val="20"/>
          <w:color w:val="auto"/>
        </w:rPr>
      </w:pPr>
      <w:r>
        <w:rPr>
          <w:rFonts w:ascii="Arial" w:cs="Arial" w:eastAsia="Arial" w:hAnsi="Arial"/>
          <w:sz w:val="18"/>
          <w:szCs w:val="18"/>
          <w:color w:val="212121"/>
        </w:rPr>
        <w:t>In August 2020, the Company’s board of directors adopted the 2020 Employee Stock Purchase Plan (“ESPP”) which became effective in September 2020. Under the ESPP, eligible employees can authorize payroll deductions for amounts up to the lesser of 15% of their qualifying wages or the statutory limit under the U.S. Internal Revenue Code. The ESPP provides for offering periods of six months in duration with one purchase period per offering period beginning May 18 and November 18 of each year. The first ESPP offering period commenced in September 2020 upon the Company’s Registration Statement becoming effective and will end May 18, 2021. Participants in an offering period will be granted the right to purchase common shares at a price per share that is 85% of the lesser of the fair market value of the shares at (i) the first day of the offering period or (ii) the end of each purchase period within the offering period. A maximum of 5,000 shares of common stock may be purchased by each participant at the purchase date during the offering period. The fair value of the ESPP options granted is determined using the Black-Scholes model and is amortized on a straight-line basis. The number of shares reserved for the ESPP automatically increases each year, beginning on January 1, 2021 by the lesser of (i) 646,000 shares of common stock, (ii) 1% of the outstanding shares of common stock on the last day of the immediately preceding fiscal year, or (iii) such number of shares determined by the board no later than the last day of the immediately preceding fiscal year. As of December 31, 2020, 323,000 shares of common stock were reserved for future grants under the ESPP. On January 1, 2021, and additional 324,851 shares of common stock became available for future grants under the ESPP. Stock-based compensation expense recognized during the year ended December 31, 2020 associated with the ESPP was not material.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13. Income Taxes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26" w:lineRule="exact"/>
        <w:rPr>
          <w:sz w:val="20"/>
          <w:szCs w:val="20"/>
          <w:color w:val="auto"/>
        </w:rPr>
      </w:pPr>
    </w:p>
    <w:p>
      <w:pPr>
        <w:jc w:val="both"/>
        <w:ind w:right="40" w:firstLine="546"/>
        <w:spacing w:after="0" w:line="246" w:lineRule="auto"/>
        <w:rPr>
          <w:sz w:val="20"/>
          <w:szCs w:val="20"/>
          <w:color w:val="auto"/>
        </w:rPr>
      </w:pPr>
      <w:r>
        <w:rPr>
          <w:rFonts w:ascii="Arial" w:cs="Arial" w:eastAsia="Arial" w:hAnsi="Arial"/>
          <w:sz w:val="18"/>
          <w:szCs w:val="18"/>
          <w:color w:val="auto"/>
        </w:rPr>
        <w:t>The Company did not record a provision (benefit) for income taxes for the years ended December 31, 2020 and 2019. Net loss is attributable to the following tax jurisdictions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29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(19,969)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(5,161)</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1700"/>
              <w:spacing w:after="0"/>
              <w:rPr>
                <w:sz w:val="20"/>
                <w:szCs w:val="20"/>
                <w:color w:val="auto"/>
              </w:rPr>
            </w:pPr>
            <w:r>
              <w:rPr>
                <w:rFonts w:ascii="Arial" w:cs="Arial" w:eastAsia="Arial" w:hAnsi="Arial"/>
                <w:sz w:val="18"/>
                <w:szCs w:val="18"/>
                <w:color w:val="auto"/>
              </w:rPr>
              <w:t>Foreign</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2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9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(19,955)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(5,161)</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2900" w:type="dxa"/>
            <w:vAlign w:val="bottom"/>
            <w:tcBorders>
              <w:top w:val="single" w:sz="8" w:color="CFF0FC"/>
              <w:bottom w:val="single" w:sz="8" w:color="CFF0FC"/>
            </w:tcBorders>
            <w:vMerge w:val="restart"/>
          </w:tcPr>
          <w:p>
            <w:pPr>
              <w:jc w:val="right"/>
              <w:ind w:right="1150"/>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150" w:name="page151"/>
    <w:bookmarkEnd w:id="150"/>
    <w:p>
      <w:pPr>
        <w:jc w:val="both"/>
        <w:ind w:firstLine="546"/>
        <w:spacing w:after="0" w:line="24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6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26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Non-deductible expenses and others</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r>
      <w:tr>
        <w:trPr>
          <w:trHeight w:val="215"/>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 related to the</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52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convertible notes and derivative liability</w:t>
            </w:r>
          </w:p>
        </w:tc>
        <w:tc>
          <w:tcPr>
            <w:tcW w:w="13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(1.0)</w:t>
            </w:r>
          </w:p>
        </w:tc>
        <w:tc>
          <w:tcPr>
            <w:tcW w:w="12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(1.7)</w:t>
            </w: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Non-deductible expense related to the grant</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5260" w:type="dxa"/>
            <w:vAlign w:val="bottom"/>
          </w:tcPr>
          <w:p>
            <w:pPr>
              <w:ind w:left="140"/>
              <w:spacing w:after="0" w:line="203" w:lineRule="exact"/>
              <w:rPr>
                <w:sz w:val="20"/>
                <w:szCs w:val="20"/>
                <w:color w:val="auto"/>
              </w:rPr>
            </w:pPr>
            <w:r>
              <w:rPr>
                <w:rFonts w:ascii="Arial" w:cs="Arial" w:eastAsia="Arial" w:hAnsi="Arial"/>
                <w:sz w:val="18"/>
                <w:szCs w:val="18"/>
                <w:color w:val="auto"/>
              </w:rPr>
              <w:t>liability</w:t>
            </w:r>
          </w:p>
        </w:tc>
        <w:tc>
          <w:tcPr>
            <w:tcW w:w="13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(0.3)</w:t>
            </w: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r>
      <w:tr>
        <w:trPr>
          <w:trHeight w:val="20"/>
        </w:trPr>
        <w:tc>
          <w:tcPr>
            <w:tcW w:w="5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212121"/>
        </w:rPr>
        <w:t>The components of the Company’s deferred tax assets and liabilities were as follows (in thousands):</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32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8,090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3,911</w:t>
            </w:r>
          </w:p>
        </w:tc>
        <w:tc>
          <w:tcPr>
            <w:tcW w:w="80" w:type="dxa"/>
            <w:vAlign w:val="bottom"/>
          </w:tcPr>
          <w:p>
            <w:pPr>
              <w:spacing w:after="0"/>
              <w:rPr>
                <w:sz w:val="18"/>
                <w:szCs w:val="18"/>
                <w:color w:val="auto"/>
              </w:rPr>
            </w:pPr>
          </w:p>
        </w:tc>
      </w:tr>
      <w:tr>
        <w:trPr>
          <w:trHeight w:val="215"/>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3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carryforwards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1,011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716</w:t>
            </w:r>
          </w:p>
        </w:tc>
        <w:tc>
          <w:tcPr>
            <w:tcW w:w="80" w:type="dxa"/>
            <w:vAlign w:val="bottom"/>
            <w:shd w:val="clear" w:color="auto" w:fill="CFF0FC"/>
          </w:tcPr>
          <w:p>
            <w:pPr>
              <w:spacing w:after="0"/>
              <w:rPr>
                <w:sz w:val="17"/>
                <w:szCs w:val="17"/>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8"/>
                <w:szCs w:val="18"/>
                <w:color w:val="auto"/>
              </w:rPr>
            </w:pPr>
          </w:p>
        </w:tc>
      </w:tr>
      <w:tr>
        <w:trPr>
          <w:trHeight w:val="209"/>
        </w:trPr>
        <w:tc>
          <w:tcPr>
            <w:tcW w:w="5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80" w:type="dxa"/>
            <w:vAlign w:val="bottom"/>
            <w:tcBorders>
              <w:bottom w:val="single" w:sz="8" w:color="CFF0FC"/>
            </w:tcBorders>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8"/>
                <w:szCs w:val="18"/>
                <w:color w:val="auto"/>
              </w:rPr>
              <w:t>Right of use asset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5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320" w:type="dxa"/>
            <w:vAlign w:val="bottom"/>
          </w:tcPr>
          <w:p>
            <w:pPr>
              <w:ind w:left="48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5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(9,098)</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(4,790)</w:t>
            </w:r>
          </w:p>
        </w:tc>
      </w:tr>
      <w:tr>
        <w:trPr>
          <w:trHeight w:val="210"/>
        </w:trPr>
        <w:tc>
          <w:tcPr>
            <w:tcW w:w="532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2020, the Company has recorded a full valuation allowance on its net deferred tax assets as the Company has concluded that it is not more likely than not that such losses or credits will be utilized. The valuation allowance increased by $4.3 million and $1.1 million during 2020 and 2019, respectively.</w:t>
      </w:r>
    </w:p>
    <w:p>
      <w:pPr>
        <w:spacing w:after="0" w:line="20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212121"/>
        </w:rPr>
        <w:t>At December 31, 2020, the Company has federal net operating loss and tax credit carryforwards of $9.4 million and $1.3 million, respectively, which expire over a period of 11 to 17 years. Net operating loss carryforwards of $29.1 million were generated after 2017, and therefore do not expire.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1" w:name="page152"/>
    <w:bookmarkEnd w:id="151"/>
    <w:p>
      <w:pPr>
        <w:ind w:left="800"/>
        <w:spacing w:after="0"/>
        <w:rPr>
          <w:sz w:val="20"/>
          <w:szCs w:val="20"/>
          <w:color w:val="auto"/>
        </w:rPr>
      </w:pPr>
      <w:r>
        <w:rPr>
          <w:rFonts w:ascii="Arial" w:cs="Arial" w:eastAsia="Arial" w:hAnsi="Arial"/>
          <w:sz w:val="18"/>
          <w:szCs w:val="18"/>
          <w:b w:val="1"/>
          <w:bCs w:val="1"/>
          <w:i w:val="1"/>
          <w:iCs w:val="1"/>
          <w:color w:val="212121"/>
        </w:rPr>
        <w:t>Uncertain Tax Positions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20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212121"/>
        </w:rPr>
        <w:t>A reconciliation of the beginning and ending amount of unrecognized tax benefits for uncertain tax positions were as follows (in thousands):</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3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9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200</w:t>
            </w:r>
          </w:p>
        </w:tc>
        <w:tc>
          <w:tcPr>
            <w:tcW w:w="80" w:type="dxa"/>
            <w:vAlign w:val="bottom"/>
            <w:shd w:val="clear" w:color="auto" w:fill="CFF0FC"/>
          </w:tcPr>
          <w:p>
            <w:pPr>
              <w:spacing w:after="0"/>
              <w:rPr>
                <w:sz w:val="18"/>
                <w:szCs w:val="18"/>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Additions for tax positions taken in the current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360" w:type="dxa"/>
            <w:vAlign w:val="bottom"/>
            <w:tcBorders>
              <w:bottom w:val="single" w:sz="8" w:color="CFF0FC"/>
            </w:tcBorders>
          </w:tcPr>
          <w:p>
            <w:pPr>
              <w:ind w:left="140"/>
              <w:spacing w:after="0" w:line="203" w:lineRule="exact"/>
              <w:rPr>
                <w:sz w:val="20"/>
                <w:szCs w:val="20"/>
                <w:color w:val="auto"/>
              </w:rPr>
            </w:pPr>
            <w:r>
              <w:rPr>
                <w:rFonts w:ascii="Arial" w:cs="Arial" w:eastAsia="Arial" w:hAnsi="Arial"/>
                <w:sz w:val="18"/>
                <w:szCs w:val="18"/>
                <w:color w:val="auto"/>
              </w:rPr>
              <w:t>year</w:t>
            </w: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8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w:t>
            </w:r>
          </w:p>
        </w:tc>
        <w:tc>
          <w:tcPr>
            <w:tcW w:w="80" w:type="dxa"/>
            <w:vAlign w:val="bottom"/>
            <w:tcBorders>
              <w:bottom w:val="single" w:sz="8" w:color="CFF0FC"/>
            </w:tcBorders>
          </w:tcPr>
          <w:p>
            <w:pPr>
              <w:spacing w:after="0"/>
              <w:rPr>
                <w:sz w:val="17"/>
                <w:szCs w:val="17"/>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9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239</w:t>
            </w:r>
          </w:p>
        </w:tc>
        <w:tc>
          <w:tcPr>
            <w:tcW w:w="80" w:type="dxa"/>
            <w:vAlign w:val="bottom"/>
            <w:shd w:val="clear" w:color="auto" w:fill="CFF0FC"/>
          </w:tcPr>
          <w:p>
            <w:pPr>
              <w:spacing w:after="0"/>
              <w:rPr>
                <w:sz w:val="18"/>
                <w:szCs w:val="18"/>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212121"/>
        </w:rPr>
        <w:t>If the unrecognized tax benefits for uncertain tax positions as of December 31, 2020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2020, there were no material interest and penalties on uncertain tax benefits. The Company does not anticipate any significant changes to its unrecognized tax benefits in the next 12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14. Employee Benefit Plans</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212121"/>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2020 or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15. Net Loss Per Share Attributable to Common Stockholders</w:t>
      </w:r>
    </w:p>
    <w:p>
      <w:pPr>
        <w:spacing w:after="0" w:line="126"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244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420" w:type="dxa"/>
            <w:vAlign w:val="bottom"/>
            <w:tcBorders>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basis</w:t>
            </w:r>
          </w:p>
        </w:tc>
        <w:tc>
          <w:tcPr>
            <w:tcW w:w="128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2,617,386</w:t>
            </w:r>
          </w:p>
        </w:tc>
        <w:tc>
          <w:tcPr>
            <w:tcW w:w="80" w:type="dxa"/>
            <w:vAlign w:val="bottom"/>
            <w:shd w:val="clear" w:color="auto" w:fill="CFF0FC"/>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Unvested RSAs</w:t>
            </w:r>
          </w:p>
        </w:tc>
        <w:tc>
          <w:tcPr>
            <w:tcW w:w="1080" w:type="dxa"/>
            <w:vAlign w:val="bottom"/>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8,407</w:t>
            </w:r>
          </w:p>
        </w:tc>
        <w:tc>
          <w:tcPr>
            <w:tcW w:w="80" w:type="dxa"/>
            <w:vAlign w:val="bottom"/>
          </w:tcPr>
          <w:p>
            <w:pPr>
              <w:spacing w:after="0"/>
              <w:rPr>
                <w:sz w:val="18"/>
                <w:szCs w:val="18"/>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1,974,873</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8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3,995</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80" w:type="dxa"/>
            <w:vAlign w:val="bottom"/>
            <w:shd w:val="clear" w:color="auto" w:fill="CFF0FC"/>
          </w:tcPr>
          <w:p>
            <w:pPr>
              <w:spacing w:after="0"/>
              <w:rPr>
                <w:sz w:val="18"/>
                <w:szCs w:val="18"/>
                <w:color w:val="auto"/>
              </w:rPr>
            </w:pPr>
          </w:p>
        </w:tc>
      </w:tr>
      <w:tr>
        <w:trPr>
          <w:trHeight w:val="210"/>
        </w:trPr>
        <w:tc>
          <w:tcPr>
            <w:tcW w:w="542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1,983,072</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4,143,873</w:t>
            </w: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16. Subsequent Events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On January 20, 2021, the Company’s registration statement on Form S-1 (File No. 333-252192) for its follow-on public offering of common stock was declared effective by the Securities and Exchange Commission. On January 25, 2021, the Company issued and sold 4,000,000 shares of common stock in the follow-on public offering at a public offering price of $22.50 per share, resulting in net proceeds of $84.1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million after deducting underwriting discounts and commissions and offering expenses paid by the Company.</w:t>
      </w:r>
    </w:p>
    <w:p>
      <w:pPr>
        <w:spacing w:after="0" w:line="21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In February 2021, the Company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net proceeds to use of approximately $12.7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disclosure controls and procedures are designed to ensure that information we are required to disclose in reports that we file or submit under the Securities Exchange Act of 1934, as amended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4" w:name="page155"/>
    <w:bookmarkEnd w:id="154"/>
    <w:p>
      <w:pPr>
        <w:ind w:left="528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December 31,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88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80" w:type="dxa"/>
            <w:vAlign w:val="bottom"/>
            <w:tcBorders>
              <w:top w:val="single" w:sz="8" w:color="auto"/>
            </w:tcBorders>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78</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Barbara Kosacz</w:t>
            </w:r>
            <w:r>
              <w:rPr>
                <w:rFonts w:ascii="Arial" w:cs="Arial" w:eastAsia="Arial" w:hAnsi="Arial"/>
                <w:sz w:val="15"/>
                <w:szCs w:val="15"/>
                <w:color w:val="auto"/>
              </w:rPr>
              <w:t>(3)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58</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0"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532"/>
        <w:spacing w:after="0" w:line="187" w:lineRule="auto"/>
        <w:tabs>
          <w:tab w:leader="none" w:pos="54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532"/>
        <w:spacing w:after="0" w:line="189" w:lineRule="auto"/>
        <w:tabs>
          <w:tab w:leader="none" w:pos="540" w:val="left"/>
        </w:tabs>
        <w:numPr>
          <w:ilvl w:val="0"/>
          <w:numId w:val="82"/>
        </w:numPr>
        <w:rPr>
          <w:rFonts w:ascii="Arial" w:cs="Arial" w:eastAsia="Arial" w:hAnsi="Arial"/>
          <w:sz w:val="19"/>
          <w:szCs w:val="19"/>
          <w:color w:val="auto"/>
          <w:vertAlign w:val="superscript"/>
        </w:rPr>
      </w:pPr>
      <w:r>
        <w:rPr>
          <w:rFonts w:ascii="Arial" w:cs="Arial" w:eastAsia="Arial" w:hAnsi="Arial"/>
          <w:sz w:val="12"/>
          <w:szCs w:val="12"/>
          <w:color w:val="auto"/>
        </w:rPr>
        <w:t>Member of the nominating and corporate governance committee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jc w:val="both"/>
        <w:ind w:firstLine="546"/>
        <w:spacing w:after="0"/>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8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91" w:lineRule="exact"/>
        <w:rPr>
          <w:sz w:val="20"/>
          <w:szCs w:val="20"/>
          <w:color w:val="auto"/>
        </w:rPr>
      </w:pPr>
    </w:p>
    <w:p>
      <w:pPr>
        <w:jc w:val="both"/>
        <w:ind w:firstLine="546"/>
        <w:spacing w:after="0" w:line="267"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jc w:val="both"/>
        <w:spacing w:after="0" w:line="236" w:lineRule="auto"/>
        <w:rPr>
          <w:sz w:val="20"/>
          <w:szCs w:val="20"/>
          <w:color w:val="auto"/>
        </w:rPr>
      </w:pPr>
      <w:r>
        <w:rPr>
          <w:rFonts w:ascii="Arial" w:cs="Arial" w:eastAsia="Arial" w:hAnsi="Arial"/>
          <w:sz w:val="18"/>
          <w:szCs w:val="18"/>
          <w:color w:val="auto"/>
        </w:rPr>
        <w:t>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8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from April 2020 to September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93" w:lineRule="exact"/>
        <w:rPr>
          <w:sz w:val="20"/>
          <w:szCs w:val="20"/>
          <w:color w:val="auto"/>
        </w:rPr>
      </w:pPr>
    </w:p>
    <w:p>
      <w:pPr>
        <w:jc w:val="both"/>
        <w:ind w:firstLine="546"/>
        <w:spacing w:after="0"/>
        <w:rPr>
          <w:sz w:val="20"/>
          <w:szCs w:val="20"/>
          <w:color w:val="auto"/>
        </w:rPr>
      </w:pPr>
      <w:r>
        <w:rPr>
          <w:rFonts w:ascii="Arial" w:cs="Arial" w:eastAsia="Arial" w:hAnsi="Arial"/>
          <w:sz w:val="18"/>
          <w:szCs w:val="18"/>
          <w:i w:val="1"/>
          <w:iCs w:val="1"/>
          <w:color w:val="auto"/>
        </w:rPr>
        <w:t>Kevin Church, Ph.D.</w:t>
      </w:r>
      <w:r>
        <w:rPr>
          <w:rFonts w:ascii="Arial" w:cs="Arial" w:eastAsia="Arial" w:hAnsi="Arial"/>
          <w:sz w:val="18"/>
          <w:szCs w:val="18"/>
          <w:color w:val="auto"/>
        </w:rPr>
        <w:t>, 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8"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i w:val="1"/>
          <w:iCs w:val="1"/>
          <w:color w:val="auto"/>
        </w:rPr>
        <w:t>Tadataka Yamada, M.D.</w:t>
      </w:r>
      <w:r>
        <w:rPr>
          <w:rFonts w:ascii="Arial" w:cs="Arial" w:eastAsia="Arial" w:hAnsi="Arial"/>
          <w:sz w:val="18"/>
          <w:szCs w:val="18"/>
          <w:color w:val="auto"/>
        </w:rPr>
        <w:t>, has served on our board of directors since June 2019 and as the chair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6" w:name="page157"/>
    <w:bookmarkEnd w:id="156"/>
    <w:p>
      <w:pPr>
        <w:jc w:val="both"/>
        <w:spacing w:after="0" w:line="236" w:lineRule="auto"/>
        <w:rPr>
          <w:sz w:val="20"/>
          <w:szCs w:val="20"/>
          <w:color w:val="auto"/>
        </w:rPr>
      </w:pPr>
      <w:r>
        <w:rPr>
          <w:rFonts w:ascii="Arial" w:cs="Arial" w:eastAsia="Arial" w:hAnsi="Arial"/>
          <w:sz w:val="18"/>
          <w:szCs w:val="18"/>
          <w:color w:val="auto"/>
        </w:rPr>
        <w:t>and a B.A. in history from Stanford University 1967. In recognition of his 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89" w:lineRule="exact"/>
        <w:rPr>
          <w:sz w:val="20"/>
          <w:szCs w:val="20"/>
          <w:color w:val="auto"/>
        </w:rPr>
      </w:pPr>
    </w:p>
    <w:p>
      <w:pPr>
        <w:jc w:val="both"/>
        <w:ind w:firstLine="546"/>
        <w:spacing w:after="0"/>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8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8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193" w:lineRule="exact"/>
        <w:rPr>
          <w:sz w:val="20"/>
          <w:szCs w:val="20"/>
          <w:color w:val="auto"/>
        </w:rPr>
      </w:pPr>
    </w:p>
    <w:p>
      <w:pPr>
        <w:jc w:val="both"/>
        <w:ind w:firstLine="546"/>
        <w:spacing w:after="0" w:line="250" w:lineRule="auto"/>
        <w:rPr>
          <w:sz w:val="20"/>
          <w:szCs w:val="20"/>
          <w:color w:val="auto"/>
        </w:rPr>
      </w:pPr>
      <w:r>
        <w:rPr>
          <w:rFonts w:ascii="Arial" w:cs="Arial" w:eastAsia="Arial" w:hAnsi="Arial"/>
          <w:sz w:val="18"/>
          <w:szCs w:val="18"/>
          <w:i w:val="1"/>
          <w:iCs w:val="1"/>
          <w:color w:val="auto"/>
        </w:rPr>
        <w:t xml:space="preserve">Barbara Kosacz </w:t>
      </w:r>
      <w:r>
        <w:rPr>
          <w:rFonts w:ascii="Arial" w:cs="Arial" w:eastAsia="Arial" w:hAnsi="Arial"/>
          <w:sz w:val="18"/>
          <w:szCs w:val="18"/>
          <w:color w:val="auto"/>
        </w:rPr>
        <w:t>has served</w:t>
      </w:r>
      <w:r>
        <w:rPr>
          <w:rFonts w:ascii="Arial" w:cs="Arial" w:eastAsia="Arial" w:hAnsi="Arial"/>
          <w:sz w:val="18"/>
          <w:szCs w:val="18"/>
          <w:i w:val="1"/>
          <w:iCs w:val="1"/>
          <w:color w:val="auto"/>
        </w:rPr>
        <w:t xml:space="preserve"> </w:t>
      </w:r>
      <w:r>
        <w:rPr>
          <w:rFonts w:ascii="Arial" w:cs="Arial" w:eastAsia="Arial" w:hAnsi="Arial"/>
          <w:sz w:val="18"/>
          <w:szCs w:val="18"/>
          <w:color w:val="0A0A0A"/>
        </w:rPr>
        <w:t>on our board of directors since March 2021. Ms. Kosacz has served as chief operating officer and general</w:t>
      </w:r>
      <w:r>
        <w:rPr>
          <w:rFonts w:ascii="Arial" w:cs="Arial" w:eastAsia="Arial" w:hAnsi="Arial"/>
          <w:sz w:val="18"/>
          <w:szCs w:val="18"/>
          <w:i w:val="1"/>
          <w:iCs w:val="1"/>
          <w:color w:val="auto"/>
        </w:rPr>
        <w:t xml:space="preserve"> </w:t>
      </w:r>
      <w:r>
        <w:rPr>
          <w:rFonts w:ascii="Arial" w:cs="Arial" w:eastAsia="Arial" w:hAnsi="Arial"/>
          <w:sz w:val="18"/>
          <w:szCs w:val="18"/>
          <w:color w:val="0A0A0A"/>
        </w:rPr>
        <w:t>counsel at Kronos Bio, Inc., a clinical-stage biopharmaceutical company, since July 2020. Prior to joining Kronos Bio, Ms. Kosacz was a partner at Cooley LLP from January 1997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7" w:name="page158"/>
    <w:bookmarkEnd w:id="157"/>
    <w:p>
      <w:pPr>
        <w:jc w:val="both"/>
        <w:spacing w:after="0" w:line="235" w:lineRule="auto"/>
        <w:rPr>
          <w:sz w:val="20"/>
          <w:szCs w:val="20"/>
          <w:color w:val="auto"/>
        </w:rPr>
      </w:pPr>
      <w:r>
        <w:rPr>
          <w:rFonts w:ascii="Arial" w:cs="Arial" w:eastAsia="Arial" w:hAnsi="Arial"/>
          <w:sz w:val="18"/>
          <w:szCs w:val="18"/>
          <w:color w:val="0A0A0A"/>
        </w:rPr>
        <w:t>to December 2000, and again from February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is a member of the Board of Trustees of the Keck Graduate Institute, an advisory board member of Locust Walk Partners, and has been a speaker at multiple life sciences-related conferences, as well as guest lecturer at the University of California, Berkeley, and Stanford University about biotechnology law, biotech business models, corporate partnering negotiations and deal structures, and bioethics. Recognized by Best Lawyers in America since 2008 and most recently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Corp., a public biotechnology company, and Locust Walk Acquisition Corp., a blank check company formed for the purpose of acquiring or merging with one or more businesses. Ms. Kosacz received her B.A. from Stanford University and her J.D. from the University of California, Berkeley School of Law. We believe Ms. Kosacz’s extensive experience as an advisor to life sciences companies qualifies her to serve on our board of directors.</w:t>
      </w:r>
    </w:p>
    <w:p>
      <w:pPr>
        <w:spacing w:after="0" w:line="19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i w:val="1"/>
          <w:iCs w:val="1"/>
          <w:color w:val="auto"/>
        </w:rPr>
        <w:t xml:space="preserve">Kelly A. Romano </w:t>
      </w:r>
      <w:r>
        <w:rPr>
          <w:rFonts w:ascii="Arial" w:cs="Arial" w:eastAsia="Arial" w:hAnsi="Arial"/>
          <w:sz w:val="18"/>
          <w:szCs w:val="18"/>
          <w:color w:val="auto"/>
        </w:rPr>
        <w:t>has served on our board of directors since December 2020.</w:t>
      </w:r>
      <w:r>
        <w:rPr>
          <w:rFonts w:ascii="Arial" w:cs="Arial" w:eastAsia="Arial" w:hAnsi="Arial"/>
          <w:sz w:val="18"/>
          <w:szCs w:val="18"/>
          <w:i w:val="1"/>
          <w:iCs w:val="1"/>
          <w:color w:val="auto"/>
        </w:rPr>
        <w:t xml:space="preserve"> </w:t>
      </w:r>
      <w:r>
        <w:rPr>
          <w:rFonts w:ascii="Arial" w:cs="Arial" w:eastAsia="Arial" w:hAnsi="Arial"/>
          <w:sz w:val="18"/>
          <w:szCs w:val="18"/>
          <w:color w:val="0A0A0A"/>
        </w:rPr>
        <w:t>Ms. Romano brings over 30 years of executive</w:t>
      </w:r>
      <w:r>
        <w:rPr>
          <w:rFonts w:ascii="Arial" w:cs="Arial" w:eastAsia="Arial" w:hAnsi="Arial"/>
          <w:sz w:val="18"/>
          <w:szCs w:val="18"/>
          <w:i w:val="1"/>
          <w:iCs w:val="1"/>
          <w:color w:val="auto"/>
        </w:rPr>
        <w:t xml:space="preserve"> </w:t>
      </w:r>
      <w:r>
        <w:rPr>
          <w:rFonts w:ascii="Arial" w:cs="Arial" w:eastAsia="Arial" w:hAnsi="Arial"/>
          <w:sz w:val="18"/>
          <w:szCs w:val="18"/>
          <w:color w:val="0A0A0A"/>
        </w:rPr>
        <w:t>operating experience in technology, with a background in commercial buildings and aerospace. Ms. Romano is the chief executive officer of BlueRipple Capital, LLC, a consultancy firm she founded in May 2018. In addition to her role at BlueRipple Capital, LLC, Ms. Romano is an operating partner at AE Industrial Partners. Ms. Romano has also served as senior advisory partner at Sand Oak Capital Partners, LLC, a private equity firm focused on industrial and manufacturing investments, since May 2016. Previously, she spent 32 years working at United Technologies Corp. (UTC) in various positions of increasing responsibility, most recently as president of intelligent building technologies in 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 We believe Ms. Romano’s executive operating experience and aptitude for understanding growing companies qualifies her to serve on our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w:t>
      </w:r>
    </w:p>
    <w:p>
      <w:pPr>
        <w:spacing w:after="0"/>
        <w:rPr>
          <w:sz w:val="20"/>
          <w:szCs w:val="20"/>
          <w:color w:val="auto"/>
        </w:rPr>
      </w:pPr>
      <w:r>
        <w:rPr>
          <w:rFonts w:ascii="Arial" w:cs="Arial" w:eastAsia="Arial" w:hAnsi="Arial"/>
          <w:sz w:val="18"/>
          <w:szCs w:val="18"/>
          <w:color w:val="auto"/>
        </w:rPr>
        <w:t>The audit committee composition and responsibilities are described below.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Our board of directors has determined that each of Messrs. Johnson and Fluke and Ms. Romano is independent for audit committee purposes, as that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8" w:name="page159"/>
    <w:bookmarkEnd w:id="158"/>
    <w:p>
      <w:pPr>
        <w:spacing w:after="0" w:line="246" w:lineRule="auto"/>
        <w:rPr>
          <w:sz w:val="20"/>
          <w:szCs w:val="20"/>
          <w:color w:val="auto"/>
        </w:rPr>
      </w:pPr>
      <w:r>
        <w:rPr>
          <w:rFonts w:ascii="Arial" w:cs="Arial" w:eastAsia="Arial" w:hAnsi="Arial"/>
          <w:sz w:val="18"/>
          <w:szCs w:val="18"/>
          <w:color w:val="auto"/>
        </w:rPr>
        <w:t>term is defined in the rules of the SEC and the applicable Nasdaq rules, and have sufficient knowledge in financial and auditing matters to serve on the audit committee.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committee:</w:t>
      </w:r>
    </w:p>
    <w:p>
      <w:pPr>
        <w:spacing w:after="0" w:line="104" w:lineRule="exact"/>
        <w:rPr>
          <w:sz w:val="20"/>
          <w:szCs w:val="20"/>
          <w:color w:val="auto"/>
        </w:rPr>
      </w:pPr>
    </w:p>
    <w:p>
      <w:pPr>
        <w:ind w:left="1080" w:hanging="532"/>
        <w:spacing w:after="0" w:line="24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selects, retains, compensates, evaluates, oversees and, where appropriate, terminates our independent registered public accounting firm;</w:t>
      </w:r>
    </w:p>
    <w:p>
      <w:pPr>
        <w:spacing w:after="0" w:line="88"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reviews and approves the scope and plans for the audits and the audit fees and approves all non-audit and tax services to be performed by the independent audit;</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evaluates the independence and qualification of the independent registered public accounting firm;</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reviews internal controls and integrity of financial statements;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reviews financial information presentation, earnings press releases and guidance;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oversees the design, implementation and performance of our internal audit function, if any;</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sets hiring policies with regard to the hiring of employees and former employees of our independent auditor and oversees compliance with such policies;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reviews, approves and monitors related party transactions;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adopts and oversees procedures to address complaints regarding accounting, internal accounting controls or auditing matters;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reviews and discusses with our management and the independent auditor our compliance with various laws;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reviews and discusses with management our independent auditor guidelines and policies to identify, monitor, and address enterprise risks;</w:t>
      </w:r>
    </w:p>
    <w:p>
      <w:pPr>
        <w:spacing w:after="0" w:line="8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engages independent legal, accounting and other advisors;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provides appropriate funding for compensation to independent registered accounting firm, advisors and related expenses;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reviews the adequacy of the audit committee charter and recommend any proposed changes to our board of directors.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0A0A0A"/>
        </w:rPr>
        <w:t>Section 16(a) of the Exchange Act requires our directors and executive officers, and persons who own more than ten percent of a registered class of our equity securities, to file reports of ownership and changes in ownership with the SEC. Based solely on our review of Forms 3, 4 and 5 and amendments thereto filed electronically with the SEC by the reporting persons, and written representations from certain reporting persons, we believe that during the fiscal year ended December 31, 2020, our directors, executive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9" w:name="page160"/>
    <w:bookmarkEnd w:id="159"/>
    <w:p>
      <w:pPr>
        <w:jc w:val="both"/>
        <w:spacing w:after="0" w:line="246" w:lineRule="auto"/>
        <w:rPr>
          <w:sz w:val="20"/>
          <w:szCs w:val="20"/>
          <w:color w:val="auto"/>
        </w:rPr>
      </w:pPr>
      <w:r>
        <w:rPr>
          <w:rFonts w:ascii="Arial" w:cs="Arial" w:eastAsia="Arial" w:hAnsi="Arial"/>
          <w:sz w:val="18"/>
          <w:szCs w:val="18"/>
          <w:color w:val="0A0A0A"/>
        </w:rPr>
        <w:t>officers, and ten percent stockholders complied with all Section 16(a) filing requirements applicable to them with the exception of a Form 3 due on September 17, 2020 but filed by Mr. Fluke on September 18,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 2019 – 2020 Summary Compensation Table” below. For 2020, our “named executive officers” and their positions were as follows:</w:t>
      </w:r>
    </w:p>
    <w:p>
      <w:pPr>
        <w:spacing w:after="0" w:line="9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Leen Kawas, Ph.D., our president and chief executive officer;</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Hans Moebius, M.D., Ph.D., our chief medical officer;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Glenna Mileson, our chief financial officer.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 2020 Summary Compensation Table</w:t>
      </w:r>
    </w:p>
    <w:p>
      <w:pPr>
        <w:spacing w:after="0" w:line="126"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for the years ended December 31, 2020 and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Salary</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Awards</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Leen Kawas, Ph.D., President</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349,372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642,570</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357,100</w:t>
            </w:r>
            <w:r>
              <w:rPr>
                <w:rFonts w:ascii="Arial" w:cs="Arial" w:eastAsia="Arial" w:hAnsi="Arial"/>
                <w:sz w:val="15"/>
                <w:szCs w:val="15"/>
                <w:color w:val="auto"/>
              </w:rPr>
              <w:t>(3)</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gridSpan w:val="2"/>
          </w:tcPr>
          <w:p>
            <w:pPr>
              <w:ind w:left="160"/>
              <w:spacing w:after="0"/>
              <w:rPr>
                <w:sz w:val="20"/>
                <w:szCs w:val="20"/>
                <w:color w:val="auto"/>
              </w:rPr>
            </w:pPr>
            <w:r>
              <w:rPr>
                <w:rFonts w:ascii="Arial" w:cs="Arial" w:eastAsia="Arial" w:hAnsi="Arial"/>
                <w:sz w:val="18"/>
                <w:szCs w:val="18"/>
                <w:color w:val="auto"/>
              </w:rPr>
              <w:t>and Chief Executive Officer</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284,999</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 Chief</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218,859</w:t>
            </w:r>
            <w:r>
              <w:rPr>
                <w:rFonts w:ascii="Arial" w:cs="Arial" w:eastAsia="Arial" w:hAnsi="Arial"/>
                <w:sz w:val="15"/>
                <w:szCs w:val="15"/>
                <w:color w:val="auto"/>
              </w:rPr>
              <w:t>(1)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190,220</w:t>
            </w:r>
            <w:r>
              <w:rPr>
                <w:rFonts w:ascii="Arial" w:cs="Arial" w:eastAsia="Arial" w:hAnsi="Arial"/>
                <w:sz w:val="15"/>
                <w:szCs w:val="15"/>
                <w:color w:val="auto"/>
              </w:rPr>
              <w:t>(4)</w:t>
            </w:r>
          </w:p>
        </w:tc>
        <w:tc>
          <w:tcPr>
            <w:tcW w:w="10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15,979</w:t>
            </w:r>
            <w:r>
              <w:rPr>
                <w:rFonts w:ascii="Arial" w:cs="Arial" w:eastAsia="Arial" w:hAnsi="Arial"/>
                <w:sz w:val="15"/>
                <w:szCs w:val="15"/>
                <w:color w:val="auto"/>
              </w:rPr>
              <w:t>(7)</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Medical Officer</w:t>
            </w:r>
          </w:p>
        </w:tc>
        <w:tc>
          <w:tcPr>
            <w:tcW w:w="100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593,430</w:t>
            </w:r>
          </w:p>
        </w:tc>
        <w:tc>
          <w:tcPr>
            <w:tcW w:w="12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1,018,488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Glenna Mileson, Chief Financial Officer</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199,445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291,375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218,200</w:t>
            </w: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709,020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1912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60" w:lineRule="exact"/>
        <w:rPr>
          <w:sz w:val="20"/>
          <w:szCs w:val="20"/>
          <w:color w:val="auto"/>
        </w:rPr>
      </w:pPr>
    </w:p>
    <w:p>
      <w:pPr>
        <w:ind w:left="540" w:right="20" w:hanging="532"/>
        <w:spacing w:after="0" w:line="182" w:lineRule="auto"/>
        <w:tabs>
          <w:tab w:leader="none" w:pos="540" w:val="left"/>
        </w:tabs>
        <w:numPr>
          <w:ilvl w:val="0"/>
          <w:numId w:val="85"/>
        </w:numPr>
        <w:rPr>
          <w:rFonts w:ascii="Arial" w:cs="Arial" w:eastAsia="Arial" w:hAnsi="Arial"/>
          <w:sz w:val="23"/>
          <w:szCs w:val="23"/>
          <w:color w:val="auto"/>
          <w:vertAlign w:val="superscript"/>
        </w:rPr>
      </w:pPr>
      <w:r>
        <w:rPr>
          <w:rFonts w:ascii="Arial" w:cs="Arial" w:eastAsia="Arial" w:hAnsi="Arial"/>
          <w:sz w:val="14"/>
          <w:szCs w:val="14"/>
          <w:color w:val="auto"/>
        </w:rPr>
        <w:t>Represents $121,724 of consulting fees earned and paid prior to Dr. Moebius joining us as chief medical officer in September 2020 and salary of $97,135 earned and paid following his hiring.</w:t>
      </w:r>
    </w:p>
    <w:p>
      <w:pPr>
        <w:spacing w:after="0" w:line="1" w:lineRule="exact"/>
        <w:rPr>
          <w:rFonts w:ascii="Arial" w:cs="Arial" w:eastAsia="Arial" w:hAnsi="Arial"/>
          <w:sz w:val="23"/>
          <w:szCs w:val="23"/>
          <w:color w:val="auto"/>
          <w:vertAlign w:val="superscript"/>
        </w:rPr>
      </w:pPr>
    </w:p>
    <w:p>
      <w:pPr>
        <w:jc w:val="both"/>
        <w:ind w:left="540" w:hanging="532"/>
        <w:spacing w:after="0" w:line="204" w:lineRule="auto"/>
        <w:tabs>
          <w:tab w:leader="none" w:pos="5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amounts in this column reflect the aggregate grant date fair value of stock options granted during 2019 and 2020 computed in accordance with Accounting Standards Codification (ASC) Topic 718, rather than the amounts paid or realized by the named executive officer. We provide information regarding the assumptions used to calculate the value of all stock options made to our named executive officers in Note 12 to our audited financial statements included elsewhere in this report.</w:t>
      </w:r>
    </w:p>
    <w:p>
      <w:pPr>
        <w:spacing w:after="0" w:line="2" w:lineRule="exact"/>
        <w:rPr>
          <w:rFonts w:ascii="Arial" w:cs="Arial" w:eastAsia="Arial" w:hAnsi="Arial"/>
          <w:sz w:val="24"/>
          <w:szCs w:val="24"/>
          <w:color w:val="auto"/>
          <w:vertAlign w:val="superscript"/>
        </w:rPr>
      </w:pPr>
    </w:p>
    <w:p>
      <w:pPr>
        <w:jc w:val="both"/>
        <w:ind w:left="540" w:hanging="532"/>
        <w:spacing w:after="0" w:line="195" w:lineRule="auto"/>
        <w:tabs>
          <w:tab w:leader="none" w:pos="5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Represents (i) a discretionary bonus payment of $357,000 in recognition of Company and individual performance in the year ended December 31, 2020, including the advancement of our product candidates, completion of certain financings and other corporate achievements, and (ii) a $100 payment made in consideration of Dr. Kawas’s entry into a non-disclosure and confidentiality agreement with us in 2020.</w:t>
      </w:r>
    </w:p>
    <w:p>
      <w:pPr>
        <w:jc w:val="both"/>
        <w:ind w:left="540" w:hanging="532"/>
        <w:spacing w:after="0" w:line="195" w:lineRule="auto"/>
        <w:tabs>
          <w:tab w:leader="none" w:pos="5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Represents (i) a discretionary bonus payment of $190,120 in recognition of Company and individual performance in the year ended December 31, 2020, including the advancement of our product candidates, completion of certain financings and other corporate achievements, and (ii) a $100 payment made in consideration of Dr. Moebius’s entry into a non-disclosure and confidentiality agreement with us in 2020.</w:t>
      </w:r>
    </w:p>
    <w:p>
      <w:pPr>
        <w:jc w:val="both"/>
        <w:ind w:left="540" w:hanging="532"/>
        <w:spacing w:after="0" w:line="204" w:lineRule="auto"/>
        <w:tabs>
          <w:tab w:leader="none" w:pos="5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Represents (i) a discretionary bonus payment of $215,600 in recognition of Company and individual performance in the year ended December 31, 2020, including the advancement of our product candidates, completion of certain financings and other corporate achievements, (ii) a bonus payment of $2,500 paid in connection with the closing of our Series B financing in the second quarter of 2020, and (iii) a $100 payment made in consideration of Ms. Mileson’s entry into a non-disclosure and confidentiality agreement with us in 2020.</w:t>
      </w:r>
    </w:p>
    <w:p>
      <w:pPr>
        <w:spacing w:after="0" w:line="2" w:lineRule="exact"/>
        <w:rPr>
          <w:rFonts w:ascii="Arial" w:cs="Arial" w:eastAsia="Arial" w:hAnsi="Arial"/>
          <w:sz w:val="24"/>
          <w:szCs w:val="24"/>
          <w:color w:val="auto"/>
          <w:vertAlign w:val="superscript"/>
        </w:rPr>
      </w:pPr>
    </w:p>
    <w:p>
      <w:pPr>
        <w:ind w:left="540" w:hanging="532"/>
        <w:spacing w:after="0" w:line="187"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Represents reimbursements paid to Dr. Kawas to cover parking fees.</w:t>
      </w:r>
    </w:p>
    <w:p>
      <w:pPr>
        <w:ind w:left="540" w:hanging="532"/>
        <w:spacing w:after="0" w:line="189" w:lineRule="auto"/>
        <w:tabs>
          <w:tab w:leader="none" w:pos="540" w:val="left"/>
        </w:tabs>
        <w:numPr>
          <w:ilvl w:val="0"/>
          <w:numId w:val="85"/>
        </w:numPr>
        <w:rPr>
          <w:rFonts w:ascii="Arial" w:cs="Arial" w:eastAsia="Arial" w:hAnsi="Arial"/>
          <w:sz w:val="19"/>
          <w:szCs w:val="19"/>
          <w:color w:val="auto"/>
          <w:vertAlign w:val="superscript"/>
        </w:rPr>
      </w:pPr>
      <w:r>
        <w:rPr>
          <w:rFonts w:ascii="Arial" w:cs="Arial" w:eastAsia="Arial" w:hAnsi="Arial"/>
          <w:sz w:val="12"/>
          <w:szCs w:val="12"/>
          <w:color w:val="auto"/>
        </w:rPr>
        <w:t>Represents monthly stipends paid to Dr. Moebius to defray the costs associated with mandatory and elective benefits contributions in Switzerland, where he is located.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Outstanding Equity Awards at December 31, 2020</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grants of stock options to each of our named executive officers outstanding at December 31,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Vesting</w:t>
            </w:r>
          </w:p>
        </w:tc>
        <w:tc>
          <w:tcPr>
            <w:tcW w:w="4860" w:type="dxa"/>
            <w:vAlign w:val="bottom"/>
            <w:tcBorders>
              <w:bottom w:val="single" w:sz="8" w:color="auto"/>
            </w:tcBorders>
            <w:gridSpan w:val="7"/>
          </w:tcPr>
          <w:p>
            <w:pPr>
              <w:jc w:val="right"/>
              <w:ind w:right="493"/>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Option Exercise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Commencement</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Exercisable</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Unexercisable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Prices</w:t>
            </w: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5"/>
        </w:trPr>
        <w:tc>
          <w:tcPr>
            <w:tcW w:w="50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9"/>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Leen Kawas, Ph.D.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1/20/2014</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08/29/2014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50,440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10/24/2015</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10/23/2025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12/01/2017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63,050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01/21/2023</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01/01/2019</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27,017</w:t>
            </w:r>
            <w:r>
              <w:rPr>
                <w:rFonts w:ascii="Arial" w:cs="Arial" w:eastAsia="Arial" w:hAnsi="Arial"/>
                <w:sz w:val="15"/>
                <w:szCs w:val="15"/>
                <w:color w:val="auto"/>
              </w:rPr>
              <w:t>(3)</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12/17/2023</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08/26/2020</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209,956</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04/01/2019</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w:t>
            </w:r>
            <w:r>
              <w:rPr>
                <w:rFonts w:ascii="Arial" w:cs="Arial" w:eastAsia="Arial" w:hAnsi="Arial"/>
                <w:sz w:val="15"/>
                <w:szCs w:val="15"/>
                <w:color w:val="auto"/>
              </w:rPr>
              <w:t>(2)</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06/25/2029</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06/01/2019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7,881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23,644</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08/14/2029</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145,015</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Glenna Mileson</w:t>
            </w:r>
          </w:p>
        </w:tc>
        <w:tc>
          <w:tcPr>
            <w:tcW w:w="1140" w:type="dxa"/>
            <w:vAlign w:val="bottom"/>
          </w:tcPr>
          <w:p>
            <w:pPr>
              <w:jc w:val="right"/>
              <w:spacing w:after="0"/>
              <w:rPr>
                <w:sz w:val="20"/>
                <w:szCs w:val="20"/>
                <w:color w:val="auto"/>
              </w:rPr>
            </w:pPr>
            <w:r>
              <w:rPr>
                <w:rFonts w:ascii="Arial" w:cs="Arial" w:eastAsia="Arial" w:hAnsi="Arial"/>
                <w:sz w:val="18"/>
                <w:szCs w:val="18"/>
                <w:color w:val="auto"/>
              </w:rPr>
              <w:t>01/01/2019</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12,610</w:t>
            </w:r>
            <w:r>
              <w:rPr>
                <w:rFonts w:ascii="Arial" w:cs="Arial" w:eastAsia="Arial" w:hAnsi="Arial"/>
                <w:sz w:val="15"/>
                <w:szCs w:val="15"/>
                <w:color w:val="auto"/>
              </w:rPr>
              <w:t>(3)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12/17/2028</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95,205</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74" w:lineRule="exact"/>
        <w:rPr>
          <w:sz w:val="20"/>
          <w:szCs w:val="20"/>
          <w:color w:val="auto"/>
        </w:rPr>
      </w:pPr>
    </w:p>
    <w:p>
      <w:pPr>
        <w:ind w:left="540" w:hanging="532"/>
        <w:spacing w:after="0" w:line="182" w:lineRule="auto"/>
        <w:tabs>
          <w:tab w:leader="none" w:pos="540" w:val="left"/>
        </w:tabs>
        <w:numPr>
          <w:ilvl w:val="0"/>
          <w:numId w:val="86"/>
        </w:numPr>
        <w:rPr>
          <w:rFonts w:ascii="Arial" w:cs="Arial" w:eastAsia="Arial" w:hAnsi="Arial"/>
          <w:sz w:val="23"/>
          <w:szCs w:val="23"/>
          <w:color w:val="auto"/>
          <w:vertAlign w:val="superscript"/>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 w:lineRule="exact"/>
        <w:rPr>
          <w:rFonts w:ascii="Arial" w:cs="Arial" w:eastAsia="Arial" w:hAnsi="Arial"/>
          <w:sz w:val="23"/>
          <w:szCs w:val="23"/>
          <w:color w:val="auto"/>
          <w:vertAlign w:val="superscript"/>
        </w:rPr>
      </w:pPr>
    </w:p>
    <w:p>
      <w:pPr>
        <w:ind w:left="540" w:right="20" w:hanging="532"/>
        <w:spacing w:after="0" w:line="182" w:lineRule="auto"/>
        <w:tabs>
          <w:tab w:leader="none" w:pos="540" w:val="left"/>
        </w:tabs>
        <w:numPr>
          <w:ilvl w:val="0"/>
          <w:numId w:val="86"/>
        </w:numPr>
        <w:rPr>
          <w:rFonts w:ascii="Arial" w:cs="Arial" w:eastAsia="Arial" w:hAnsi="Arial"/>
          <w:sz w:val="23"/>
          <w:szCs w:val="23"/>
          <w:color w:val="auto"/>
          <w:vertAlign w:val="superscript"/>
        </w:rPr>
      </w:pPr>
      <w:r>
        <w:rPr>
          <w:rFonts w:ascii="Arial" w:cs="Arial" w:eastAsia="Arial" w:hAnsi="Arial"/>
          <w:sz w:val="14"/>
          <w:szCs w:val="14"/>
          <w:color w:val="auto"/>
        </w:rPr>
        <w:t>Stock option vests over two years, with 1/2 vesting on each anniversary of the vesting commencement date, subject to continued service with us through the applicable vesting date.</w:t>
      </w:r>
    </w:p>
    <w:p>
      <w:pPr>
        <w:spacing w:after="0" w:line="1" w:lineRule="exact"/>
        <w:rPr>
          <w:rFonts w:ascii="Arial" w:cs="Arial" w:eastAsia="Arial" w:hAnsi="Arial"/>
          <w:sz w:val="23"/>
          <w:szCs w:val="23"/>
          <w:color w:val="auto"/>
          <w:vertAlign w:val="superscript"/>
        </w:rPr>
      </w:pPr>
    </w:p>
    <w:p>
      <w:pPr>
        <w:jc w:val="both"/>
        <w:ind w:left="540" w:hanging="532"/>
        <w:spacing w:after="0" w:line="199" w:lineRule="auto"/>
        <w:tabs>
          <w:tab w:leader="none" w:pos="5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 The stock option will accelerate vesting as to 100% of the unvested shares subject thereto upon the earlier of a change in control or a termination without “cause” and other than due to death or “disability” (as such terms are defined in our 2014 Equity Incentive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The confirmatory employment letter provides for an annual base salary of $510,000 effective upon our initial public offering and, for the 2020 fiscal year, an annual target cash incentive payment equal to 50% of her annual base salary.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Hans Moebius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September 2020, we entered into an employment letter agreement with Dr. Moebius, our chief medical officer. The employment agreement has no specific term and provides that Dr. Moebius is an at-will employee, as defined under applicable law, and supersedes any prior employment or other service agreements between Dr. Moebius and us. Dr. Moebius’ employment letter agreement provides for an annual base salary of $339,500 effective upon our initial public offering and, for the 2020 fiscal year, an annual target cash incentive payment equal to 40% of his annual base salary. In addition, Dr. Moebius will receive a monthly stipend of $4,625 to defray the costs associated with mandatory and elective benefits contributions in Switzerland, where he is located.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Glenna Mileson</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September 2020, we entered into a confirmatory employment letter with Ms. Mileson, our chief financial officer. The confirmatory employment letter has no specific term and provides that Ms. Mileson is an at-will employee and supersedes all prior employment agreements between Ms. Mileson and us. The confirmatory offer letter provides for an annual base salary of $385,000 effective upon our initial public offering and, for the 2020 fiscal year, an annual target cash incentive payment equal to 40% of her annual base salary.</w:t>
      </w:r>
    </w:p>
    <w:p>
      <w:pPr>
        <w:spacing w:after="0" w:line="205"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option agreement governing the terms of Ms. Mileson’s option award granted on December 18, 2018, under our 2014 Equity Incentive Plan, with a vesting commencement date of January 1, 2019, provides for 100% vesting of unvested shares subject to the option upon the earlier of a change in control or a termination of Ms. Mileson’s employment without “cause” and other than due to her death or “disability” (as such terms are defined in our 2014 Equity Incentive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In September 2020, we entered into change in control and severance agreements with Dr. Kawas, Dr. Moebius, and Ms. Mileson, which agreements provide for certain severance and change in control benefits as described below.</w:t>
      </w:r>
    </w:p>
    <w:p>
      <w:pPr>
        <w:spacing w:after="0" w:line="19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97" w:lineRule="exact"/>
        <w:rPr>
          <w:sz w:val="20"/>
          <w:szCs w:val="20"/>
          <w:color w:val="auto"/>
        </w:rPr>
      </w:pPr>
    </w:p>
    <w:p>
      <w:pPr>
        <w:jc w:val="both"/>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94" w:lineRule="exact"/>
        <w:rPr>
          <w:rFonts w:ascii="Arial" w:cs="Arial" w:eastAsia="Arial" w:hAnsi="Arial"/>
          <w:sz w:val="18"/>
          <w:szCs w:val="18"/>
          <w:color w:val="auto"/>
        </w:rPr>
      </w:pPr>
    </w:p>
    <w:p>
      <w:pPr>
        <w:jc w:val="both"/>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named executive officers other than Dr. Moebius, payment of premiums for coverage under the Consolidated Omnibus Budget Reconciliation Act of 1985, as amended (COBRA), for the named executive officer and his or her eligible dependents, if any, for up to 9 months for Ms. Mileson or up to 12 months for Dr. Kawas.</w:t>
      </w:r>
    </w:p>
    <w:p>
      <w:pPr>
        <w:spacing w:after="0" w:line="20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97" w:lineRule="exact"/>
        <w:rPr>
          <w:sz w:val="20"/>
          <w:szCs w:val="20"/>
          <w:color w:val="auto"/>
        </w:rPr>
      </w:pPr>
    </w:p>
    <w:p>
      <w:pPr>
        <w:jc w:val="both"/>
        <w:ind w:left="1080" w:hanging="532"/>
        <w:spacing w:after="0" w:line="23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96" w:lineRule="exact"/>
        <w:rPr>
          <w:rFonts w:ascii="Arial" w:cs="Arial" w:eastAsia="Arial" w:hAnsi="Arial"/>
          <w:sz w:val="18"/>
          <w:szCs w:val="18"/>
          <w:color w:val="auto"/>
        </w:rPr>
      </w:pPr>
    </w:p>
    <w:p>
      <w:pPr>
        <w:jc w:val="both"/>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2" w:name="page163"/>
    <w:bookmarkEnd w:id="162"/>
    <w:p>
      <w:pPr>
        <w:jc w:val="both"/>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named executive officers other than Dr. Moebius, payment of premiums for coverage under COBRA for the named executive officer and the named executive officer’s eligible dependents, if any, for up to 12 months for Ms. Mileson or up to 18 months for Dr. Kawas; and</w:t>
      </w:r>
    </w:p>
    <w:p>
      <w:pPr>
        <w:spacing w:after="0" w:line="93"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9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203"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Dr. Moebius or Ms. Mileson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for named executive officers other than Dr. Moebius,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3" w:name="page164"/>
    <w:bookmarkEnd w:id="163"/>
    <w:p>
      <w:pPr>
        <w:jc w:val="both"/>
        <w:ind w:right="20"/>
        <w:spacing w:after="0" w:line="246" w:lineRule="auto"/>
        <w:rPr>
          <w:sz w:val="20"/>
          <w:szCs w:val="20"/>
          <w:color w:val="auto"/>
        </w:rPr>
      </w:pPr>
      <w:r>
        <w:rPr>
          <w:rFonts w:ascii="Arial" w:cs="Arial" w:eastAsia="Arial" w:hAnsi="Arial"/>
          <w:sz w:val="18"/>
          <w:szCs w:val="18"/>
          <w:color w:val="auto"/>
        </w:rPr>
        <w:t>by the administrator, including our named executive officers, based upon any performance goals that may be established by the administrator.</w:t>
      </w:r>
    </w:p>
    <w:p>
      <w:pPr>
        <w:spacing w:after="0" w:line="197"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213"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20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205"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20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26" w:lineRule="exact"/>
        <w:rPr>
          <w:sz w:val="20"/>
          <w:szCs w:val="20"/>
          <w:color w:val="auto"/>
        </w:rPr>
      </w:pPr>
    </w:p>
    <w:p>
      <w:pPr>
        <w:jc w:val="both"/>
        <w:ind w:firstLine="546"/>
        <w:spacing w:after="0" w:line="206" w:lineRule="exact"/>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2020.</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Fees Earned or</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in Cash</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r>
      <w:tr>
        <w:trPr>
          <w:trHeight w:val="175"/>
        </w:trPr>
        <w:tc>
          <w:tcPr>
            <w:tcW w:w="52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($)(1)</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5"/>
                <w:szCs w:val="15"/>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110,777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134,491</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12,571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82,385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94,956</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85,644</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98,929</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15,714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82,075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97,789</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80" w:type="dxa"/>
            <w:vAlign w:val="bottom"/>
            <w:shd w:val="clear" w:color="auto" w:fill="CFF0FC"/>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582,382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583,900</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1912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0" w:lineRule="exact"/>
        <w:rPr>
          <w:sz w:val="20"/>
          <w:szCs w:val="20"/>
          <w:color w:val="auto"/>
        </w:rPr>
      </w:pPr>
    </w:p>
    <w:p>
      <w:pPr>
        <w:jc w:val="both"/>
        <w:ind w:left="540" w:hanging="532"/>
        <w:spacing w:after="0" w:line="195" w:lineRule="auto"/>
        <w:tabs>
          <w:tab w:leader="none" w:pos="5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the amount in this column reflects the aggregate grant date fair value of stock options granted during 2020 computed in accordance with Accounting Standards Codification (ASC) Topic 718, rather than the amount paid or realized by the director. We provide information regarding the assumptions used to calculate the value of all stock options granted to our directors in Note 12 to our audited financial statements included elsewhere in this report.</w:t>
      </w:r>
    </w:p>
    <w:p>
      <w:pPr>
        <w:ind w:left="540" w:right="20" w:hanging="532"/>
        <w:spacing w:after="0" w:line="182" w:lineRule="auto"/>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4"/>
          <w:szCs w:val="14"/>
          <w:color w:val="auto"/>
        </w:rPr>
        <w:t>Dr. Yamada became a member of our board of directors in June 2019. As of December 31, 2020, Dr. Yamada held stock options to purchase 109,707 shares of our common stock.</w:t>
      </w:r>
    </w:p>
    <w:p>
      <w:pPr>
        <w:spacing w:after="0" w:line="1" w:lineRule="exact"/>
        <w:rPr>
          <w:rFonts w:ascii="Arial" w:cs="Arial" w:eastAsia="Arial" w:hAnsi="Arial"/>
          <w:sz w:val="23"/>
          <w:szCs w:val="23"/>
          <w:color w:val="auto"/>
          <w:vertAlign w:val="superscript"/>
        </w:rPr>
      </w:pPr>
    </w:p>
    <w:p>
      <w:pPr>
        <w:ind w:left="540" w:hanging="532"/>
        <w:spacing w:after="0" w:line="182" w:lineRule="auto"/>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4"/>
          <w:szCs w:val="14"/>
          <w:color w:val="auto"/>
        </w:rPr>
        <w:t>Mr. Edelman became a member of our board of directors in May 2020. As of December 31, 2020, Mr. Edelman held stock options to purchase 27,742 shares of our common stock.</w:t>
      </w:r>
    </w:p>
    <w:p>
      <w:pPr>
        <w:spacing w:after="0" w:line="1" w:lineRule="exact"/>
        <w:rPr>
          <w:rFonts w:ascii="Arial" w:cs="Arial" w:eastAsia="Arial" w:hAnsi="Arial"/>
          <w:sz w:val="23"/>
          <w:szCs w:val="23"/>
          <w:color w:val="auto"/>
          <w:vertAlign w:val="superscript"/>
        </w:rPr>
      </w:pPr>
    </w:p>
    <w:p>
      <w:pPr>
        <w:ind w:left="540" w:hanging="532"/>
        <w:spacing w:after="0" w:line="182" w:lineRule="auto"/>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4"/>
          <w:szCs w:val="14"/>
          <w:color w:val="auto"/>
        </w:rPr>
        <w:t>Mr. Fluke became a member of our board of directors in December 2014. As of December 31, 2020, Mr. Fluke held stock options to purchase 56,745 shares of our common stock.</w:t>
      </w:r>
    </w:p>
    <w:p>
      <w:pPr>
        <w:spacing w:after="0" w:line="1" w:lineRule="exact"/>
        <w:rPr>
          <w:rFonts w:ascii="Arial" w:cs="Arial" w:eastAsia="Arial" w:hAnsi="Arial"/>
          <w:sz w:val="23"/>
          <w:szCs w:val="23"/>
          <w:color w:val="auto"/>
          <w:vertAlign w:val="superscript"/>
        </w:rPr>
      </w:pPr>
    </w:p>
    <w:p>
      <w:pPr>
        <w:ind w:left="540" w:hanging="532"/>
        <w:spacing w:after="0" w:line="182" w:lineRule="auto"/>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4"/>
          <w:szCs w:val="14"/>
          <w:color w:val="auto"/>
        </w:rPr>
        <w:t>Mr. Johnson became a member of our board of directors in August 2020. As of December 31, 2020, Mr. Johnson held stock options to purchase 27,742 shares of our common stock.</w:t>
      </w:r>
    </w:p>
    <w:p>
      <w:pPr>
        <w:spacing w:after="0" w:line="1" w:lineRule="exact"/>
        <w:rPr>
          <w:rFonts w:ascii="Arial" w:cs="Arial" w:eastAsia="Arial" w:hAnsi="Arial"/>
          <w:sz w:val="23"/>
          <w:szCs w:val="23"/>
          <w:color w:val="auto"/>
          <w:vertAlign w:val="superscript"/>
        </w:rPr>
      </w:pPr>
    </w:p>
    <w:p>
      <w:pPr>
        <w:ind w:left="540" w:hanging="532"/>
        <w:spacing w:after="0"/>
        <w:tabs>
          <w:tab w:leader="none" w:pos="5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Dr. Harding resigned from our board of directors in August 2020. As of December 31, 2020, Dr. Harding held stock options to purchase 25,220 shares of our common stock.</w:t>
      </w:r>
    </w:p>
    <w:p>
      <w:pPr>
        <w:spacing w:after="0" w:line="48" w:lineRule="exact"/>
        <w:rPr>
          <w:rFonts w:ascii="Arial" w:cs="Arial" w:eastAsia="Arial" w:hAnsi="Arial"/>
          <w:sz w:val="24"/>
          <w:szCs w:val="24"/>
          <w:color w:val="auto"/>
          <w:vertAlign w:val="superscript"/>
        </w:rPr>
      </w:pPr>
    </w:p>
    <w:p>
      <w:pPr>
        <w:ind w:left="540" w:hanging="532"/>
        <w:spacing w:after="0" w:line="183" w:lineRule="auto"/>
        <w:tabs>
          <w:tab w:leader="none" w:pos="5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Ms. Romano was appointed to our board of directors in December 2020. As of December 31, 2020, Ms. Romano held stock options to purchase 27,742 shares of our common stock.</w:t>
      </w:r>
    </w:p>
    <w:p>
      <w:pPr>
        <w:spacing w:after="0" w:line="201" w:lineRule="exact"/>
        <w:rPr>
          <w:sz w:val="20"/>
          <w:szCs w:val="20"/>
          <w:color w:val="auto"/>
        </w:rPr>
      </w:pPr>
    </w:p>
    <w:p>
      <w:pPr>
        <w:jc w:val="both"/>
        <w:ind w:firstLine="546"/>
        <w:spacing w:after="0" w:line="206"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September 17,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jc w:val="both"/>
        <w:ind w:firstLine="546"/>
        <w:spacing w:after="0" w:line="210"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September 17, 2020:</w:t>
      </w:r>
    </w:p>
    <w:p>
      <w:pPr>
        <w:spacing w:after="0" w:line="94" w:lineRule="exact"/>
        <w:rPr>
          <w:sz w:val="20"/>
          <w:szCs w:val="20"/>
          <w:color w:val="auto"/>
        </w:rPr>
      </w:pPr>
    </w:p>
    <w:p>
      <w:pPr>
        <w:ind w:left="1080" w:hanging="532"/>
        <w:spacing w:after="0" w:line="207" w:lineRule="exact"/>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$30,000 per year for service as chair of the board of directors;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$15,000 per year for service as chair of the audit committee;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5" w:name="page166"/>
    <w:bookmarkEnd w:id="165"/>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5" w:lineRule="exact"/>
        <w:rPr>
          <w:sz w:val="20"/>
          <w:szCs w:val="20"/>
          <w:color w:val="auto"/>
        </w:rPr>
      </w:pPr>
    </w:p>
    <w:p>
      <w:pPr>
        <w:jc w:val="both"/>
        <w:ind w:firstLine="546"/>
        <w:spacing w:after="0" w:line="206"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 xml:space="preserve">employee director who serves as a committee chair receives only the cash retainer fee as the chair of the committee but not the cash retainer fee as a member of that committee. These fees to our non </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4" w:lineRule="exact"/>
        <w:rPr>
          <w:sz w:val="20"/>
          <w:szCs w:val="20"/>
          <w:color w:val="auto"/>
        </w:rPr>
      </w:pPr>
    </w:p>
    <w:p>
      <w:pPr>
        <w:jc w:val="both"/>
        <w:ind w:firstLine="546"/>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then-serving non-employee director received, on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17, 2020, an award, or the IPO Award, of stock options to purchase 27,742 shares of our common stock. For each non-employee director other than Mr. Johnson, each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85" w:lineRule="exact"/>
        <w:rPr>
          <w:sz w:val="20"/>
          <w:szCs w:val="20"/>
          <w:color w:val="auto"/>
        </w:rPr>
      </w:pPr>
    </w:p>
    <w:p>
      <w:pPr>
        <w:jc w:val="both"/>
        <w:ind w:firstLine="546"/>
        <w:spacing w:after="0" w:line="207"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85" w:lineRule="exact"/>
        <w:rPr>
          <w:sz w:val="20"/>
          <w:szCs w:val="20"/>
          <w:color w:val="auto"/>
        </w:rPr>
      </w:pPr>
    </w:p>
    <w:p>
      <w:pPr>
        <w:jc w:val="both"/>
        <w:ind w:firstLine="546"/>
        <w:spacing w:after="0" w:line="209"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receives, on the first trading day immediately after the date of each annual meeting of our stockholders that occurs following September 17, 2020, an annual award (or, the Annual Award) of stock options to purchase 13,871 shares of our common stock.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185" w:lineRule="exact"/>
        <w:rPr>
          <w:sz w:val="20"/>
          <w:szCs w:val="20"/>
          <w:color w:val="auto"/>
        </w:rPr>
      </w:pPr>
    </w:p>
    <w:p>
      <w:pPr>
        <w:jc w:val="both"/>
        <w:ind w:firstLine="546"/>
        <w:spacing w:after="0" w:line="214"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84" w:lineRule="exact"/>
        <w:rPr>
          <w:sz w:val="20"/>
          <w:szCs w:val="20"/>
          <w:color w:val="auto"/>
        </w:rPr>
      </w:pPr>
    </w:p>
    <w:p>
      <w:pPr>
        <w:jc w:val="both"/>
        <w:ind w:firstLine="546"/>
        <w:spacing w:after="0" w:line="245"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6" w:name="page167"/>
    <w:bookmarkEnd w:id="166"/>
    <w:p>
      <w:pPr>
        <w:jc w:val="both"/>
        <w:ind w:firstLine="546"/>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relating to our initial public offering, do not count toward this annual limit.</w:t>
      </w:r>
    </w:p>
    <w:p>
      <w:pPr>
        <w:spacing w:after="0" w:line="289" w:lineRule="exact"/>
        <w:rPr>
          <w:sz w:val="20"/>
          <w:szCs w:val="20"/>
          <w:color w:val="auto"/>
        </w:rPr>
      </w:pPr>
    </w:p>
    <w:p>
      <w:pPr>
        <w:ind w:right="1900"/>
        <w:spacing w:after="0" w:line="37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w:t>
      </w:r>
    </w:p>
    <w:p>
      <w:pPr>
        <w:spacing w:after="0" w:line="1" w:lineRule="exact"/>
        <w:rPr>
          <w:sz w:val="20"/>
          <w:szCs w:val="20"/>
          <w:color w:val="auto"/>
        </w:rPr>
      </w:pPr>
    </w:p>
    <w:p>
      <w:pPr>
        <w:ind w:right="20" w:firstLine="546"/>
        <w:spacing w:after="0" w:line="246"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2020. All outstanding awards relate to our common stock.</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 Number of Securities</w:t>
            </w:r>
          </w:p>
        </w:tc>
      </w:tr>
      <w:tr>
        <w:trPr>
          <w:trHeight w:val="162"/>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 Number of Securities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 Weighted Average</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Exercise of 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 Price of</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(Excluding</w:t>
            </w:r>
          </w:p>
        </w:tc>
      </w:tr>
      <w:tr>
        <w:trPr>
          <w:trHeight w:val="159"/>
        </w:trPr>
        <w:tc>
          <w:tcPr>
            <w:tcW w:w="6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Options, Warrants and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rPr>
              <w:t>Outstanding Options,</w:t>
            </w:r>
          </w:p>
        </w:tc>
        <w:tc>
          <w:tcPr>
            <w:tcW w:w="18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Securities Reflected in</w:t>
            </w:r>
          </w:p>
        </w:tc>
      </w:tr>
      <w:tr>
        <w:trPr>
          <w:trHeight w:val="179"/>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Borders>
              <w:bottom w:val="single" w:sz="8" w:color="CFF0FC"/>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Warrants and Rights</w:t>
            </w:r>
          </w:p>
        </w:tc>
        <w:tc>
          <w:tcPr>
            <w:tcW w:w="280" w:type="dxa"/>
            <w:vAlign w:val="bottom"/>
            <w:tcBorders>
              <w:bottom w:val="single" w:sz="8" w:color="CFF0FC"/>
            </w:tcBorders>
          </w:tcPr>
          <w:p>
            <w:pPr>
              <w:spacing w:after="0"/>
              <w:rPr>
                <w:sz w:val="15"/>
                <w:szCs w:val="15"/>
                <w:color w:val="auto"/>
              </w:rPr>
            </w:pPr>
          </w:p>
        </w:tc>
        <w:tc>
          <w:tcPr>
            <w:tcW w:w="172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Column (a))</w:t>
            </w:r>
            <w:r>
              <w:rPr>
                <w:rFonts w:ascii="Arial" w:cs="Arial" w:eastAsia="Arial" w:hAnsi="Arial"/>
                <w:sz w:val="20"/>
                <w:szCs w:val="20"/>
                <w:b w:val="1"/>
                <w:bCs w:val="1"/>
                <w:color w:val="auto"/>
                <w:vertAlign w:val="superscript"/>
              </w:rPr>
              <w:t>(1)</w:t>
            </w:r>
          </w:p>
        </w:tc>
        <w:tc>
          <w:tcPr>
            <w:tcW w:w="120" w:type="dxa"/>
            <w:vAlign w:val="bottom"/>
            <w:tcBorders>
              <w:bottom w:val="single" w:sz="8" w:color="CFF0FC"/>
            </w:tcBorders>
          </w:tcPr>
          <w:p>
            <w:pPr>
              <w:spacing w:after="0"/>
              <w:rPr>
                <w:sz w:val="15"/>
                <w:szCs w:val="15"/>
                <w:color w:val="auto"/>
              </w:rPr>
            </w:pPr>
          </w:p>
        </w:tc>
      </w:tr>
      <w:tr>
        <w:trPr>
          <w:trHeight w:val="209"/>
        </w:trPr>
        <w:tc>
          <w:tcPr>
            <w:tcW w:w="4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240" w:type="dxa"/>
            <w:vAlign w:val="bottom"/>
            <w:gridSpan w:val="3"/>
            <w:shd w:val="clear" w:color="auto" w:fill="CFF0FC"/>
          </w:tcPr>
          <w:p>
            <w:pPr>
              <w:ind w:left="140"/>
              <w:spacing w:after="0" w:line="203" w:lineRule="exact"/>
              <w:rPr>
                <w:sz w:val="20"/>
                <w:szCs w:val="20"/>
                <w:color w:val="auto"/>
              </w:rPr>
            </w:pPr>
            <w:r>
              <w:rPr>
                <w:rFonts w:ascii="Arial" w:cs="Arial" w:eastAsia="Arial" w:hAnsi="Arial"/>
                <w:sz w:val="18"/>
                <w:szCs w:val="18"/>
                <w:color w:val="auto"/>
              </w:rPr>
              <w:t>by security holders:</w:t>
            </w:r>
          </w:p>
        </w:tc>
        <w:tc>
          <w:tcPr>
            <w:tcW w:w="1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2014</w:t>
            </w:r>
          </w:p>
        </w:tc>
        <w:tc>
          <w:tcPr>
            <w:tcW w:w="3580" w:type="dxa"/>
            <w:vAlign w:val="bottom"/>
            <w:gridSpan w:val="2"/>
          </w:tcPr>
          <w:p>
            <w:pPr>
              <w:ind w:left="40"/>
              <w:spacing w:after="0"/>
              <w:rPr>
                <w:sz w:val="20"/>
                <w:szCs w:val="20"/>
                <w:color w:val="auto"/>
              </w:rPr>
            </w:pPr>
            <w:r>
              <w:rPr>
                <w:rFonts w:ascii="Arial" w:cs="Arial" w:eastAsia="Arial" w:hAnsi="Arial"/>
                <w:sz w:val="18"/>
                <w:szCs w:val="18"/>
                <w:color w:val="auto"/>
              </w:rPr>
              <w:t>Equity Incentive Plan</w:t>
            </w:r>
          </w:p>
        </w:tc>
        <w:tc>
          <w:tcPr>
            <w:tcW w:w="1720" w:type="dxa"/>
            <w:vAlign w:val="bottom"/>
          </w:tcPr>
          <w:p>
            <w:pPr>
              <w:jc w:val="right"/>
              <w:spacing w:after="0"/>
              <w:rPr>
                <w:sz w:val="20"/>
                <w:szCs w:val="20"/>
                <w:color w:val="auto"/>
              </w:rPr>
            </w:pPr>
            <w:r>
              <w:rPr>
                <w:rFonts w:ascii="Arial" w:cs="Arial" w:eastAsia="Arial" w:hAnsi="Arial"/>
                <w:sz w:val="18"/>
                <w:szCs w:val="18"/>
                <w:color w:val="auto"/>
              </w:rPr>
              <w:t>983,605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3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Equity Incentive Plan</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991,268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3,742,234</w:t>
            </w:r>
          </w:p>
        </w:tc>
        <w:tc>
          <w:tcPr>
            <w:tcW w:w="120" w:type="dxa"/>
            <w:vAlign w:val="bottom"/>
            <w:shd w:val="clear" w:color="auto" w:fill="CFF0FC"/>
          </w:tcPr>
          <w:p>
            <w:pPr>
              <w:spacing w:after="0"/>
              <w:rPr>
                <w:sz w:val="18"/>
                <w:szCs w:val="18"/>
                <w:color w:val="auto"/>
              </w:rPr>
            </w:pPr>
          </w:p>
        </w:tc>
      </w:tr>
      <w:tr>
        <w:trPr>
          <w:trHeight w:val="215"/>
        </w:trPr>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3580" w:type="dxa"/>
            <w:vAlign w:val="bottom"/>
            <w:gridSpan w:val="2"/>
          </w:tcPr>
          <w:p>
            <w:pPr>
              <w:ind w:left="40"/>
              <w:spacing w:after="0"/>
              <w:rPr>
                <w:sz w:val="20"/>
                <w:szCs w:val="20"/>
                <w:color w:val="auto"/>
              </w:rPr>
            </w:pPr>
            <w:r>
              <w:rPr>
                <w:rFonts w:ascii="Arial" w:cs="Arial" w:eastAsia="Arial" w:hAnsi="Arial"/>
                <w:sz w:val="18"/>
                <w:szCs w:val="18"/>
                <w:color w:val="auto"/>
              </w:rPr>
              <w:t>Employee Stock Purchase</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240" w:type="dxa"/>
            <w:vAlign w:val="bottom"/>
            <w:tcBorders>
              <w:bottom w:val="single" w:sz="8" w:color="CFF0FC"/>
            </w:tcBorders>
            <w:gridSpan w:val="3"/>
          </w:tcPr>
          <w:p>
            <w:pPr>
              <w:ind w:left="400"/>
              <w:spacing w:after="0" w:line="203" w:lineRule="exact"/>
              <w:rPr>
                <w:sz w:val="20"/>
                <w:szCs w:val="20"/>
                <w:color w:val="auto"/>
              </w:rPr>
            </w:pPr>
            <w:r>
              <w:rPr>
                <w:rFonts w:ascii="Arial" w:cs="Arial" w:eastAsia="Arial" w:hAnsi="Arial"/>
                <w:sz w:val="18"/>
                <w:szCs w:val="18"/>
                <w:color w:val="auto"/>
              </w:rPr>
              <w:t>Plan</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920" w:type="dxa"/>
            <w:vAlign w:val="bottom"/>
            <w:tcBorders>
              <w:bottom w:val="single" w:sz="8" w:color="CFF0FC"/>
            </w:tcBorders>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323,000</w:t>
            </w:r>
          </w:p>
        </w:tc>
        <w:tc>
          <w:tcPr>
            <w:tcW w:w="120" w:type="dxa"/>
            <w:vAlign w:val="bottom"/>
            <w:tcBorders>
              <w:bottom w:val="single" w:sz="8" w:color="CFF0FC"/>
            </w:tcBorders>
          </w:tcPr>
          <w:p>
            <w:pPr>
              <w:spacing w:after="0"/>
              <w:rPr>
                <w:sz w:val="17"/>
                <w:szCs w:val="17"/>
                <w:color w:val="auto"/>
              </w:rPr>
            </w:pPr>
          </w:p>
        </w:tc>
      </w:tr>
      <w:tr>
        <w:trPr>
          <w:trHeight w:val="210"/>
        </w:trPr>
        <w:tc>
          <w:tcPr>
            <w:tcW w:w="4240" w:type="dxa"/>
            <w:vAlign w:val="bottom"/>
            <w:tcBorders>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1,974,873</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4,065,234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2" w:lineRule="exact"/>
        <w:rPr>
          <w:sz w:val="20"/>
          <w:szCs w:val="20"/>
          <w:color w:val="auto"/>
        </w:rPr>
      </w:pPr>
    </w:p>
    <w:p>
      <w:pPr>
        <w:jc w:val="both"/>
        <w:ind w:left="540" w:hanging="532"/>
        <w:spacing w:after="0" w:line="231"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6"/>
          <w:szCs w:val="16"/>
          <w:color w:val="auto"/>
        </w:rPr>
        <w:t>Our 2020 Equity Incentive Plan includes provisions providing for an annual increase in the number of securities available for future issuance on the first day of each fiscal year, equal to the least of: (a) 3,230,000 shares; (b) 5% of the outstanding shares of common stock as of the last day of the immediately preceding fiscal year; and (c) such lesser number of shares determined by the board of directors. Our 2020 Employee Stock Purchase Plan includes provisions providing for an annual increase in the number of securities available for future issuance on the first day of each fiscal year, equal to the least of: (a) 1% of the outstanding shares of common stock on the first day of such fiscal year; (b) 646,000 shares; and (c) such lesser number of shares determined by the board of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Our 2014 Plan was terminated prior to our initial public offering and we will not grant any additional awards under our 2014 Plan. However, our 2014 Plan will continue to govern the terms and conditions of the outstanding awards granted under our 2014 Plan prior to its termination.</w:t>
      </w:r>
    </w:p>
    <w:p>
      <w:pPr>
        <w:spacing w:after="0" w:line="205"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As of December 31, 2020, no shares of our common stock were reserved for issuance under our 2014 Plan. As of December 31, 2020, there were stock options covering 983,605 shares of our common stock and restricted stock awards covering 12,610 shares of our common stock outstanding under our 2014 Plan, and no stock appreciation rights or restricted stock units outstanding under our 2014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Restricted stock awards have been granted under our 2014 Plan. Restricted stock awards are grants of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12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8" w:name="page169"/>
    <w:bookmarkEnd w:id="168"/>
    <w:p>
      <w:pPr>
        <w:jc w:val="both"/>
        <w:spacing w:after="0"/>
        <w:rPr>
          <w:sz w:val="20"/>
          <w:szCs w:val="20"/>
          <w:color w:val="auto"/>
        </w:rPr>
      </w:pPr>
      <w:r>
        <w:rPr>
          <w:rFonts w:ascii="Arial" w:cs="Arial" w:eastAsia="Arial" w:hAnsi="Arial"/>
          <w:sz w:val="18"/>
          <w:szCs w:val="18"/>
          <w:color w:val="auto"/>
        </w:rPr>
        <w:t>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the event of our dissolution or liquidation, all awards will terminate immediately prior to the completion of such proposed transaction.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our 2014 Plan was terminated in connection with our initial public offering, and we will not grant any additional awards under our 2014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Equity Incentive Plan, or, the 2020 Plan. The 2020 Plan became effective on the business day immediately prior to the effective date of our registration statement related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As of December 31, 2020, the number of shares of our common stock reserved for issuance pursuant to our 2020 Plan equals 4,733,502 shares of common stock. In addition, the number of shares reserved for issuance under our 2020 Plan includes shares of our common stock subject to awards granted under our 2014 Plan that, after the date the 2014 Plan is terminated, are terminated, cancelled, expire, or otherwise terminate without having been exercised in full or are forfeited to or repurchased by us, provided that the maximum number of shares that may be added to the 2020 Plan pursuant to this sentence is 1,950,834 shares. The number of shares available for issuance under our 2020 Plan includes an annual increase on the first day of each of our fiscal years for a period of ten years, beginning with our fiscal year 2021, equal to the least of:</w:t>
      </w:r>
    </w:p>
    <w:p>
      <w:pPr>
        <w:spacing w:after="0" w:line="95"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3,230,000 shares;</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Five percent (5%) of the outstanding shares of all classes of our common stock as of the last day of the immediately preceding fiscal year;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9" w:name="page170"/>
    <w:bookmarkEnd w:id="169"/>
    <w:p>
      <w:pPr>
        <w:ind w:left="1080" w:right="20" w:hanging="532"/>
        <w:spacing w:after="0" w:line="245"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1, 2021, 1,624,259 shares were automatically added to the shares authorized under our 2020 Plan.</w:t>
      </w:r>
    </w:p>
    <w:p>
      <w:pPr>
        <w:spacing w:after="0" w:line="21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jc w:val="both"/>
        <w:ind w:firstLine="546"/>
        <w:spacing w:after="0" w:line="235" w:lineRule="auto"/>
        <w:rPr>
          <w:sz w:val="20"/>
          <w:szCs w:val="20"/>
          <w:color w:val="auto"/>
        </w:rPr>
      </w:pPr>
      <w:r>
        <w:rPr>
          <w:rFonts w:ascii="Arial" w:cs="Arial" w:eastAsia="Arial" w:hAnsi="Arial"/>
          <w:sz w:val="18"/>
          <w:szCs w:val="18"/>
          <w:color w:val="auto"/>
        </w:rPr>
        <w:t>Our board of directors or one or more committees appointed by our board of directors have authority to administer our 2020 Plan. The compensation committee of our board of directors currently administers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0" w:name="page171"/>
    <w:bookmarkEnd w:id="170"/>
    <w:p>
      <w:pPr>
        <w:jc w:val="both"/>
        <w:spacing w:after="0" w:line="236" w:lineRule="auto"/>
        <w:rPr>
          <w:sz w:val="20"/>
          <w:szCs w:val="20"/>
          <w:color w:val="auto"/>
        </w:rPr>
      </w:pPr>
      <w:r>
        <w:rPr>
          <w:rFonts w:ascii="Arial" w:cs="Arial" w:eastAsia="Arial" w:hAnsi="Arial"/>
          <w:sz w:val="18"/>
          <w:szCs w:val="18"/>
          <w:color w:val="auto"/>
        </w:rPr>
        <w:t>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i w:val="1"/>
          <w:iCs w:val="1"/>
          <w:color w:val="auto"/>
        </w:rPr>
        <w:t>Performance Awards</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22"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In September 2020, our board of directors adopted and our stockholders approved a formal Outside Director Compensation Policy pursuant to which our outside directors are eligible to receive certain equity awards under our 2020 Plan. Our 2020 Plan provides that in any given fiscal year, no outside director may be granted awards (the value of which is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related to our initial public offering, will not count toward this limit. This maximum limit provision does not reflect the intended size of any potential grants or a commitment to make grants to our outside directors under our 2020 Plan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2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Merger or Change in Control</w:t>
      </w:r>
    </w:p>
    <w:p>
      <w:pPr>
        <w:spacing w:after="0" w:line="122"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207"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In August 2020, our board of directors adopted, and in September 2020 our stockholders approved, our 2020 Employee Stock Purchase Plan, or the ESPP. Our ESPP became effective one business day immediately before the effective date of the registration statement related to our initial public offering.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As of December 31, 2020, the maximum number of shares of our common stock available for issuance under our ESPP equals 323,000 shares of our common stock. In addition, the number of shares reserved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for issuance under our ESPP includes an annual increase in the number of shares of our common stock available for issuance under our</w:t>
      </w:r>
    </w:p>
    <w:p>
      <w:pPr>
        <w:spacing w:after="0"/>
        <w:rPr>
          <w:sz w:val="20"/>
          <w:szCs w:val="20"/>
          <w:color w:val="auto"/>
        </w:rPr>
      </w:pPr>
      <w:r>
        <w:rPr>
          <w:rFonts w:ascii="Arial" w:cs="Arial" w:eastAsia="Arial" w:hAnsi="Arial"/>
          <w:sz w:val="18"/>
          <w:szCs w:val="18"/>
          <w:color w:val="auto"/>
        </w:rPr>
        <w:t>ESPP on the first day of each of our fiscal years beginning with our fiscal year 2021, in an amount equal to the least of:</w:t>
      </w:r>
    </w:p>
    <w:p>
      <w:pPr>
        <w:spacing w:after="0" w:line="104"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646,000 shares;</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97"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On January 1, 2021, 324,851 shares were automatically added to the shares authorized under our ESPP. Shares issuable under the ESPP will be authorized, but unissued, or reacquired shares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jc w:val="both"/>
        <w:ind w:firstLine="546"/>
        <w:spacing w:after="0" w:line="204"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Our compensation committee currently administers our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22" w:lineRule="exact"/>
        <w:rPr>
          <w:sz w:val="20"/>
          <w:szCs w:val="20"/>
          <w:color w:val="auto"/>
        </w:rPr>
      </w:pPr>
    </w:p>
    <w:p>
      <w:pPr>
        <w:jc w:val="both"/>
        <w:ind w:firstLine="546"/>
        <w:spacing w:after="0" w:line="234"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w:t>
      </w:r>
    </w:p>
    <w:p>
      <w:pPr>
        <w:spacing w:after="0" w:line="3" w:lineRule="exact"/>
        <w:rPr>
          <w:sz w:val="20"/>
          <w:szCs w:val="20"/>
          <w:color w:val="auto"/>
        </w:rPr>
      </w:pPr>
    </w:p>
    <w:p>
      <w:pPr>
        <w:jc w:val="both"/>
        <w:ind w:firstLine="8"/>
        <w:spacing w:after="0" w:line="236" w:lineRule="auto"/>
        <w:tabs>
          <w:tab w:leader="none" w:pos="2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207"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22" w:lineRule="exact"/>
        <w:rPr>
          <w:sz w:val="20"/>
          <w:szCs w:val="20"/>
          <w:color w:val="auto"/>
        </w:rPr>
      </w:pPr>
    </w:p>
    <w:p>
      <w:pPr>
        <w:jc w:val="both"/>
        <w:ind w:firstLine="546"/>
        <w:spacing w:after="0" w:line="204" w:lineRule="exact"/>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Our ESPP provides for consecutive six-month offering periods. Each offering period will have one purchase period with the same duration as the offering period. The offering periods are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began on the first trading day on or after the effective date of the registration statement relating to our initial public offering and ends on the first trading day on or after May 18, 2021. The administrator is authorized to change the duration of future offering periods and purchase periods under our ESPP, including the starting and ending dates of offering periods and purchase periods and the number of purchase periods in any offering period,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t>Contributions</w:t>
      </w:r>
    </w:p>
    <w:p>
      <w:pPr>
        <w:spacing w:after="0" w:line="123" w:lineRule="exact"/>
        <w:rPr>
          <w:sz w:val="20"/>
          <w:szCs w:val="20"/>
          <w:color w:val="auto"/>
        </w:rPr>
      </w:pPr>
    </w:p>
    <w:p>
      <w:pPr>
        <w:jc w:val="both"/>
        <w:ind w:right="20" w:firstLine="546"/>
        <w:spacing w:after="0"/>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is permitted to purchase a maximum of 5,000 shares during each offering period.</w:t>
      </w:r>
    </w:p>
    <w:p>
      <w:pPr>
        <w:spacing w:after="0" w:line="29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2"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jc w:val="both"/>
        <w:ind w:firstLine="546"/>
        <w:spacing w:after="0" w:line="204"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122"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i w:val="1"/>
          <w:iCs w:val="1"/>
          <w:color w:val="auto"/>
        </w:rPr>
        <w:t>Amendment and Termination</w:t>
      </w:r>
    </w:p>
    <w:p>
      <w:pPr>
        <w:spacing w:after="0" w:line="122"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ESPP’s adoption by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beneficial ownership of our common stock as of February 28, 2021 by:</w:t>
      </w:r>
    </w:p>
    <w:p>
      <w:pPr>
        <w:spacing w:after="0" w:line="104"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The percentage of beneficial ownership prior to our follow-on public offering shown in the table is based upon 37,118,787 shares of common stock outstanding as of February 28, 2021.</w:t>
      </w:r>
    </w:p>
    <w:p>
      <w:pPr>
        <w:spacing w:after="0" w:line="197"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cs="Arial" w:eastAsia="Arial" w:hAnsi="Arial"/>
          <w:sz w:val="15"/>
          <w:szCs w:val="15"/>
          <w:color w:val="auto"/>
        </w:rPr>
        <w:t>th</w:t>
      </w:r>
      <w:r>
        <w:rPr>
          <w:rFonts w:ascii="Arial" w:cs="Arial" w:eastAsia="Arial" w:hAnsi="Arial"/>
          <w:sz w:val="18"/>
          <w:szCs w:val="18"/>
          <w:color w:val="auto"/>
        </w:rPr>
        <w:t xml:space="preserve"> day after February 28, 2021.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6" w:name="page177"/>
    <w:bookmarkEnd w:id="176"/>
    <w:p>
      <w:pPr>
        <w:ind w:right="20" w:firstLine="546"/>
        <w:spacing w:after="0" w:line="24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18706 North Creek Parkway, Suite 104, Bothell, Washington 98011.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4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Shares Beneficially Owned</w:t>
            </w:r>
          </w:p>
        </w:tc>
        <w:tc>
          <w:tcPr>
            <w:tcW w:w="120" w:type="dxa"/>
            <w:vAlign w:val="bottom"/>
          </w:tcPr>
          <w:p>
            <w:pPr>
              <w:spacing w:after="0"/>
              <w:rPr>
                <w:sz w:val="15"/>
                <w:szCs w:val="15"/>
                <w:color w:val="auto"/>
              </w:rPr>
            </w:pPr>
          </w:p>
        </w:tc>
      </w:tr>
      <w:tr>
        <w:trPr>
          <w:trHeight w:val="156"/>
        </w:trPr>
        <w:tc>
          <w:tcPr>
            <w:tcW w:w="7720" w:type="dxa"/>
            <w:vAlign w:val="bottom"/>
          </w:tcPr>
          <w:p>
            <w:pPr>
              <w:spacing w:after="0"/>
              <w:rPr>
                <w:sz w:val="13"/>
                <w:szCs w:val="13"/>
                <w:color w:val="auto"/>
              </w:rPr>
            </w:pPr>
          </w:p>
        </w:tc>
        <w:tc>
          <w:tcPr>
            <w:tcW w:w="184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Number of</w:t>
            </w:r>
          </w:p>
        </w:tc>
        <w:tc>
          <w:tcPr>
            <w:tcW w:w="1680" w:type="dxa"/>
            <w:vAlign w:val="bottom"/>
            <w:gridSpan w:val="2"/>
          </w:tcPr>
          <w:p>
            <w:pPr>
              <w:ind w:left="380"/>
              <w:spacing w:after="0" w:line="156" w:lineRule="exact"/>
              <w:rPr>
                <w:sz w:val="20"/>
                <w:szCs w:val="20"/>
                <w:color w:val="auto"/>
              </w:rPr>
            </w:pPr>
            <w:r>
              <w:rPr>
                <w:rFonts w:ascii="Arial" w:cs="Arial" w:eastAsia="Arial" w:hAnsi="Arial"/>
                <w:sz w:val="14"/>
                <w:szCs w:val="14"/>
                <w:b w:val="1"/>
                <w:bCs w:val="1"/>
                <w:color w:val="auto"/>
              </w:rPr>
              <w:t>Percentage</w:t>
            </w:r>
          </w:p>
        </w:tc>
      </w:tr>
      <w:tr>
        <w:trPr>
          <w:trHeight w:val="175"/>
        </w:trPr>
        <w:tc>
          <w:tcPr>
            <w:tcW w:w="772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5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3,425,916</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(2)</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2,685,779</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8"/>
                <w:szCs w:val="18"/>
                <w:color w:val="auto"/>
              </w:rPr>
              <w:t>Viking Global Opportunities Illiquid Investments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7720" w:type="dxa"/>
            <w:vAlign w:val="bottom"/>
          </w:tcPr>
          <w:p>
            <w:pPr>
              <w:ind w:left="160"/>
              <w:spacing w:after="0" w:line="206" w:lineRule="exact"/>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(3)</w:t>
            </w:r>
          </w:p>
        </w:tc>
        <w:tc>
          <w:tcPr>
            <w:tcW w:w="1560" w:type="dxa"/>
            <w:vAlign w:val="bottom"/>
          </w:tcPr>
          <w:p>
            <w:pPr>
              <w:jc w:val="right"/>
              <w:spacing w:after="0" w:line="206" w:lineRule="exact"/>
              <w:rPr>
                <w:sz w:val="20"/>
                <w:szCs w:val="20"/>
                <w:color w:val="auto"/>
              </w:rPr>
            </w:pPr>
            <w:r>
              <w:rPr>
                <w:rFonts w:ascii="Arial" w:cs="Arial" w:eastAsia="Arial" w:hAnsi="Arial"/>
                <w:sz w:val="18"/>
                <w:szCs w:val="18"/>
                <w:color w:val="auto"/>
              </w:rPr>
              <w:t>2,120,653</w:t>
            </w:r>
          </w:p>
        </w:tc>
        <w:tc>
          <w:tcPr>
            <w:tcW w:w="280" w:type="dxa"/>
            <w:vAlign w:val="bottom"/>
          </w:tcPr>
          <w:p>
            <w:pPr>
              <w:spacing w:after="0"/>
              <w:rPr>
                <w:sz w:val="17"/>
                <w:szCs w:val="17"/>
                <w:color w:val="auto"/>
              </w:rPr>
            </w:pPr>
          </w:p>
        </w:tc>
        <w:tc>
          <w:tcPr>
            <w:tcW w:w="1560" w:type="dxa"/>
            <w:vAlign w:val="bottom"/>
          </w:tcPr>
          <w:p>
            <w:pPr>
              <w:jc w:val="right"/>
              <w:spacing w:after="0" w:line="206"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1,693,102</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Hans Moebius</w:t>
            </w:r>
            <w:r>
              <w:rPr>
                <w:rFonts w:ascii="Arial" w:cs="Arial" w:eastAsia="Arial" w:hAnsi="Arial"/>
                <w:sz w:val="15"/>
                <w:szCs w:val="15"/>
                <w:color w:val="auto"/>
              </w:rPr>
              <w:t>(5)</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Glenna Mileson</w:t>
            </w:r>
            <w:r>
              <w:rPr>
                <w:rFonts w:ascii="Arial" w:cs="Arial" w:eastAsia="Arial" w:hAnsi="Arial"/>
                <w:sz w:val="15"/>
                <w:szCs w:val="15"/>
                <w:color w:val="auto"/>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88,270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(7)</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(8)</w:t>
            </w:r>
          </w:p>
        </w:tc>
        <w:tc>
          <w:tcPr>
            <w:tcW w:w="1560" w:type="dxa"/>
            <w:vAlign w:val="bottom"/>
          </w:tcPr>
          <w:p>
            <w:pPr>
              <w:jc w:val="right"/>
              <w:spacing w:after="0"/>
              <w:rPr>
                <w:sz w:val="20"/>
                <w:szCs w:val="20"/>
                <w:color w:val="auto"/>
              </w:rPr>
            </w:pPr>
            <w:r>
              <w:rPr>
                <w:rFonts w:ascii="Arial" w:cs="Arial" w:eastAsia="Arial" w:hAnsi="Arial"/>
                <w:sz w:val="18"/>
                <w:szCs w:val="18"/>
                <w:color w:val="auto"/>
              </w:rPr>
              <w:t>3,431,310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156,009</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(10)</w:t>
            </w:r>
          </w:p>
        </w:tc>
        <w:tc>
          <w:tcPr>
            <w:tcW w:w="1560" w:type="dxa"/>
            <w:vAlign w:val="bottom"/>
          </w:tcPr>
          <w:p>
            <w:pPr>
              <w:jc w:val="right"/>
              <w:spacing w:after="0"/>
              <w:rPr>
                <w:sz w:val="20"/>
                <w:szCs w:val="20"/>
                <w:color w:val="auto"/>
              </w:rPr>
            </w:pPr>
            <w:r>
              <w:rPr>
                <w:rFonts w:ascii="Arial" w:cs="Arial" w:eastAsia="Arial" w:hAnsi="Arial"/>
                <w:sz w:val="18"/>
                <w:szCs w:val="18"/>
                <w:color w:val="auto"/>
              </w:rPr>
              <w:t>6,164</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Barbara Kosacz</w:t>
            </w:r>
            <w:r>
              <w:rPr>
                <w:rFonts w:ascii="Arial" w:cs="Arial" w:eastAsia="Arial" w:hAnsi="Arial"/>
                <w:sz w:val="15"/>
                <w:szCs w:val="15"/>
                <w:color w:val="auto"/>
              </w:rPr>
              <w:t>(11)</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3,397</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772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(11 persons)</w:t>
            </w:r>
            <w:r>
              <w:rPr>
                <w:rFonts w:ascii="Arial" w:cs="Arial" w:eastAsia="Arial" w:hAnsi="Arial"/>
                <w:sz w:val="15"/>
                <w:szCs w:val="15"/>
                <w:color w:val="auto"/>
              </w:rPr>
              <w:t>(13)</w:t>
            </w:r>
          </w:p>
        </w:tc>
        <w:tc>
          <w:tcPr>
            <w:tcW w:w="156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5,595,626</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2" w:lineRule="exact"/>
        <w:rPr>
          <w:sz w:val="20"/>
          <w:szCs w:val="20"/>
          <w:color w:val="auto"/>
        </w:rPr>
      </w:pPr>
    </w:p>
    <w:p>
      <w:pPr>
        <w:ind w:left="540" w:hanging="532"/>
        <w:spacing w:after="0"/>
        <w:tabs>
          <w:tab w:leader="none" w:pos="54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Represents beneficial ownership of less than 1% of our outstanding common stock.</w:t>
      </w:r>
    </w:p>
    <w:p>
      <w:pPr>
        <w:jc w:val="both"/>
        <w:ind w:left="540" w:hanging="532"/>
        <w:spacing w:after="0" w:line="198" w:lineRule="auto"/>
        <w:tabs>
          <w:tab w:leader="none" w:pos="5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Consists of 3,425,916 shares held of record by Perceptive Life Sciences Master Fund Ltd., or Perceptive. The business address of Perceptive is 51 Astor Place,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New York, NY 10003. Perceptive Advisors LLC serves as the investment manager of Perceptive. Joseph Edelman is the managing member of Perceptive Advisors LLC and he may be deemed to beneficially own the shares held by Perceptive.</w:t>
      </w:r>
    </w:p>
    <w:p>
      <w:pPr>
        <w:jc w:val="both"/>
        <w:ind w:left="540" w:hanging="532"/>
        <w:spacing w:after="0" w:line="200" w:lineRule="auto"/>
        <w:tabs>
          <w:tab w:leader="none" w:pos="5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 filed with the SEC on February 12, 2021. Consists of 2,685,779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Avenue, Floor 7, New York, NY 10014.</w:t>
      </w:r>
    </w:p>
    <w:p>
      <w:pPr>
        <w:spacing w:after="0" w:line="3" w:lineRule="exact"/>
        <w:rPr>
          <w:rFonts w:ascii="Arial" w:cs="Arial" w:eastAsia="Arial" w:hAnsi="Arial"/>
          <w:sz w:val="24"/>
          <w:szCs w:val="24"/>
          <w:color w:val="auto"/>
          <w:vertAlign w:val="superscript"/>
        </w:rPr>
      </w:pPr>
    </w:p>
    <w:p>
      <w:pPr>
        <w:jc w:val="both"/>
        <w:ind w:left="540" w:hanging="532"/>
        <w:spacing w:after="0" w:line="215" w:lineRule="auto"/>
        <w:tabs>
          <w:tab w:leader="none" w:pos="54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13G/A filed with the SEC on February 12, 2021. Consists of 2,120,653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3" w:lineRule="exact"/>
        <w:rPr>
          <w:rFonts w:ascii="Arial" w:cs="Arial" w:eastAsia="Arial" w:hAnsi="Arial"/>
          <w:sz w:val="24"/>
          <w:szCs w:val="24"/>
          <w:color w:val="auto"/>
          <w:vertAlign w:val="superscript"/>
        </w:rPr>
      </w:pPr>
    </w:p>
    <w:p>
      <w:pPr>
        <w:ind w:left="540" w:hanging="532"/>
        <w:spacing w:after="0" w:line="182" w:lineRule="auto"/>
        <w:tabs>
          <w:tab w:leader="none" w:pos="540" w:val="left"/>
        </w:tabs>
        <w:numPr>
          <w:ilvl w:val="0"/>
          <w:numId w:val="100"/>
        </w:numPr>
        <w:rPr>
          <w:rFonts w:ascii="Arial" w:cs="Arial" w:eastAsia="Arial" w:hAnsi="Arial"/>
          <w:sz w:val="23"/>
          <w:szCs w:val="23"/>
          <w:color w:val="auto"/>
          <w:vertAlign w:val="superscript"/>
        </w:rPr>
      </w:pPr>
      <w:r>
        <w:rPr>
          <w:rFonts w:ascii="Arial" w:cs="Arial" w:eastAsia="Arial" w:hAnsi="Arial"/>
          <w:sz w:val="14"/>
          <w:szCs w:val="14"/>
          <w:color w:val="auto"/>
        </w:rPr>
        <w:t>Consists of 264,810 shares held of record by Hamdan Family GST Trust, 1,117,246 shares held of record by Dr. Kawas and options to purchase 311,046 shares that are exercisable within 60 days of February 28, 2021.</w:t>
      </w:r>
    </w:p>
    <w:p>
      <w:pPr>
        <w:spacing w:after="0" w:line="1" w:lineRule="exact"/>
        <w:rPr>
          <w:rFonts w:ascii="Arial" w:cs="Arial" w:eastAsia="Arial" w:hAnsi="Arial"/>
          <w:sz w:val="23"/>
          <w:szCs w:val="23"/>
          <w:color w:val="auto"/>
          <w:vertAlign w:val="superscript"/>
        </w:rPr>
      </w:pPr>
    </w:p>
    <w:p>
      <w:pPr>
        <w:ind w:left="540" w:hanging="532"/>
        <w:spacing w:after="0" w:line="187" w:lineRule="auto"/>
        <w:tabs>
          <w:tab w:leader="none" w:pos="540" w:val="left"/>
        </w:tabs>
        <w:numPr>
          <w:ilvl w:val="0"/>
          <w:numId w:val="100"/>
        </w:numPr>
        <w:rPr>
          <w:rFonts w:ascii="Arial" w:cs="Arial" w:eastAsia="Arial" w:hAnsi="Arial"/>
          <w:sz w:val="18"/>
          <w:szCs w:val="18"/>
          <w:color w:val="auto"/>
          <w:vertAlign w:val="superscript"/>
        </w:rPr>
      </w:pPr>
      <w:r>
        <w:rPr>
          <w:rFonts w:ascii="Arial" w:cs="Arial" w:eastAsia="Arial" w:hAnsi="Arial"/>
          <w:sz w:val="11"/>
          <w:szCs w:val="11"/>
          <w:color w:val="auto"/>
        </w:rPr>
        <w:t>Consists of options to purchase 20,491 shares that are exercisable within 60 days of February 28, 2021.</w:t>
      </w:r>
    </w:p>
    <w:p>
      <w:pPr>
        <w:ind w:left="540" w:hanging="532"/>
        <w:spacing w:after="0" w:line="187" w:lineRule="auto"/>
        <w:tabs>
          <w:tab w:leader="none" w:pos="540" w:val="left"/>
        </w:tabs>
        <w:numPr>
          <w:ilvl w:val="0"/>
          <w:numId w:val="100"/>
        </w:numPr>
        <w:rPr>
          <w:rFonts w:ascii="Arial" w:cs="Arial" w:eastAsia="Arial" w:hAnsi="Arial"/>
          <w:sz w:val="18"/>
          <w:szCs w:val="18"/>
          <w:color w:val="auto"/>
          <w:vertAlign w:val="superscript"/>
        </w:rPr>
      </w:pPr>
      <w:r>
        <w:rPr>
          <w:rFonts w:ascii="Arial" w:cs="Arial" w:eastAsia="Arial" w:hAnsi="Arial"/>
          <w:sz w:val="11"/>
          <w:szCs w:val="11"/>
          <w:color w:val="auto"/>
        </w:rPr>
        <w:t>Consists of 81,965 shares held by Ms. Mileson and options to purchase 6,305 shares that are exercisable within 60 days of February 28, 2021.</w:t>
      </w:r>
    </w:p>
    <w:p>
      <w:pPr>
        <w:ind w:left="540" w:hanging="532"/>
        <w:spacing w:after="0" w:line="187" w:lineRule="auto"/>
        <w:tabs>
          <w:tab w:leader="none" w:pos="540" w:val="left"/>
        </w:tabs>
        <w:numPr>
          <w:ilvl w:val="0"/>
          <w:numId w:val="100"/>
        </w:numPr>
        <w:rPr>
          <w:rFonts w:ascii="Arial" w:cs="Arial" w:eastAsia="Arial" w:hAnsi="Arial"/>
          <w:sz w:val="18"/>
          <w:szCs w:val="18"/>
          <w:color w:val="auto"/>
          <w:vertAlign w:val="superscript"/>
        </w:rPr>
      </w:pPr>
      <w:r>
        <w:rPr>
          <w:rFonts w:ascii="Arial" w:cs="Arial" w:eastAsia="Arial" w:hAnsi="Arial"/>
          <w:sz w:val="11"/>
          <w:szCs w:val="11"/>
          <w:color w:val="auto"/>
        </w:rPr>
        <w:t>Consists of options to purchase 60,037 shares that are exercisable within 60 days of February 28, 2021.</w:t>
      </w:r>
    </w:p>
    <w:p>
      <w:pPr>
        <w:ind w:left="540" w:hanging="532"/>
        <w:spacing w:after="0" w:line="187" w:lineRule="auto"/>
        <w:tabs>
          <w:tab w:leader="none" w:pos="540" w:val="left"/>
        </w:tabs>
        <w:numPr>
          <w:ilvl w:val="0"/>
          <w:numId w:val="100"/>
        </w:numPr>
        <w:rPr>
          <w:rFonts w:ascii="Arial" w:cs="Arial" w:eastAsia="Arial" w:hAnsi="Arial"/>
          <w:sz w:val="18"/>
          <w:szCs w:val="18"/>
          <w:color w:val="auto"/>
          <w:vertAlign w:val="superscript"/>
        </w:rPr>
      </w:pPr>
      <w:r>
        <w:rPr>
          <w:rFonts w:ascii="Arial" w:cs="Arial" w:eastAsia="Arial" w:hAnsi="Arial"/>
          <w:sz w:val="11"/>
          <w:szCs w:val="11"/>
          <w:color w:val="auto"/>
        </w:rPr>
        <w:t>Consists of the shares referenced in footnote (1) above and options to purchase 5,394 shares that are exercisable within 60 days of February 28, 2021.</w:t>
      </w:r>
    </w:p>
    <w:p>
      <w:pPr>
        <w:ind w:left="540" w:hanging="532"/>
        <w:spacing w:after="0" w:line="182" w:lineRule="auto"/>
        <w:tabs>
          <w:tab w:leader="none" w:pos="540" w:val="left"/>
        </w:tabs>
        <w:numPr>
          <w:ilvl w:val="0"/>
          <w:numId w:val="100"/>
        </w:numPr>
        <w:rPr>
          <w:rFonts w:ascii="Arial" w:cs="Arial" w:eastAsia="Arial" w:hAnsi="Arial"/>
          <w:sz w:val="23"/>
          <w:szCs w:val="23"/>
          <w:color w:val="auto"/>
          <w:vertAlign w:val="superscript"/>
        </w:rPr>
      </w:pPr>
      <w:r>
        <w:rPr>
          <w:rFonts w:ascii="Arial" w:cs="Arial" w:eastAsia="Arial" w:hAnsi="Arial"/>
          <w:sz w:val="14"/>
          <w:szCs w:val="14"/>
          <w:color w:val="auto"/>
        </w:rPr>
        <w:t>Consists of 6,731 shares held of record by Fluke Capital Management, L.P., 143,884 shares held by Mr. Fluke, and options to purchase 5,394 shares that are exercisable within 60 days of February 28, 2021.</w:t>
      </w:r>
    </w:p>
    <w:p>
      <w:pPr>
        <w:spacing w:after="0" w:line="1" w:lineRule="exact"/>
        <w:rPr>
          <w:rFonts w:ascii="Arial" w:cs="Arial" w:eastAsia="Arial" w:hAnsi="Arial"/>
          <w:sz w:val="23"/>
          <w:szCs w:val="23"/>
          <w:color w:val="auto"/>
          <w:vertAlign w:val="superscript"/>
        </w:rPr>
      </w:pPr>
    </w:p>
    <w:p>
      <w:pPr>
        <w:ind w:left="540" w:hanging="532"/>
        <w:spacing w:after="0" w:line="189" w:lineRule="auto"/>
        <w:tabs>
          <w:tab w:leader="none" w:pos="540" w:val="left"/>
        </w:tabs>
        <w:numPr>
          <w:ilvl w:val="0"/>
          <w:numId w:val="100"/>
        </w:numPr>
        <w:rPr>
          <w:rFonts w:ascii="Arial" w:cs="Arial" w:eastAsia="Arial" w:hAnsi="Arial"/>
          <w:sz w:val="17"/>
          <w:szCs w:val="17"/>
          <w:color w:val="auto"/>
          <w:vertAlign w:val="superscript"/>
        </w:rPr>
      </w:pPr>
      <w:r>
        <w:rPr>
          <w:rFonts w:ascii="Arial" w:cs="Arial" w:eastAsia="Arial" w:hAnsi="Arial"/>
          <w:sz w:val="11"/>
          <w:szCs w:val="11"/>
          <w:color w:val="auto"/>
        </w:rPr>
        <w:t>Consists of options to purchase 6,164 shares that are exercisable within 60 days of February 28, 2021.</w:t>
      </w:r>
    </w:p>
    <w:p>
      <w:pPr>
        <w:ind w:left="540" w:hanging="532"/>
        <w:spacing w:after="0" w:line="186" w:lineRule="auto"/>
        <w:tabs>
          <w:tab w:leader="none" w:pos="540" w:val="left"/>
        </w:tabs>
        <w:numPr>
          <w:ilvl w:val="0"/>
          <w:numId w:val="100"/>
        </w:numPr>
        <w:rPr>
          <w:rFonts w:ascii="Arial" w:cs="Arial" w:eastAsia="Arial" w:hAnsi="Arial"/>
          <w:sz w:val="19"/>
          <w:szCs w:val="19"/>
          <w:color w:val="auto"/>
          <w:vertAlign w:val="superscript"/>
        </w:rPr>
      </w:pPr>
      <w:r>
        <w:rPr>
          <w:rFonts w:ascii="Arial" w:cs="Arial" w:eastAsia="Arial" w:hAnsi="Arial"/>
          <w:sz w:val="12"/>
          <w:szCs w:val="12"/>
          <w:color w:val="auto"/>
        </w:rPr>
        <w:t>Ms. Kosacz did not join our board until March 4, 2021.</w:t>
      </w:r>
    </w:p>
    <w:p>
      <w:pPr>
        <w:ind w:left="540" w:hanging="532"/>
        <w:spacing w:after="0" w:line="187" w:lineRule="auto"/>
        <w:tabs>
          <w:tab w:leader="none" w:pos="540" w:val="left"/>
        </w:tabs>
        <w:numPr>
          <w:ilvl w:val="0"/>
          <w:numId w:val="100"/>
        </w:numPr>
        <w:rPr>
          <w:rFonts w:ascii="Arial" w:cs="Arial" w:eastAsia="Arial" w:hAnsi="Arial"/>
          <w:sz w:val="18"/>
          <w:szCs w:val="18"/>
          <w:color w:val="auto"/>
          <w:vertAlign w:val="superscript"/>
        </w:rPr>
      </w:pPr>
      <w:r>
        <w:rPr>
          <w:rFonts w:ascii="Arial" w:cs="Arial" w:eastAsia="Arial" w:hAnsi="Arial"/>
          <w:sz w:val="11"/>
          <w:szCs w:val="11"/>
          <w:color w:val="auto"/>
        </w:rPr>
        <w:t>Consists of 315 shares held by Ms. Romano and options to purchase 3,082 shares that are exercisable within 60 days of February 28, 2021.</w:t>
      </w:r>
    </w:p>
    <w:p>
      <w:pPr>
        <w:ind w:left="540" w:hanging="532"/>
        <w:spacing w:after="0" w:line="189" w:lineRule="auto"/>
        <w:tabs>
          <w:tab w:leader="none" w:pos="540" w:val="left"/>
        </w:tabs>
        <w:numPr>
          <w:ilvl w:val="0"/>
          <w:numId w:val="100"/>
        </w:numPr>
        <w:rPr>
          <w:rFonts w:ascii="Arial" w:cs="Arial" w:eastAsia="Arial" w:hAnsi="Arial"/>
          <w:sz w:val="19"/>
          <w:szCs w:val="19"/>
          <w:color w:val="auto"/>
          <w:vertAlign w:val="superscript"/>
        </w:rPr>
      </w:pPr>
      <w:r>
        <w:rPr>
          <w:rFonts w:ascii="Arial" w:cs="Arial" w:eastAsia="Arial" w:hAnsi="Arial"/>
          <w:sz w:val="12"/>
          <w:szCs w:val="12"/>
          <w:color w:val="auto"/>
        </w:rPr>
        <w:t>Consists of 5,165,103 shares held of record and options to purchase 430,523 shares that are exercisable within 60 days of February 28,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report titled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17"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88" w:lineRule="exact"/>
        <w:rPr>
          <w:rFonts w:ascii="Arial" w:cs="Arial" w:eastAsia="Arial" w:hAnsi="Arial"/>
          <w:sz w:val="18"/>
          <w:szCs w:val="18"/>
          <w:color w:val="auto"/>
        </w:rPr>
      </w:pPr>
    </w:p>
    <w:p>
      <w:pPr>
        <w:ind w:left="1080" w:hanging="532"/>
        <w:spacing w:after="0" w:line="246"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97"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126"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The following table sets forth a summary of the sale and issuance of our securities to related persons since January 1, 2019, other than compensation arrangements which are described under the sections of this report titled “Management—Director Compensation” and “Executive Compensation.” For a description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of beneficial ownership see the section of this report titled “Security Ownership of Certain Beneficial Owners and Management.”</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Shares of</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Series B-1</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Principal</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Series B</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 of</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Issued 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Conversion of</w:t>
            </w:r>
          </w:p>
        </w:tc>
        <w:tc>
          <w:tcPr>
            <w:tcW w:w="1280" w:type="dxa"/>
            <w:vAlign w:val="bottom"/>
          </w:tcPr>
          <w:p>
            <w:pPr>
              <w:ind w:left="4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Preferred</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140" w:type="dxa"/>
            <w:vAlign w:val="bottom"/>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ind w:left="420"/>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1,535,131</w:t>
            </w:r>
            <w:r>
              <w:rPr>
                <w:rFonts w:ascii="Arial" w:cs="Arial" w:eastAsia="Arial" w:hAnsi="Arial"/>
                <w:sz w:val="15"/>
                <w:szCs w:val="15"/>
                <w:color w:val="auto"/>
              </w:rPr>
              <w:t>(2)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ind w:left="420"/>
              <w:spacing w:after="0"/>
              <w:rPr>
                <w:sz w:val="20"/>
                <w:szCs w:val="20"/>
                <w:color w:val="auto"/>
              </w:rPr>
            </w:pPr>
            <w:r>
              <w:rPr>
                <w:rFonts w:ascii="Arial" w:cs="Arial" w:eastAsia="Arial" w:hAnsi="Arial"/>
                <w:sz w:val="18"/>
                <w:szCs w:val="18"/>
                <w:color w:val="auto"/>
              </w:rPr>
              <w:t>383,782</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LP</w:t>
            </w:r>
          </w:p>
        </w:tc>
        <w:tc>
          <w:tcPr>
            <w:tcW w:w="11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Entities affiliated with Franklin Templeton</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767,566</w:t>
            </w:r>
            <w:r>
              <w:rPr>
                <w:rFonts w:ascii="Arial" w:cs="Arial" w:eastAsia="Arial" w:hAnsi="Arial"/>
                <w:sz w:val="15"/>
                <w:szCs w:val="15"/>
                <w:color w:val="auto"/>
              </w:rPr>
              <w:t>(4)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ind w:left="420"/>
              <w:spacing w:after="0"/>
              <w:rPr>
                <w:sz w:val="20"/>
                <w:szCs w:val="20"/>
                <w:color w:val="auto"/>
              </w:rPr>
            </w:pPr>
            <w:r>
              <w:rPr>
                <w:rFonts w:ascii="Arial" w:cs="Arial" w:eastAsia="Arial" w:hAnsi="Arial"/>
                <w:sz w:val="18"/>
                <w:szCs w:val="18"/>
                <w:color w:val="auto"/>
              </w:rPr>
              <w:t>191,890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3"/>
        </w:trPr>
        <w:tc>
          <w:tcPr>
            <w:tcW w:w="4740" w:type="dxa"/>
            <w:vAlign w:val="bottom"/>
          </w:tcPr>
          <w:p>
            <w:pPr>
              <w:ind w:left="140"/>
              <w:spacing w:after="0" w:line="203" w:lineRule="exact"/>
              <w:rPr>
                <w:sz w:val="20"/>
                <w:szCs w:val="20"/>
                <w:color w:val="auto"/>
              </w:rPr>
            </w:pPr>
            <w:r>
              <w:rPr>
                <w:rFonts w:ascii="Arial" w:cs="Arial" w:eastAsia="Arial" w:hAnsi="Arial"/>
                <w:sz w:val="18"/>
                <w:szCs w:val="18"/>
                <w:color w:val="auto"/>
              </w:rPr>
              <w:t>Investments</w:t>
            </w: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ind w:left="420"/>
              <w:spacing w:after="0"/>
              <w:rPr>
                <w:sz w:val="20"/>
                <w:szCs w:val="20"/>
                <w:color w:val="auto"/>
              </w:rPr>
            </w:pPr>
            <w:r>
              <w:rPr>
                <w:rFonts w:ascii="Arial" w:cs="Arial" w:eastAsia="Arial" w:hAnsi="Arial"/>
                <w:sz w:val="18"/>
                <w:szCs w:val="18"/>
                <w:color w:val="auto"/>
              </w:rPr>
              <w:t>274,130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Investments Sub-Master LP</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1,096,523</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Mark Litton, Ph.D.</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(7)</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32,815</w:t>
            </w:r>
            <w:r>
              <w:rPr>
                <w:rFonts w:ascii="Arial" w:cs="Arial" w:eastAsia="Arial" w:hAnsi="Arial"/>
                <w:sz w:val="15"/>
                <w:szCs w:val="15"/>
                <w:color w:val="auto"/>
              </w:rPr>
              <w:t>(8)</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0" w:lineRule="exact"/>
        <w:rPr>
          <w:sz w:val="20"/>
          <w:szCs w:val="20"/>
          <w:color w:val="auto"/>
        </w:rPr>
      </w:pPr>
    </w:p>
    <w:p>
      <w:pPr>
        <w:ind w:left="540" w:hanging="532"/>
        <w:spacing w:after="0"/>
        <w:tabs>
          <w:tab w:leader="none" w:pos="54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This warrant was fully exercised prior to August 26, 2020.</w:t>
      </w:r>
    </w:p>
    <w:p>
      <w:pPr>
        <w:ind w:left="540" w:right="20" w:hanging="532"/>
        <w:spacing w:after="0" w:line="182" w:lineRule="auto"/>
        <w:tabs>
          <w:tab w:leader="none" w:pos="540" w:val="left"/>
        </w:tabs>
        <w:numPr>
          <w:ilvl w:val="0"/>
          <w:numId w:val="103"/>
        </w:numPr>
        <w:rPr>
          <w:rFonts w:ascii="Arial" w:cs="Arial" w:eastAsia="Arial" w:hAnsi="Arial"/>
          <w:sz w:val="23"/>
          <w:szCs w:val="23"/>
          <w:color w:val="auto"/>
          <w:vertAlign w:val="superscript"/>
        </w:rPr>
      </w:pPr>
      <w:r>
        <w:rPr>
          <w:rFonts w:ascii="Arial" w:cs="Arial" w:eastAsia="Arial" w:hAnsi="Arial"/>
          <w:sz w:val="14"/>
          <w:szCs w:val="14"/>
          <w:color w:val="auto"/>
        </w:rPr>
        <w:t>Consists of an aggregate of 1,535,131 shares of our Series B convertible preferred stock issued to RTW Master Fund, Ltd., RTW Innovation Master Fund, Ltd. and RTW Venture Fund Limited.</w:t>
      </w:r>
    </w:p>
    <w:p>
      <w:pPr>
        <w:spacing w:after="0" w:line="1" w:lineRule="exact"/>
        <w:rPr>
          <w:rFonts w:ascii="Arial" w:cs="Arial" w:eastAsia="Arial" w:hAnsi="Arial"/>
          <w:sz w:val="23"/>
          <w:szCs w:val="23"/>
          <w:color w:val="auto"/>
          <w:vertAlign w:val="superscript"/>
        </w:rPr>
      </w:pPr>
    </w:p>
    <w:p>
      <w:pPr>
        <w:ind w:left="540" w:hanging="532"/>
        <w:spacing w:after="0" w:line="182" w:lineRule="auto"/>
        <w:tabs>
          <w:tab w:leader="none" w:pos="540" w:val="left"/>
        </w:tabs>
        <w:numPr>
          <w:ilvl w:val="0"/>
          <w:numId w:val="103"/>
        </w:numPr>
        <w:rPr>
          <w:rFonts w:ascii="Arial" w:cs="Arial" w:eastAsia="Arial" w:hAnsi="Arial"/>
          <w:sz w:val="23"/>
          <w:szCs w:val="23"/>
          <w:color w:val="auto"/>
          <w:vertAlign w:val="superscript"/>
        </w:rPr>
      </w:pPr>
      <w:r>
        <w:rPr>
          <w:rFonts w:ascii="Arial" w:cs="Arial" w:eastAsia="Arial" w:hAnsi="Arial"/>
          <w:sz w:val="14"/>
          <w:szCs w:val="14"/>
          <w:color w:val="auto"/>
        </w:rPr>
        <w:t>Consists of warrants to purchase an aggregate of 383,782 shares of our common stock issued to RTW Innovation Master Fund, Ltd., RTW Master Fund, Ltd., and RTW Venture Fund Limited. Each of these warrants was fully exercised prior to August 26, 2020.</w:t>
      </w:r>
    </w:p>
    <w:p>
      <w:pPr>
        <w:spacing w:after="0" w:line="1" w:lineRule="exact"/>
        <w:rPr>
          <w:rFonts w:ascii="Arial" w:cs="Arial" w:eastAsia="Arial" w:hAnsi="Arial"/>
          <w:sz w:val="23"/>
          <w:szCs w:val="23"/>
          <w:color w:val="auto"/>
          <w:vertAlign w:val="superscript"/>
        </w:rPr>
      </w:pPr>
    </w:p>
    <w:p>
      <w:pPr>
        <w:ind w:left="540" w:hanging="532"/>
        <w:spacing w:after="0" w:line="182" w:lineRule="auto"/>
        <w:tabs>
          <w:tab w:leader="none" w:pos="540" w:val="left"/>
        </w:tabs>
        <w:numPr>
          <w:ilvl w:val="0"/>
          <w:numId w:val="103"/>
        </w:numPr>
        <w:rPr>
          <w:rFonts w:ascii="Arial" w:cs="Arial" w:eastAsia="Arial" w:hAnsi="Arial"/>
          <w:sz w:val="23"/>
          <w:szCs w:val="23"/>
          <w:color w:val="auto"/>
          <w:vertAlign w:val="superscript"/>
        </w:rPr>
      </w:pPr>
      <w:r>
        <w:rPr>
          <w:rFonts w:ascii="Arial" w:cs="Arial" w:eastAsia="Arial" w:hAnsi="Arial"/>
          <w:sz w:val="14"/>
          <w:szCs w:val="14"/>
          <w:color w:val="auto"/>
        </w:rPr>
        <w:t>Consists of 326,344 shares of our Series B convertible preferred stock issued to Franklin Strategic Series – Franklin Biotechnology Discovery Fund and 441,222 shares of our Series B convertible preferred stock issued to Franklin Templeton Investment Funds – Franklin Biotechnology Discovery Fund.</w:t>
      </w:r>
    </w:p>
    <w:p>
      <w:pPr>
        <w:spacing w:after="0" w:line="1" w:lineRule="exact"/>
        <w:rPr>
          <w:rFonts w:ascii="Arial" w:cs="Arial" w:eastAsia="Arial" w:hAnsi="Arial"/>
          <w:sz w:val="23"/>
          <w:szCs w:val="23"/>
          <w:color w:val="auto"/>
          <w:vertAlign w:val="superscript"/>
        </w:rPr>
      </w:pPr>
    </w:p>
    <w:p>
      <w:pPr>
        <w:jc w:val="both"/>
        <w:ind w:left="540" w:hanging="532"/>
        <w:spacing w:after="0" w:line="195" w:lineRule="auto"/>
        <w:tabs>
          <w:tab w:leader="none" w:pos="54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 In connection with the closing of our initial public offering on September 22, 2020, these warrants were automatically net exercised into an aggregate of 190,994 shares of our common stock.</w:t>
      </w:r>
    </w:p>
    <w:p>
      <w:pPr>
        <w:jc w:val="both"/>
        <w:ind w:left="540" w:hanging="532"/>
        <w:spacing w:after="0" w:line="195" w:lineRule="auto"/>
        <w:tabs>
          <w:tab w:leader="none" w:pos="54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Consists of 1,644,785 shares of our Series B convertible preferred stock and warrants to purchase 411,196 shares of our common stock issued to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jc w:val="both"/>
        <w:ind w:left="540" w:hanging="532"/>
        <w:spacing w:after="0" w:line="195" w:lineRule="auto"/>
        <w:tabs>
          <w:tab w:leader="none" w:pos="54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Consists of $100,000 in aggregate principal amount of convertible notes issued jointly to Dr. Litton and Alicia Litton, his wife, and $150,000 in aggregate principal amount of convertible notes issued to the Irrevocable Trust of OSL, the Irrevocable Trust of SWL, and the Irrevocable Trust of WGL, each of which are trusts held for the benefit of Dr. Litton’s children.</w:t>
      </w:r>
    </w:p>
    <w:p>
      <w:pPr>
        <w:jc w:val="both"/>
        <w:ind w:left="540" w:hanging="532"/>
        <w:spacing w:after="0" w:line="195" w:lineRule="auto"/>
        <w:tabs>
          <w:tab w:leader="none" w:pos="54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Consists of 13,126 shares of our Series B-1 convertible preferred stock issued jointly to Dr. Litton and Alicia Litton, his wife, and an aggregate 19,689 shares of our Series B-1 convertible preferred stock issued to the Irrevocable Trust of OSL, the Irrevocable Trust of SWL, and the Irrevocable Trust of WGL, each of which are trusts held for the benefit of Dr. Litton’s children.</w:t>
      </w:r>
    </w:p>
    <w:p>
      <w:pPr>
        <w:ind w:left="540" w:hanging="532"/>
        <w:spacing w:after="0" w:line="167" w:lineRule="exact"/>
        <w:tabs>
          <w:tab w:leader="none" w:pos="54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issued to Fluke Capital Management, L.P., of which John M. Fluke, Jr. has a beneficial ownership interest.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From January 2019 to January 2020, we issued and sold $2.6 million in aggregate principal amount of our convertible notes. The notes accrue interest at a rate of 5% per year. Dr. Litton, our chief operating officer, and Alicia Litton, his wife, purchased $100,000 in aggregate principal amount of the notes. In addition, notes in an aggregate principal amount of $150,000 were purchased by the Irrevocable 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18"/>
          <w:szCs w:val="18"/>
          <w:color w:val="auto"/>
        </w:rPr>
        <w:t>Series B-1 convertible preferred stock at a conversion price of $7.752 per share in connection with our Series B financing in May 2020. The Series B financing is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In September and October 2020, we issued and sold 13,397,712 shares of our common stock (including 1,397,712 shares sold pursuant to the underwriters’ partial exercise of their option to purchase additional shares) in our initial public offering at $17.00 per share for aggregate gross proceeds of $227.8 million. Perceptive Life Sciences Master Fund Ltd., entities affiliated with RTW Investments, LP, Viking Global Opportunities Illiquid Investments Sub-Master LP, and entities affiliated with Franklin Templeton Investments, are each significant stockholders of the company and invested in the initial public offering purchasing 1,058,824, 750,000, 750,000, and 411,764 shares of our common stock, respectively.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In January and February 2021, we issued and sold 4,600,000 shares (including 600,000 shares sold pursuant to the underwriters’ full exercise of their option to purchase additional shares) of our common stock at a public offering price of $22.50 per share for aggregate gross proceeds of approximately $103.5 million. Perceptive Life Sciences Master Fund Ltd. invested in the follow-on public offering, purchasing 311,111 shares of our common stock.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the date of this report, the holders of approximately 5,041,842 shares of our common stock, or their transferees, are entitled to rights with respect to the registration of their shares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Prior to our initial public offering, the election of the members of the board of directors was governed by a voting agreement with certain of our stockholders, including Dr. Kawas, our chief executive officer,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0" w:name="page181"/>
    <w:bookmarkEnd w:id="180"/>
    <w:p>
      <w:pPr>
        <w:spacing w:after="0" w:line="246" w:lineRule="auto"/>
        <w:rPr>
          <w:sz w:val="20"/>
          <w:szCs w:val="20"/>
          <w:color w:val="auto"/>
        </w:rPr>
      </w:pPr>
      <w:r>
        <w:rPr>
          <w:rFonts w:ascii="Arial" w:cs="Arial" w:eastAsia="Arial" w:hAnsi="Arial"/>
          <w:sz w:val="18"/>
          <w:szCs w:val="18"/>
          <w:color w:val="auto"/>
        </w:rPr>
        <w:t>Perceptive Life Sciences Master Fund Ltd. The parties to the voting agreement agreed, subject to certain conditions, to vote their shares to elect as directors as follows:</w:t>
      </w:r>
    </w:p>
    <w:p>
      <w:pPr>
        <w:spacing w:after="0" w:line="8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one nominee designated by Perceptive Life Sciences Master Fund Ltd.;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four nominees, one of which must be our chief executive officer, designated by a majority vote of our common stock;</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designated by Perceptive Life Sciences Master Fund Ltd.; and</w:t>
      </w:r>
    </w:p>
    <w:p>
      <w:pPr>
        <w:spacing w:after="0" w:line="117"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Upon the consummation of our initial public offering, the obligations of the parties to the voting agreement to vote their shares to elect these nominees terminated, and, following such termination, none of our stockholders have any special rights regarding the nomination, election or designation of members of the board of directors. The certificate of incorporation in effect at the time of our initial public offering contained provisions that corresponded to the voting agreement; however, the certificate of incorporation that became effective immediately prior to the closing of our initial public offering does not include such provisions.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6"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relating to our initial public offering.</w:t>
      </w:r>
    </w:p>
    <w:p>
      <w:pPr>
        <w:spacing w:after="0" w:line="19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report titled “Executive Compensation – Executive Employment Arrangements.”</w:t>
      </w:r>
    </w:p>
    <w:p>
      <w:pPr>
        <w:spacing w:after="0" w:line="203"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We have granted stock options and restricted share awards and issued common stock to our executive officers and to certain of our non-executive directors. For a description of these grants and issuances, see the section of this report titled “Item 11. Executive Compensation.”</w:t>
      </w:r>
    </w:p>
    <w:p>
      <w:pPr>
        <w:spacing w:after="0" w:line="203"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Our common stock is listed on the Nasdaq Global Select Market. Under the rules of the Nasdaq Global Select Market, independent directors must comprise a majority of a listed company’s board of directors.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1" w:name="page182"/>
    <w:bookmarkEnd w:id="181"/>
    <w:p>
      <w:pPr>
        <w:jc w:val="both"/>
        <w:spacing w:after="0" w:line="246" w:lineRule="auto"/>
        <w:rPr>
          <w:sz w:val="20"/>
          <w:szCs w:val="20"/>
          <w:color w:val="auto"/>
        </w:rPr>
      </w:pPr>
      <w:r>
        <w:rPr>
          <w:rFonts w:ascii="Arial" w:cs="Arial" w:eastAsia="Arial" w:hAnsi="Arial"/>
          <w:sz w:val="18"/>
          <w:szCs w:val="18"/>
          <w:color w:val="auto"/>
        </w:rPr>
        <w:t>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7"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jc w:val="both"/>
        <w:ind w:firstLine="546"/>
        <w:spacing w:after="0" w:line="236"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Messrs. Johnson and Fluke and Ms. Romano, who comprise our audit committee; Dr. Yamada and Messrs. Edelman and Johnson, who comprise our compensation committee; and Dr. Yamada and Messrs. Edelman and Fluke and Ms. Kosacz,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6"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We regularly review the services and fees from our independent registered public accounting firm. These services and fees are also reviewed with our audit committee annually. In addition to performing the audit of our financial statements, Ernst &amp; Young, LLP provided various other services during the fiscal years ended December 31, 2020 and December 31, 2019. Our audit committee has determined that Ernst &amp; Young, LLP’s provision of these services, which are described below, does not impair Ernst &amp; Young, LLP’s independence from us. During the years ended December 31, 2020 and December 31, 2019, fees for services provided by Ernst &amp; Young, LLP were as follows (in thousands):</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36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fees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8"/>
                <w:szCs w:val="18"/>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912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74" w:lineRule="exact"/>
        <w:rPr>
          <w:sz w:val="20"/>
          <w:szCs w:val="20"/>
          <w:color w:val="auto"/>
        </w:rPr>
      </w:pPr>
    </w:p>
    <w:p>
      <w:pPr>
        <w:ind w:left="540" w:right="20" w:hanging="532"/>
        <w:spacing w:after="0" w:line="182" w:lineRule="auto"/>
        <w:tabs>
          <w:tab w:leader="none" w:pos="540" w:val="left"/>
        </w:tabs>
        <w:numPr>
          <w:ilvl w:val="0"/>
          <w:numId w:val="105"/>
        </w:numPr>
        <w:rPr>
          <w:rFonts w:ascii="Arial" w:cs="Arial" w:eastAsia="Arial" w:hAnsi="Arial"/>
          <w:sz w:val="23"/>
          <w:szCs w:val="23"/>
          <w:color w:val="auto"/>
          <w:vertAlign w:val="superscript"/>
        </w:rPr>
      </w:pPr>
      <w:r>
        <w:rPr>
          <w:rFonts w:ascii="Arial" w:cs="Arial" w:eastAsia="Arial" w:hAnsi="Arial"/>
          <w:sz w:val="14"/>
          <w:szCs w:val="14"/>
          <w:color w:val="auto"/>
        </w:rPr>
        <w:t>Fees for audit services include fees incurred associated with the annual audit, the reviews of the Company’s interim financial information, and services provided in connection with our 2020 initial public offering in 2020.</w:t>
      </w:r>
    </w:p>
    <w:p>
      <w:pPr>
        <w:spacing w:after="0" w:line="1" w:lineRule="exact"/>
        <w:rPr>
          <w:rFonts w:ascii="Arial" w:cs="Arial" w:eastAsia="Arial" w:hAnsi="Arial"/>
          <w:sz w:val="23"/>
          <w:szCs w:val="23"/>
          <w:color w:val="auto"/>
          <w:vertAlign w:val="superscript"/>
        </w:rPr>
      </w:pPr>
    </w:p>
    <w:p>
      <w:pPr>
        <w:ind w:left="540" w:hanging="532"/>
        <w:spacing w:after="0" w:line="182" w:lineRule="auto"/>
        <w:tabs>
          <w:tab w:leader="none" w:pos="540" w:val="left"/>
        </w:tabs>
        <w:numPr>
          <w:ilvl w:val="0"/>
          <w:numId w:val="105"/>
        </w:numPr>
        <w:rPr>
          <w:rFonts w:ascii="Arial" w:cs="Arial" w:eastAsia="Arial" w:hAnsi="Arial"/>
          <w:sz w:val="23"/>
          <w:szCs w:val="23"/>
          <w:color w:val="auto"/>
          <w:vertAlign w:val="superscript"/>
        </w:rPr>
      </w:pPr>
      <w:r>
        <w:rPr>
          <w:rFonts w:ascii="Arial" w:cs="Arial" w:eastAsia="Arial" w:hAnsi="Arial"/>
          <w:sz w:val="14"/>
          <w:szCs w:val="14"/>
          <w:color w:val="auto"/>
        </w:rPr>
        <w:t>Audit-Related Fees include fees billed by Ernst &amp; Young LLP for assurance and related services that are reasonably related to the performance of the audit or review of our financial statements. There were no such fees incurred in 2020 or 2019.</w:t>
      </w:r>
    </w:p>
    <w:p>
      <w:pPr>
        <w:spacing w:after="0" w:line="1" w:lineRule="exact"/>
        <w:rPr>
          <w:rFonts w:ascii="Arial" w:cs="Arial" w:eastAsia="Arial" w:hAnsi="Arial"/>
          <w:sz w:val="23"/>
          <w:szCs w:val="23"/>
          <w:color w:val="auto"/>
          <w:vertAlign w:val="superscript"/>
        </w:rPr>
      </w:pPr>
    </w:p>
    <w:p>
      <w:pPr>
        <w:ind w:left="540" w:hanging="532"/>
        <w:spacing w:after="0" w:line="189" w:lineRule="auto"/>
        <w:tabs>
          <w:tab w:leader="none" w:pos="540" w:val="left"/>
        </w:tabs>
        <w:numPr>
          <w:ilvl w:val="0"/>
          <w:numId w:val="105"/>
        </w:numPr>
        <w:rPr>
          <w:rFonts w:ascii="Arial" w:cs="Arial" w:eastAsia="Arial" w:hAnsi="Arial"/>
          <w:sz w:val="19"/>
          <w:szCs w:val="19"/>
          <w:color w:val="auto"/>
          <w:vertAlign w:val="superscript"/>
        </w:rPr>
      </w:pPr>
      <w:r>
        <w:rPr>
          <w:rFonts w:ascii="Arial" w:cs="Arial" w:eastAsia="Arial" w:hAnsi="Arial"/>
          <w:sz w:val="12"/>
          <w:szCs w:val="12"/>
          <w:color w:val="auto"/>
        </w:rPr>
        <w:t>Tax Fees consist of fees for professional services, including tax compliance services and tax advisory services performed by Ernst &amp; Young LLP.</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w:t>
      </w:r>
    </w:p>
    <w:p>
      <w:pPr>
        <w:spacing w:after="0" w:line="126"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Our audit committee’s policy is to pre-approve all audit and permissible non-audit services provided by our independent registered public accounting firm, the scope of services provided by our independent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2" w:name="page183"/>
    <w:bookmarkEnd w:id="182"/>
    <w:p>
      <w:pPr>
        <w:jc w:val="both"/>
        <w:spacing w:after="0" w:line="238" w:lineRule="auto"/>
        <w:rPr>
          <w:sz w:val="20"/>
          <w:szCs w:val="20"/>
          <w:color w:val="auto"/>
        </w:rPr>
      </w:pPr>
      <w:r>
        <w:rPr>
          <w:rFonts w:ascii="Arial" w:cs="Arial" w:eastAsia="Arial" w:hAnsi="Arial"/>
          <w:sz w:val="18"/>
          <w:szCs w:val="18"/>
          <w:color w:val="auto"/>
        </w:rPr>
        <w:t>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extend of services provided by our independent registered public accounting firm in accordance with this pre-approval, and the fees for the services performed to date.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services related to the fees described in the table above were approved by our audit committee.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6"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4" w:lineRule="exact"/>
        <w:rPr>
          <w:sz w:val="20"/>
          <w:szCs w:val="20"/>
          <w:color w:val="auto"/>
        </w:rPr>
      </w:pPr>
    </w:p>
    <w:p>
      <w:pPr>
        <w:ind w:left="1620" w:hanging="532"/>
        <w:spacing w:after="0"/>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0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See Index to Financial Statements in Part II, Item 8 of this Annual Report on Form 10-K.</w:t>
      </w:r>
    </w:p>
    <w:p>
      <w:pPr>
        <w:spacing w:after="0" w:line="104" w:lineRule="exact"/>
        <w:rPr>
          <w:sz w:val="20"/>
          <w:szCs w:val="20"/>
          <w:color w:val="auto"/>
        </w:rPr>
      </w:pPr>
    </w:p>
    <w:p>
      <w:pPr>
        <w:ind w:left="1620" w:hanging="532"/>
        <w:spacing w:after="0"/>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4" w:lineRule="exact"/>
        <w:rPr>
          <w:sz w:val="20"/>
          <w:szCs w:val="20"/>
          <w:color w:val="auto"/>
        </w:rPr>
      </w:pPr>
    </w:p>
    <w:p>
      <w:pPr>
        <w:jc w:val="both"/>
        <w:ind w:left="1060" w:firstLine="494"/>
        <w:spacing w:after="0"/>
        <w:rPr>
          <w:sz w:val="20"/>
          <w:szCs w:val="20"/>
          <w:color w:val="auto"/>
        </w:rPr>
      </w:pPr>
      <w:r>
        <w:rPr>
          <w:rFonts w:ascii="Arial" w:cs="Arial" w:eastAsia="Arial" w:hAnsi="Arial"/>
          <w:sz w:val="18"/>
          <w:szCs w:val="18"/>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95" w:lineRule="exact"/>
        <w:rPr>
          <w:sz w:val="20"/>
          <w:szCs w:val="20"/>
          <w:color w:val="auto"/>
        </w:rPr>
      </w:pPr>
    </w:p>
    <w:p>
      <w:pPr>
        <w:ind w:left="1620" w:hanging="532"/>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1060" w:firstLine="494"/>
        <w:spacing w:after="0" w:line="246" w:lineRule="auto"/>
        <w:rPr>
          <w:sz w:val="20"/>
          <w:szCs w:val="20"/>
          <w:color w:val="auto"/>
        </w:rPr>
      </w:pPr>
      <w:r>
        <w:rPr>
          <w:rFonts w:ascii="Arial" w:cs="Arial" w:eastAsia="Arial" w:hAnsi="Arial"/>
          <w:sz w:val="18"/>
          <w:szCs w:val="18"/>
          <w:color w:val="auto"/>
        </w:rPr>
        <w:t>The exhibits listed in the following Index to Exhibits are filed, furnished or incorporated by reference as part of this Annual Report on Form 10-K.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54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80" w:type="dxa"/>
            <w:vAlign w:val="bottom"/>
            <w:gridSpan w:val="2"/>
            <w:vMerge w:val="continue"/>
          </w:tcPr>
          <w:p>
            <w:pPr>
              <w:spacing w:after="0"/>
              <w:rPr>
                <w:sz w:val="13"/>
                <w:szCs w:val="13"/>
                <w:color w:val="auto"/>
              </w:rPr>
            </w:pPr>
          </w:p>
        </w:tc>
        <w:tc>
          <w:tcPr>
            <w:tcW w:w="5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Form</w:t>
            </w: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Exhibit</w:t>
            </w: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4"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940" w:type="dxa"/>
            <w:vAlign w:val="bottom"/>
          </w:tcPr>
          <w:p>
            <w:pPr>
              <w:jc w:val="right"/>
              <w:ind w:right="590"/>
              <w:spacing w:after="0"/>
              <w:rPr>
                <w:sz w:val="20"/>
                <w:szCs w:val="20"/>
                <w:color w:val="auto"/>
              </w:rPr>
            </w:pPr>
            <w:r>
              <w:rPr>
                <w:rFonts w:ascii="Arial" w:cs="Arial" w:eastAsia="Arial" w:hAnsi="Arial"/>
                <w:sz w:val="18"/>
                <w:szCs w:val="18"/>
                <w:color w:val="auto"/>
                <w:w w:val="95"/>
              </w:rPr>
              <w:t>3.1</w:t>
            </w:r>
          </w:p>
        </w:tc>
        <w:tc>
          <w:tcPr>
            <w:tcW w:w="5360" w:type="dxa"/>
            <w:vAlign w:val="bottom"/>
            <w:tcBorders>
              <w:bottom w:val="single" w:sz="8" w:color="0000EE"/>
            </w:tcBorders>
            <w:gridSpan w:val="5"/>
          </w:tcPr>
          <w:p>
            <w:pPr>
              <w:spacing w:after="0"/>
              <w:rPr>
                <w:rFonts w:ascii="Arial" w:cs="Arial" w:eastAsia="Arial" w:hAnsi="Arial"/>
                <w:sz w:val="18"/>
                <w:szCs w:val="18"/>
                <w:color w:val="0000EE"/>
                <w:w w:val="99"/>
              </w:rPr>
            </w:pPr>
            <w:hyperlink r:id="rId233">
              <w:r>
                <w:rPr>
                  <w:rFonts w:ascii="Arial" w:cs="Arial" w:eastAsia="Arial" w:hAnsi="Arial"/>
                  <w:sz w:val="18"/>
                  <w:szCs w:val="18"/>
                  <w:color w:val="0000EE"/>
                  <w:w w:val="99"/>
                </w:rPr>
                <w:t>Amended and Restated Certificate of Incorporation of the Company</w:t>
              </w:r>
            </w:hyperlink>
          </w:p>
        </w:tc>
      </w:tr>
      <w:tr>
        <w:trPr>
          <w:trHeight w:val="372"/>
        </w:trPr>
        <w:tc>
          <w:tcPr>
            <w:tcW w:w="940" w:type="dxa"/>
            <w:vAlign w:val="bottom"/>
          </w:tcPr>
          <w:p>
            <w:pPr>
              <w:jc w:val="right"/>
              <w:ind w:right="590"/>
              <w:spacing w:after="0"/>
              <w:rPr>
                <w:sz w:val="20"/>
                <w:szCs w:val="20"/>
                <w:color w:val="auto"/>
              </w:rPr>
            </w:pPr>
            <w:r>
              <w:rPr>
                <w:rFonts w:ascii="Arial" w:cs="Arial" w:eastAsia="Arial" w:hAnsi="Arial"/>
                <w:sz w:val="18"/>
                <w:szCs w:val="18"/>
                <w:color w:val="auto"/>
                <w:w w:val="95"/>
              </w:rPr>
              <w:t>3.2</w:t>
            </w:r>
          </w:p>
        </w:tc>
        <w:tc>
          <w:tcPr>
            <w:tcW w:w="5360" w:type="dxa"/>
            <w:vAlign w:val="bottom"/>
            <w:gridSpan w:val="5"/>
          </w:tcPr>
          <w:p>
            <w:pPr>
              <w:spacing w:after="0"/>
              <w:rPr>
                <w:rFonts w:ascii="Arial" w:cs="Arial" w:eastAsia="Arial" w:hAnsi="Arial"/>
                <w:sz w:val="18"/>
                <w:szCs w:val="18"/>
                <w:color w:val="0000EE"/>
              </w:rPr>
            </w:pPr>
            <w:hyperlink r:id="rId234">
              <w:r>
                <w:rPr>
                  <w:rFonts w:ascii="Arial" w:cs="Arial" w:eastAsia="Arial" w:hAnsi="Arial"/>
                  <w:sz w:val="18"/>
                  <w:szCs w:val="18"/>
                  <w:color w:val="0000EE"/>
                </w:rPr>
                <w:t>Amended and Restated Bylaws of the Company</w:t>
              </w:r>
            </w:hyperlink>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940" w:type="dxa"/>
            <w:vAlign w:val="bottom"/>
          </w:tcPr>
          <w:p>
            <w:pPr>
              <w:jc w:val="right"/>
              <w:ind w:right="590"/>
              <w:spacing w:after="0"/>
              <w:rPr>
                <w:sz w:val="20"/>
                <w:szCs w:val="20"/>
                <w:color w:val="auto"/>
              </w:rPr>
            </w:pPr>
            <w:r>
              <w:rPr>
                <w:rFonts w:ascii="Arial" w:cs="Arial" w:eastAsia="Arial" w:hAnsi="Arial"/>
                <w:sz w:val="18"/>
                <w:szCs w:val="18"/>
                <w:color w:val="auto"/>
                <w:w w:val="95"/>
              </w:rPr>
              <w:t>4.1</w:t>
            </w:r>
          </w:p>
        </w:tc>
        <w:tc>
          <w:tcPr>
            <w:tcW w:w="5360" w:type="dxa"/>
            <w:vAlign w:val="bottom"/>
            <w:gridSpan w:val="5"/>
          </w:tcPr>
          <w:p>
            <w:pPr>
              <w:spacing w:after="0"/>
              <w:rPr>
                <w:rFonts w:ascii="Arial" w:cs="Arial" w:eastAsia="Arial" w:hAnsi="Arial"/>
                <w:sz w:val="18"/>
                <w:szCs w:val="18"/>
                <w:color w:val="0000EE"/>
              </w:rPr>
            </w:pPr>
            <w:hyperlink r:id="rId235">
              <w:r>
                <w:rPr>
                  <w:rFonts w:ascii="Arial" w:cs="Arial" w:eastAsia="Arial" w:hAnsi="Arial"/>
                  <w:sz w:val="18"/>
                  <w:szCs w:val="18"/>
                  <w:color w:val="0000EE"/>
                </w:rPr>
                <w:t>Specimen Common Stock Certificate of the Registrant</w:t>
              </w:r>
            </w:hyperlink>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40" w:type="dxa"/>
            <w:vAlign w:val="bottom"/>
          </w:tcPr>
          <w:p>
            <w:pPr>
              <w:jc w:val="right"/>
              <w:ind w:right="590"/>
              <w:spacing w:after="0"/>
              <w:rPr>
                <w:sz w:val="20"/>
                <w:szCs w:val="20"/>
                <w:color w:val="auto"/>
              </w:rPr>
            </w:pPr>
            <w:r>
              <w:rPr>
                <w:rFonts w:ascii="Arial" w:cs="Arial" w:eastAsia="Arial" w:hAnsi="Arial"/>
                <w:sz w:val="18"/>
                <w:szCs w:val="18"/>
                <w:color w:val="auto"/>
                <w:w w:val="95"/>
              </w:rPr>
              <w:t>4.2</w:t>
            </w:r>
          </w:p>
        </w:tc>
        <w:tc>
          <w:tcPr>
            <w:tcW w:w="5360" w:type="dxa"/>
            <w:vAlign w:val="bottom"/>
            <w:gridSpan w:val="5"/>
          </w:tcPr>
          <w:p>
            <w:pPr>
              <w:spacing w:after="0"/>
              <w:rPr>
                <w:rFonts w:ascii="Arial" w:cs="Arial" w:eastAsia="Arial" w:hAnsi="Arial"/>
                <w:sz w:val="18"/>
                <w:szCs w:val="18"/>
                <w:color w:val="0000EE"/>
              </w:rPr>
            </w:pPr>
            <w:hyperlink r:id="rId236">
              <w:r>
                <w:rPr>
                  <w:rFonts w:ascii="Arial" w:cs="Arial" w:eastAsia="Arial" w:hAnsi="Arial"/>
                  <w:sz w:val="18"/>
                  <w:szCs w:val="18"/>
                  <w:color w:val="0000EE"/>
                </w:rPr>
                <w:t>Investors’ Rights Agreement, dated May 29, 2020, as amended, by</w:t>
              </w:r>
            </w:hyperlink>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7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5360" w:type="dxa"/>
            <w:vAlign w:val="bottom"/>
            <w:gridSpan w:val="5"/>
          </w:tcPr>
          <w:p>
            <w:pPr>
              <w:spacing w:after="0" w:line="182" w:lineRule="exact"/>
              <w:rPr>
                <w:rFonts w:ascii="Arial" w:cs="Arial" w:eastAsia="Arial" w:hAnsi="Arial"/>
                <w:sz w:val="18"/>
                <w:szCs w:val="18"/>
                <w:color w:val="0000EE"/>
              </w:rPr>
            </w:pPr>
            <w:hyperlink r:id="rId236">
              <w:r>
                <w:rPr>
                  <w:rFonts w:ascii="Arial" w:cs="Arial" w:eastAsia="Arial" w:hAnsi="Arial"/>
                  <w:sz w:val="18"/>
                  <w:szCs w:val="18"/>
                  <w:color w:val="0000EE"/>
                </w:rPr>
                <w:t>and among the Registrant and the Investors and Key Holders party</w:t>
              </w:r>
            </w:hyperlink>
          </w:p>
        </w:tc>
      </w:tr>
      <w:tr>
        <w:trPr>
          <w:trHeight w:val="182"/>
        </w:trPr>
        <w:tc>
          <w:tcPr>
            <w:tcW w:w="940" w:type="dxa"/>
            <w:vAlign w:val="bottom"/>
          </w:tcPr>
          <w:p>
            <w:pPr>
              <w:spacing w:after="0"/>
              <w:rPr>
                <w:sz w:val="15"/>
                <w:szCs w:val="15"/>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r:id="rId236">
              <w:r>
                <w:rPr>
                  <w:rFonts w:ascii="Arial" w:cs="Arial" w:eastAsia="Arial" w:hAnsi="Arial"/>
                  <w:sz w:val="18"/>
                  <w:szCs w:val="18"/>
                  <w:color w:val="0000EE"/>
                  <w:w w:val="96"/>
                </w:rPr>
                <w:t>thereto</w:t>
              </w:r>
            </w:hyperlink>
          </w:p>
        </w:tc>
        <w:tc>
          <w:tcPr>
            <w:tcW w:w="476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80" w:type="dxa"/>
            <w:vAlign w:val="bottom"/>
          </w:tcPr>
          <w:p>
            <w:pPr>
              <w:ind w:left="40"/>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780" w:type="dxa"/>
            <w:vAlign w:val="bottom"/>
          </w:tcPr>
          <w:p>
            <w:pPr>
              <w:ind w:left="160"/>
              <w:spacing w:after="0"/>
              <w:rPr>
                <w:sz w:val="20"/>
                <w:szCs w:val="20"/>
                <w:color w:val="auto"/>
              </w:rPr>
            </w:pPr>
            <w:r>
              <w:rPr>
                <w:rFonts w:ascii="Arial" w:cs="Arial" w:eastAsia="Arial" w:hAnsi="Arial"/>
                <w:sz w:val="18"/>
                <w:szCs w:val="18"/>
                <w:color w:val="auto"/>
              </w:rPr>
              <w:t>November 12, 2020</w:t>
            </w:r>
          </w:p>
        </w:tc>
      </w:tr>
      <w:tr>
        <w:trPr>
          <w:trHeight w:val="392"/>
        </w:trPr>
        <w:tc>
          <w:tcPr>
            <w:tcW w:w="680" w:type="dxa"/>
            <w:vAlign w:val="bottom"/>
          </w:tcPr>
          <w:p>
            <w:pPr>
              <w:ind w:left="40"/>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1780" w:type="dxa"/>
            <w:vAlign w:val="bottom"/>
          </w:tcPr>
          <w:p>
            <w:pPr>
              <w:ind w:left="160"/>
              <w:spacing w:after="0"/>
              <w:rPr>
                <w:sz w:val="20"/>
                <w:szCs w:val="20"/>
                <w:color w:val="auto"/>
              </w:rPr>
            </w:pPr>
            <w:r>
              <w:rPr>
                <w:rFonts w:ascii="Arial" w:cs="Arial" w:eastAsia="Arial" w:hAnsi="Arial"/>
                <w:sz w:val="18"/>
                <w:szCs w:val="18"/>
                <w:color w:val="auto"/>
              </w:rPr>
              <w:t>November 12, 2020</w:t>
            </w:r>
          </w:p>
        </w:tc>
      </w:tr>
      <w:tr>
        <w:trPr>
          <w:trHeight w:val="391"/>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780" w:type="dxa"/>
            <w:vAlign w:val="bottom"/>
          </w:tcPr>
          <w:p>
            <w:pPr>
              <w:ind w:left="140"/>
              <w:spacing w:after="0"/>
              <w:rPr>
                <w:sz w:val="20"/>
                <w:szCs w:val="20"/>
                <w:color w:val="auto"/>
              </w:rPr>
            </w:pPr>
            <w:r>
              <w:rPr>
                <w:rFonts w:ascii="Arial" w:cs="Arial" w:eastAsia="Arial" w:hAnsi="Arial"/>
                <w:sz w:val="18"/>
                <w:szCs w:val="18"/>
                <w:color w:val="auto"/>
                <w:w w:val="99"/>
              </w:rPr>
              <w:t>September 14, 2020</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780" w:type="dxa"/>
            <w:vAlign w:val="bottom"/>
          </w:tcPr>
          <w:p>
            <w:pPr>
              <w:ind w:left="200"/>
              <w:spacing w:after="0"/>
              <w:rPr>
                <w:sz w:val="20"/>
                <w:szCs w:val="20"/>
                <w:color w:val="auto"/>
              </w:rPr>
            </w:pPr>
            <w:r>
              <w:rPr>
                <w:rFonts w:ascii="Arial" w:cs="Arial" w:eastAsia="Arial" w:hAnsi="Arial"/>
                <w:sz w:val="18"/>
                <w:szCs w:val="18"/>
                <w:color w:val="auto"/>
              </w:rPr>
              <w:t>September 9, 2020</w:t>
            </w:r>
          </w:p>
        </w:tc>
      </w:tr>
    </w:tbl>
    <w:p>
      <w:pPr>
        <w:spacing w:after="0" w:line="522" w:lineRule="exact"/>
        <w:rPr>
          <w:sz w:val="20"/>
          <w:szCs w:val="20"/>
          <w:color w:val="auto"/>
        </w:rPr>
      </w:pPr>
    </w:p>
    <w:p>
      <w:pPr>
        <w:sectPr>
          <w:pgSz w:w="11900" w:h="16838" w:orient="portrait"/>
          <w:cols w:equalWidth="0" w:num="2">
            <w:col w:w="6460" w:space="320"/>
            <w:col w:w="4460"/>
          </w:cols>
          <w:pgMar w:left="320" w:top="118" w:right="3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40" w:type="dxa"/>
            <w:vAlign w:val="bottom"/>
          </w:tcPr>
          <w:p>
            <w:pPr>
              <w:jc w:val="right"/>
              <w:ind w:right="590"/>
              <w:spacing w:after="0"/>
              <w:rPr>
                <w:sz w:val="20"/>
                <w:szCs w:val="20"/>
                <w:color w:val="auto"/>
              </w:rPr>
            </w:pPr>
            <w:r>
              <w:rPr>
                <w:rFonts w:ascii="Arial" w:cs="Arial" w:eastAsia="Arial" w:hAnsi="Arial"/>
                <w:sz w:val="18"/>
                <w:szCs w:val="18"/>
                <w:color w:val="auto"/>
              </w:rPr>
              <w:t>4.3</w:t>
            </w:r>
          </w:p>
        </w:tc>
        <w:tc>
          <w:tcPr>
            <w:tcW w:w="5260" w:type="dxa"/>
            <w:vAlign w:val="bottom"/>
            <w:gridSpan w:val="10"/>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Description of Capital Stock</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7"/>
              </w:rPr>
              <w:t>10.1**</w:t>
            </w:r>
          </w:p>
        </w:tc>
        <w:tc>
          <w:tcPr>
            <w:tcW w:w="5240" w:type="dxa"/>
            <w:vAlign w:val="bottom"/>
            <w:tcBorders>
              <w:bottom w:val="single" w:sz="8" w:color="0000EE"/>
            </w:tcBorders>
            <w:gridSpan w:val="9"/>
          </w:tcPr>
          <w:p>
            <w:pPr>
              <w:spacing w:after="0"/>
              <w:rPr>
                <w:rFonts w:ascii="Arial" w:cs="Arial" w:eastAsia="Arial" w:hAnsi="Arial"/>
                <w:sz w:val="18"/>
                <w:szCs w:val="18"/>
                <w:color w:val="0000EE"/>
                <w:w w:val="99"/>
              </w:rPr>
            </w:pPr>
            <w:hyperlink r:id="rId237">
              <w:r>
                <w:rPr>
                  <w:rFonts w:ascii="Arial" w:cs="Arial" w:eastAsia="Arial" w:hAnsi="Arial"/>
                  <w:sz w:val="18"/>
                  <w:szCs w:val="18"/>
                  <w:color w:val="0000EE"/>
                  <w:w w:val="99"/>
                </w:rPr>
                <w:t>Form of Director and Executive Officer Indemnification Agreement</w:t>
              </w:r>
            </w:hyperlink>
          </w:p>
        </w:tc>
        <w:tc>
          <w:tcPr>
            <w:tcW w:w="20" w:type="dxa"/>
            <w:vAlign w:val="bottom"/>
          </w:tcPr>
          <w:p>
            <w:pPr>
              <w:spacing w:after="0"/>
              <w:rPr>
                <w:sz w:val="24"/>
                <w:szCs w:val="24"/>
                <w:color w:val="auto"/>
              </w:rPr>
            </w:pPr>
          </w:p>
        </w:tc>
      </w:tr>
      <w:tr>
        <w:trPr>
          <w:trHeight w:val="372"/>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7"/>
              </w:rPr>
              <w:t>10.2**</w:t>
            </w:r>
          </w:p>
        </w:tc>
        <w:tc>
          <w:tcPr>
            <w:tcW w:w="420" w:type="dxa"/>
            <w:vAlign w:val="bottom"/>
            <w:tcBorders>
              <w:bottom w:val="single" w:sz="8" w:color="0000EE"/>
            </w:tcBorders>
            <w:gridSpan w:val="2"/>
          </w:tcPr>
          <w:p>
            <w:pPr>
              <w:spacing w:after="0"/>
              <w:rPr>
                <w:rFonts w:ascii="Arial" w:cs="Arial" w:eastAsia="Arial" w:hAnsi="Arial"/>
                <w:sz w:val="18"/>
                <w:szCs w:val="18"/>
                <w:color w:val="0000EE"/>
                <w:w w:val="99"/>
              </w:rPr>
            </w:pPr>
            <w:hyperlink r:id="rId238">
              <w:r>
                <w:rPr>
                  <w:rFonts w:ascii="Arial" w:cs="Arial" w:eastAsia="Arial" w:hAnsi="Arial"/>
                  <w:sz w:val="18"/>
                  <w:szCs w:val="18"/>
                  <w:color w:val="0000EE"/>
                  <w:w w:val="99"/>
                </w:rPr>
                <w:t>2014</w:t>
              </w:r>
            </w:hyperlink>
          </w:p>
        </w:tc>
        <w:tc>
          <w:tcPr>
            <w:tcW w:w="2800" w:type="dxa"/>
            <w:vAlign w:val="bottom"/>
            <w:tcBorders>
              <w:bottom w:val="single" w:sz="8" w:color="0000EE"/>
            </w:tcBorders>
            <w:gridSpan w:val="4"/>
          </w:tcPr>
          <w:p>
            <w:pPr>
              <w:ind w:left="20"/>
              <w:spacing w:after="0"/>
              <w:rPr>
                <w:rFonts w:ascii="Arial" w:cs="Arial" w:eastAsia="Arial" w:hAnsi="Arial"/>
                <w:sz w:val="18"/>
                <w:szCs w:val="18"/>
                <w:color w:val="0000EE"/>
                <w:w w:val="99"/>
              </w:rPr>
            </w:pPr>
            <w:hyperlink r:id="rId238">
              <w:r>
                <w:rPr>
                  <w:rFonts w:ascii="Arial" w:cs="Arial" w:eastAsia="Arial" w:hAnsi="Arial"/>
                  <w:sz w:val="18"/>
                  <w:szCs w:val="18"/>
                  <w:color w:val="0000EE"/>
                  <w:w w:val="99"/>
                </w:rPr>
                <w:t>Equity Incentive Plan, as amended</w:t>
              </w:r>
            </w:hyperlink>
          </w:p>
        </w:tc>
        <w:tc>
          <w:tcPr>
            <w:tcW w:w="2040" w:type="dxa"/>
            <w:vAlign w:val="bottom"/>
            <w:gridSpan w:val="4"/>
          </w:tcPr>
          <w:p>
            <w:pPr>
              <w:spacing w:after="0"/>
              <w:rPr>
                <w:sz w:val="24"/>
                <w:szCs w:val="24"/>
                <w:color w:val="auto"/>
              </w:rPr>
            </w:pPr>
          </w:p>
        </w:tc>
      </w:tr>
      <w:tr>
        <w:trPr>
          <w:trHeight w:val="371"/>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7"/>
              </w:rPr>
              <w:t>10.3**</w:t>
            </w:r>
          </w:p>
        </w:tc>
        <w:tc>
          <w:tcPr>
            <w:tcW w:w="420" w:type="dxa"/>
            <w:vAlign w:val="bottom"/>
            <w:gridSpan w:val="2"/>
          </w:tcPr>
          <w:p>
            <w:pPr>
              <w:spacing w:after="0"/>
              <w:rPr>
                <w:rFonts w:ascii="Arial" w:cs="Arial" w:eastAsia="Arial" w:hAnsi="Arial"/>
                <w:sz w:val="18"/>
                <w:szCs w:val="18"/>
                <w:color w:val="0000EE"/>
                <w:w w:val="99"/>
              </w:rPr>
            </w:pPr>
            <w:hyperlink r:id="rId239">
              <w:r>
                <w:rPr>
                  <w:rFonts w:ascii="Arial" w:cs="Arial" w:eastAsia="Arial" w:hAnsi="Arial"/>
                  <w:sz w:val="18"/>
                  <w:szCs w:val="18"/>
                  <w:color w:val="0000EE"/>
                  <w:w w:val="99"/>
                </w:rPr>
                <w:t>2020</w:t>
              </w:r>
            </w:hyperlink>
          </w:p>
        </w:tc>
        <w:tc>
          <w:tcPr>
            <w:tcW w:w="4840" w:type="dxa"/>
            <w:vAlign w:val="bottom"/>
            <w:gridSpan w:val="8"/>
          </w:tcPr>
          <w:p>
            <w:pPr>
              <w:ind w:left="20"/>
              <w:spacing w:after="0"/>
              <w:rPr>
                <w:rFonts w:ascii="Arial" w:cs="Arial" w:eastAsia="Arial" w:hAnsi="Arial"/>
                <w:sz w:val="18"/>
                <w:szCs w:val="18"/>
                <w:color w:val="0000EE"/>
              </w:rPr>
            </w:pPr>
            <w:hyperlink r:id="rId239">
              <w:r>
                <w:rPr>
                  <w:rFonts w:ascii="Arial" w:cs="Arial" w:eastAsia="Arial" w:hAnsi="Arial"/>
                  <w:sz w:val="18"/>
                  <w:szCs w:val="18"/>
                  <w:color w:val="0000EE"/>
                </w:rPr>
                <w:t>Equity Incentive Plan</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7"/>
              </w:rPr>
              <w:t>10.4**</w:t>
            </w:r>
          </w:p>
        </w:tc>
        <w:tc>
          <w:tcPr>
            <w:tcW w:w="5260" w:type="dxa"/>
            <w:vAlign w:val="bottom"/>
            <w:gridSpan w:val="10"/>
          </w:tcPr>
          <w:p>
            <w:pPr>
              <w:spacing w:after="0"/>
              <w:rPr>
                <w:rFonts w:ascii="Arial" w:cs="Arial" w:eastAsia="Arial" w:hAnsi="Arial"/>
                <w:sz w:val="18"/>
                <w:szCs w:val="18"/>
                <w:color w:val="0000EE"/>
              </w:rPr>
            </w:pPr>
            <w:hyperlink r:id="rId240">
              <w:r>
                <w:rPr>
                  <w:rFonts w:ascii="Arial" w:cs="Arial" w:eastAsia="Arial" w:hAnsi="Arial"/>
                  <w:sz w:val="18"/>
                  <w:szCs w:val="18"/>
                  <w:color w:val="0000EE"/>
                </w:rPr>
                <w:t>Form of Stock Option Agreement under the 2020 Equity Incentive</w:t>
              </w:r>
            </w:hyperlink>
          </w:p>
        </w:tc>
      </w:tr>
      <w:tr>
        <w:trPr>
          <w:trHeight w:val="183"/>
        </w:trPr>
        <w:tc>
          <w:tcPr>
            <w:tcW w:w="104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240">
              <w:r>
                <w:rPr>
                  <w:rFonts w:ascii="Arial" w:cs="Arial" w:eastAsia="Arial" w:hAnsi="Arial"/>
                  <w:sz w:val="18"/>
                  <w:szCs w:val="18"/>
                  <w:color w:val="0000EE"/>
                  <w:w w:val="94"/>
                </w:rPr>
                <w:t>Plan</w:t>
              </w:r>
            </w:hyperlink>
          </w:p>
        </w:tc>
        <w:tc>
          <w:tcPr>
            <w:tcW w:w="6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7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7"/>
              </w:rPr>
              <w:t>10.5**</w:t>
            </w:r>
          </w:p>
        </w:tc>
        <w:tc>
          <w:tcPr>
            <w:tcW w:w="5260" w:type="dxa"/>
            <w:vAlign w:val="bottom"/>
            <w:tcBorders>
              <w:bottom w:val="single" w:sz="8" w:color="0000EE"/>
            </w:tcBorders>
            <w:gridSpan w:val="10"/>
          </w:tcPr>
          <w:p>
            <w:pPr>
              <w:spacing w:after="0"/>
              <w:rPr>
                <w:rFonts w:ascii="Arial" w:cs="Arial" w:eastAsia="Arial" w:hAnsi="Arial"/>
                <w:sz w:val="18"/>
                <w:szCs w:val="18"/>
                <w:color w:val="0000EE"/>
                <w:w w:val="99"/>
              </w:rPr>
            </w:pPr>
            <w:hyperlink r:id="rId241">
              <w:r>
                <w:rPr>
                  <w:rFonts w:ascii="Arial" w:cs="Arial" w:eastAsia="Arial" w:hAnsi="Arial"/>
                  <w:sz w:val="18"/>
                  <w:szCs w:val="18"/>
                  <w:color w:val="0000EE"/>
                  <w:w w:val="99"/>
                </w:rPr>
                <w:t>Form of Restricted Stock Award Agreement under the 2020 Equity</w:t>
              </w:r>
            </w:hyperlink>
          </w:p>
        </w:tc>
      </w:tr>
      <w:tr>
        <w:trPr>
          <w:trHeight w:val="183"/>
        </w:trPr>
        <w:tc>
          <w:tcPr>
            <w:tcW w:w="1040" w:type="dxa"/>
            <w:vAlign w:val="bottom"/>
          </w:tcPr>
          <w:p>
            <w:pPr>
              <w:spacing w:after="0"/>
              <w:rPr>
                <w:sz w:val="15"/>
                <w:szCs w:val="15"/>
                <w:color w:val="auto"/>
              </w:rPr>
            </w:pPr>
          </w:p>
        </w:tc>
        <w:tc>
          <w:tcPr>
            <w:tcW w:w="5260" w:type="dxa"/>
            <w:vAlign w:val="bottom"/>
            <w:gridSpan w:val="10"/>
          </w:tcPr>
          <w:p>
            <w:pPr>
              <w:spacing w:after="0" w:line="182" w:lineRule="exact"/>
              <w:rPr>
                <w:rFonts w:ascii="Arial" w:cs="Arial" w:eastAsia="Arial" w:hAnsi="Arial"/>
                <w:sz w:val="18"/>
                <w:szCs w:val="18"/>
                <w:color w:val="0000EE"/>
              </w:rPr>
            </w:pPr>
            <w:hyperlink r:id="rId241">
              <w:r>
                <w:rPr>
                  <w:rFonts w:ascii="Arial" w:cs="Arial" w:eastAsia="Arial" w:hAnsi="Arial"/>
                  <w:sz w:val="18"/>
                  <w:szCs w:val="18"/>
                  <w:color w:val="0000EE"/>
                </w:rPr>
                <w:t>Incentive Plan</w:t>
              </w:r>
            </w:hyperlink>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31"/>
        </w:trPr>
        <w:tc>
          <w:tcPr>
            <w:tcW w:w="1040" w:type="dxa"/>
            <w:vAlign w:val="bottom"/>
          </w:tcPr>
          <w:p>
            <w:pPr>
              <w:jc w:val="right"/>
              <w:ind w:right="450"/>
              <w:spacing w:after="0"/>
              <w:rPr>
                <w:sz w:val="20"/>
                <w:szCs w:val="20"/>
                <w:color w:val="auto"/>
              </w:rPr>
            </w:pPr>
            <w:r>
              <w:rPr>
                <w:rFonts w:ascii="Arial" w:cs="Arial" w:eastAsia="Arial" w:hAnsi="Arial"/>
                <w:sz w:val="18"/>
                <w:szCs w:val="18"/>
                <w:color w:val="auto"/>
                <w:w w:val="97"/>
              </w:rPr>
              <w:t>10.6**</w:t>
            </w:r>
          </w:p>
        </w:tc>
        <w:tc>
          <w:tcPr>
            <w:tcW w:w="5260" w:type="dxa"/>
            <w:vAlign w:val="bottom"/>
            <w:gridSpan w:val="10"/>
          </w:tcPr>
          <w:p>
            <w:pPr>
              <w:spacing w:after="0"/>
              <w:rPr>
                <w:rFonts w:ascii="Arial" w:cs="Arial" w:eastAsia="Arial" w:hAnsi="Arial"/>
                <w:sz w:val="18"/>
                <w:szCs w:val="18"/>
                <w:color w:val="0000EE"/>
              </w:rPr>
            </w:pPr>
            <w:hyperlink r:id="rId242">
              <w:r>
                <w:rPr>
                  <w:rFonts w:ascii="Arial" w:cs="Arial" w:eastAsia="Arial" w:hAnsi="Arial"/>
                  <w:sz w:val="18"/>
                  <w:szCs w:val="18"/>
                  <w:color w:val="0000EE"/>
                </w:rPr>
                <w:t>Form of RSU Agreement under the 2020 Equity Incentive Plan</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rPr>
              <w:t>August 26, 2020</w:t>
            </w:r>
          </w:p>
        </w:tc>
      </w:tr>
      <w:tr>
        <w:trPr>
          <w:trHeight w:val="392"/>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391"/>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392"/>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bl>
    <w:p>
      <w:pPr>
        <w:spacing w:after="0" w:line="200" w:lineRule="exact"/>
        <w:rPr>
          <w:sz w:val="20"/>
          <w:szCs w:val="20"/>
          <w:color w:val="auto"/>
        </w:rPr>
      </w:pPr>
    </w:p>
    <w:p>
      <w:pPr>
        <w:sectPr>
          <w:pgSz w:w="11900" w:h="16838" w:orient="portrait"/>
          <w:cols w:equalWidth="0" w:num="2">
            <w:col w:w="6360" w:space="420"/>
            <w:col w:w="4460"/>
          </w:cols>
          <w:pgMar w:left="320" w:top="118"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5220" w:type="dxa"/>
            <w:vAlign w:val="bottom"/>
            <w:tcBorders>
              <w:bottom w:val="single" w:sz="8" w:color="0000EE"/>
            </w:tcBorders>
            <w:gridSpan w:val="22"/>
          </w:tcPr>
          <w:p>
            <w:pPr>
              <w:spacing w:after="0"/>
              <w:rPr>
                <w:rFonts w:ascii="Arial" w:cs="Arial" w:eastAsia="Arial" w:hAnsi="Arial"/>
                <w:sz w:val="18"/>
                <w:szCs w:val="18"/>
                <w:color w:val="0000EE"/>
                <w:w w:val="99"/>
              </w:rPr>
            </w:pPr>
            <w:hyperlink r:id="rId244">
              <w:r>
                <w:rPr>
                  <w:rFonts w:ascii="Arial" w:cs="Arial" w:eastAsia="Arial" w:hAnsi="Arial"/>
                  <w:sz w:val="18"/>
                  <w:szCs w:val="18"/>
                  <w:color w:val="0000EE"/>
                  <w:w w:val="99"/>
                </w:rPr>
                <w:t>Amended and Restated Standard Exclusive Licensing Agreement</w:t>
              </w:r>
            </w:hyperlink>
          </w:p>
        </w:tc>
        <w:tc>
          <w:tcPr>
            <w:tcW w:w="120" w:type="dxa"/>
            <w:vAlign w:val="bottom"/>
            <w:gridSpan w:val="5"/>
          </w:tcPr>
          <w:p>
            <w:pPr>
              <w:spacing w:after="0"/>
              <w:rPr>
                <w:sz w:val="17"/>
                <w:szCs w:val="17"/>
                <w:color w:val="auto"/>
              </w:rPr>
            </w:pPr>
          </w:p>
        </w:tc>
      </w:tr>
      <w:tr>
        <w:trPr>
          <w:trHeight w:val="183"/>
        </w:trPr>
        <w:tc>
          <w:tcPr>
            <w:tcW w:w="1040" w:type="dxa"/>
            <w:vAlign w:val="bottom"/>
          </w:tcPr>
          <w:p>
            <w:pPr>
              <w:spacing w:after="0"/>
              <w:rPr>
                <w:sz w:val="15"/>
                <w:szCs w:val="15"/>
                <w:color w:val="auto"/>
              </w:rPr>
            </w:pPr>
          </w:p>
        </w:tc>
        <w:tc>
          <w:tcPr>
            <w:tcW w:w="53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244">
              <w:r>
                <w:rPr>
                  <w:rFonts w:ascii="Arial" w:cs="Arial" w:eastAsia="Arial" w:hAnsi="Arial"/>
                  <w:sz w:val="18"/>
                  <w:szCs w:val="18"/>
                  <w:color w:val="0000EE"/>
                  <w:w w:val="99"/>
                </w:rPr>
                <w:t>with Sublicensing Terms, dated October 28, 2015, by and between</w:t>
              </w:r>
            </w:hyperlink>
          </w:p>
        </w:tc>
        <w:tc>
          <w:tcPr>
            <w:tcW w:w="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340" w:type="dxa"/>
            <w:vAlign w:val="bottom"/>
            <w:gridSpan w:val="27"/>
          </w:tcPr>
          <w:p>
            <w:pPr>
              <w:spacing w:after="0" w:line="182" w:lineRule="exact"/>
              <w:rPr>
                <w:rFonts w:ascii="Arial" w:cs="Arial" w:eastAsia="Arial" w:hAnsi="Arial"/>
                <w:sz w:val="18"/>
                <w:szCs w:val="18"/>
                <w:color w:val="0000EE"/>
              </w:rPr>
            </w:pPr>
            <w:hyperlink r:id="rId244">
              <w:r>
                <w:rPr>
                  <w:rFonts w:ascii="Arial" w:cs="Arial" w:eastAsia="Arial" w:hAnsi="Arial"/>
                  <w:sz w:val="18"/>
                  <w:szCs w:val="18"/>
                  <w:color w:val="0000EE"/>
                </w:rPr>
                <w:t>the Registrant and Washington State University, and amendments</w:t>
              </w:r>
            </w:hyperlink>
          </w:p>
        </w:tc>
      </w:tr>
      <w:tr>
        <w:trPr>
          <w:trHeight w:val="183"/>
        </w:trPr>
        <w:tc>
          <w:tcPr>
            <w:tcW w:w="1040" w:type="dxa"/>
            <w:vAlign w:val="bottom"/>
          </w:tcPr>
          <w:p>
            <w:pPr>
              <w:spacing w:after="0"/>
              <w:rPr>
                <w:sz w:val="15"/>
                <w:szCs w:val="15"/>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r:id="rId244">
              <w:r>
                <w:rPr>
                  <w:rFonts w:ascii="Arial" w:cs="Arial" w:eastAsia="Arial" w:hAnsi="Arial"/>
                  <w:sz w:val="18"/>
                  <w:szCs w:val="18"/>
                  <w:color w:val="0000EE"/>
                  <w:w w:val="96"/>
                </w:rPr>
                <w:t>thereto</w:t>
              </w:r>
            </w:hyperlink>
          </w:p>
        </w:tc>
        <w:tc>
          <w:tcPr>
            <w:tcW w:w="4680" w:type="dxa"/>
            <w:vAlign w:val="bottom"/>
            <w:tcBorders>
              <w:top w:val="single" w:sz="8" w:color="0000EE"/>
            </w:tcBorders>
            <w:gridSpan w:val="22"/>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5340" w:type="dxa"/>
            <w:vAlign w:val="bottom"/>
            <w:gridSpan w:val="27"/>
          </w:tcPr>
          <w:p>
            <w:pPr>
              <w:spacing w:after="0"/>
              <w:rPr>
                <w:rFonts w:ascii="Arial" w:cs="Arial" w:eastAsia="Arial" w:hAnsi="Arial"/>
                <w:sz w:val="18"/>
                <w:szCs w:val="18"/>
                <w:color w:val="0000EE"/>
              </w:rPr>
            </w:pPr>
            <w:hyperlink r:id="rId245">
              <w:r>
                <w:rPr>
                  <w:rFonts w:ascii="Arial" w:cs="Arial" w:eastAsia="Arial" w:hAnsi="Arial"/>
                  <w:sz w:val="18"/>
                  <w:szCs w:val="18"/>
                  <w:color w:val="0000EE"/>
                </w:rPr>
                <w:t>2020 Employee Stock Purchase Plan and Form of Subscription</w:t>
              </w:r>
            </w:hyperlink>
          </w:p>
        </w:tc>
      </w:tr>
      <w:tr>
        <w:trPr>
          <w:trHeight w:val="183"/>
        </w:trPr>
        <w:tc>
          <w:tcPr>
            <w:tcW w:w="104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r:id="rId245">
              <w:r>
                <w:rPr>
                  <w:rFonts w:ascii="Arial" w:cs="Arial" w:eastAsia="Arial" w:hAnsi="Arial"/>
                  <w:sz w:val="18"/>
                  <w:szCs w:val="18"/>
                  <w:color w:val="0000EE"/>
                  <w:w w:val="98"/>
                </w:rPr>
                <w:t>Agreement Thereunder</w:t>
              </w:r>
            </w:hyperlink>
          </w:p>
        </w:tc>
        <w:tc>
          <w:tcPr>
            <w:tcW w:w="3160" w:type="dxa"/>
            <w:vAlign w:val="bottom"/>
            <w:tcBorders>
              <w:top w:val="single" w:sz="8" w:color="0000EE"/>
            </w:tcBorders>
            <w:gridSpan w:val="15"/>
          </w:tcPr>
          <w:p>
            <w:pPr>
              <w:spacing w:after="0"/>
              <w:rPr>
                <w:sz w:val="15"/>
                <w:szCs w:val="15"/>
                <w:color w:val="auto"/>
              </w:rPr>
            </w:pPr>
          </w:p>
        </w:tc>
        <w:tc>
          <w:tcPr>
            <w:tcW w:w="320" w:type="dxa"/>
            <w:vAlign w:val="bottom"/>
            <w:gridSpan w:val="6"/>
          </w:tcPr>
          <w:p>
            <w:pPr>
              <w:spacing w:after="0"/>
              <w:rPr>
                <w:sz w:val="15"/>
                <w:szCs w:val="15"/>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4740" w:type="dxa"/>
            <w:vAlign w:val="bottom"/>
            <w:tcBorders>
              <w:bottom w:val="single" w:sz="8" w:color="0000EE"/>
            </w:tcBorders>
            <w:gridSpan w:val="18"/>
          </w:tcPr>
          <w:p>
            <w:pPr>
              <w:spacing w:after="0"/>
              <w:rPr>
                <w:rFonts w:ascii="Arial" w:cs="Arial" w:eastAsia="Arial" w:hAnsi="Arial"/>
                <w:sz w:val="18"/>
                <w:szCs w:val="18"/>
                <w:color w:val="0000EE"/>
                <w:w w:val="99"/>
              </w:rPr>
            </w:pPr>
            <w:hyperlink r:id="rId246">
              <w:r>
                <w:rPr>
                  <w:rFonts w:ascii="Arial" w:cs="Arial" w:eastAsia="Arial" w:hAnsi="Arial"/>
                  <w:sz w:val="18"/>
                  <w:szCs w:val="18"/>
                  <w:color w:val="0000EE"/>
                  <w:w w:val="99"/>
                </w:rPr>
                <w:t>Lease agreement, dated July 20, 2020, by and between the</w:t>
              </w:r>
            </w:hyperlink>
          </w:p>
        </w:tc>
        <w:tc>
          <w:tcPr>
            <w:tcW w:w="600" w:type="dxa"/>
            <w:vAlign w:val="bottom"/>
            <w:gridSpan w:val="9"/>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462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246">
              <w:r>
                <w:rPr>
                  <w:rFonts w:ascii="Arial" w:cs="Arial" w:eastAsia="Arial" w:hAnsi="Arial"/>
                  <w:sz w:val="18"/>
                  <w:szCs w:val="18"/>
                  <w:color w:val="0000EE"/>
                  <w:w w:val="99"/>
                </w:rPr>
                <w:t>Registrant and North Creek Parkway Center Investors, LP</w:t>
              </w:r>
            </w:hyperlink>
          </w:p>
        </w:tc>
        <w:tc>
          <w:tcPr>
            <w:tcW w:w="720" w:type="dxa"/>
            <w:vAlign w:val="bottom"/>
            <w:gridSpan w:val="12"/>
          </w:tcPr>
          <w:p>
            <w:pPr>
              <w:spacing w:after="0"/>
              <w:rPr>
                <w:sz w:val="15"/>
                <w:szCs w:val="15"/>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3040" w:type="dxa"/>
            <w:vAlign w:val="bottom"/>
            <w:tcBorders>
              <w:bottom w:val="single" w:sz="8" w:color="0000EE"/>
            </w:tcBorders>
            <w:gridSpan w:val="12"/>
          </w:tcPr>
          <w:p>
            <w:pPr>
              <w:spacing w:after="0"/>
              <w:rPr>
                <w:rFonts w:ascii="Arial" w:cs="Arial" w:eastAsia="Arial" w:hAnsi="Arial"/>
                <w:sz w:val="18"/>
                <w:szCs w:val="18"/>
                <w:color w:val="0000EE"/>
                <w:w w:val="99"/>
              </w:rPr>
            </w:pPr>
            <w:hyperlink r:id="rId247">
              <w:r>
                <w:rPr>
                  <w:rFonts w:ascii="Arial" w:cs="Arial" w:eastAsia="Arial" w:hAnsi="Arial"/>
                  <w:sz w:val="18"/>
                  <w:szCs w:val="18"/>
                  <w:color w:val="0000EE"/>
                  <w:w w:val="99"/>
                </w:rPr>
                <w:t>Outside Director Compensation Policy</w:t>
              </w:r>
            </w:hyperlink>
          </w:p>
        </w:tc>
        <w:tc>
          <w:tcPr>
            <w:tcW w:w="2300" w:type="dxa"/>
            <w:vAlign w:val="bottom"/>
            <w:gridSpan w:val="15"/>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5340" w:type="dxa"/>
            <w:vAlign w:val="bottom"/>
            <w:gridSpan w:val="27"/>
          </w:tcPr>
          <w:p>
            <w:pPr>
              <w:spacing w:after="0"/>
              <w:rPr>
                <w:rFonts w:ascii="Arial" w:cs="Arial" w:eastAsia="Arial" w:hAnsi="Arial"/>
                <w:sz w:val="18"/>
                <w:szCs w:val="18"/>
                <w:color w:val="0000EE"/>
              </w:rPr>
            </w:pPr>
            <w:hyperlink r:id="rId248">
              <w:r>
                <w:rPr>
                  <w:rFonts w:ascii="Arial" w:cs="Arial" w:eastAsia="Arial" w:hAnsi="Arial"/>
                  <w:sz w:val="18"/>
                  <w:szCs w:val="18"/>
                  <w:color w:val="0000EE"/>
                </w:rPr>
                <w:t>Executive Incentive Compensation Plan</w:t>
              </w:r>
            </w:hyperlink>
          </w:p>
        </w:tc>
      </w:tr>
      <w:tr>
        <w:trPr>
          <w:trHeight w:val="20"/>
        </w:trPr>
        <w:tc>
          <w:tcPr>
            <w:tcW w:w="10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5300" w:type="dxa"/>
            <w:vAlign w:val="bottom"/>
            <w:tcBorders>
              <w:bottom w:val="single" w:sz="8" w:color="0000EE"/>
            </w:tcBorders>
            <w:gridSpan w:val="25"/>
          </w:tcPr>
          <w:p>
            <w:pPr>
              <w:spacing w:after="0"/>
              <w:rPr>
                <w:rFonts w:ascii="Arial" w:cs="Arial" w:eastAsia="Arial" w:hAnsi="Arial"/>
                <w:sz w:val="18"/>
                <w:szCs w:val="18"/>
                <w:color w:val="0000EE"/>
                <w:w w:val="99"/>
              </w:rPr>
            </w:pPr>
            <w:hyperlink r:id="rId249">
              <w:r>
                <w:rPr>
                  <w:rFonts w:ascii="Arial" w:cs="Arial" w:eastAsia="Arial" w:hAnsi="Arial"/>
                  <w:sz w:val="18"/>
                  <w:szCs w:val="18"/>
                  <w:color w:val="0000EE"/>
                  <w:w w:val="99"/>
                </w:rPr>
                <w:t>Confirmatory Employment Letter between the Registrant and Leen</w:t>
              </w:r>
            </w:hyperlink>
          </w:p>
        </w:tc>
        <w:tc>
          <w:tcPr>
            <w:tcW w:w="40" w:type="dxa"/>
            <w:vAlign w:val="bottom"/>
            <w:gridSpan w:val="2"/>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5340" w:type="dxa"/>
            <w:vAlign w:val="bottom"/>
            <w:gridSpan w:val="27"/>
          </w:tcPr>
          <w:p>
            <w:pPr>
              <w:spacing w:after="0" w:line="182" w:lineRule="exact"/>
              <w:rPr>
                <w:rFonts w:ascii="Arial" w:cs="Arial" w:eastAsia="Arial" w:hAnsi="Arial"/>
                <w:sz w:val="18"/>
                <w:szCs w:val="18"/>
                <w:color w:val="0000EE"/>
              </w:rPr>
            </w:pPr>
            <w:hyperlink r:id="rId249">
              <w:r>
                <w:rPr>
                  <w:rFonts w:ascii="Arial" w:cs="Arial" w:eastAsia="Arial" w:hAnsi="Arial"/>
                  <w:sz w:val="18"/>
                  <w:szCs w:val="18"/>
                  <w:color w:val="0000EE"/>
                </w:rPr>
                <w:t>Kawas, Ph.D.</w:t>
              </w:r>
            </w:hyperlink>
          </w:p>
        </w:tc>
      </w:tr>
      <w:tr>
        <w:trPr>
          <w:trHeight w:val="20"/>
        </w:trPr>
        <w:tc>
          <w:tcPr>
            <w:tcW w:w="10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5340" w:type="dxa"/>
            <w:vAlign w:val="bottom"/>
            <w:gridSpan w:val="27"/>
          </w:tcPr>
          <w:p>
            <w:pPr>
              <w:spacing w:after="0"/>
              <w:rPr>
                <w:rFonts w:ascii="Arial" w:cs="Arial" w:eastAsia="Arial" w:hAnsi="Arial"/>
                <w:sz w:val="18"/>
                <w:szCs w:val="18"/>
                <w:color w:val="0000EE"/>
              </w:rPr>
            </w:pPr>
            <w:hyperlink r:id="rId250">
              <w:r>
                <w:rPr>
                  <w:rFonts w:ascii="Arial" w:cs="Arial" w:eastAsia="Arial" w:hAnsi="Arial"/>
                  <w:sz w:val="18"/>
                  <w:szCs w:val="18"/>
                  <w:color w:val="0000EE"/>
                </w:rPr>
                <w:t>Confirmatory Employment Letter between the Registrant and Mark</w:t>
              </w:r>
            </w:hyperlink>
          </w:p>
        </w:tc>
      </w:tr>
      <w:tr>
        <w:trPr>
          <w:trHeight w:val="183"/>
        </w:trPr>
        <w:tc>
          <w:tcPr>
            <w:tcW w:w="1040" w:type="dxa"/>
            <w:vAlign w:val="bottom"/>
          </w:tcPr>
          <w:p>
            <w:pPr>
              <w:spacing w:after="0"/>
              <w:rPr>
                <w:sz w:val="15"/>
                <w:szCs w:val="15"/>
                <w:color w:val="auto"/>
              </w:rPr>
            </w:pPr>
          </w:p>
        </w:tc>
        <w:tc>
          <w:tcPr>
            <w:tcW w:w="52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250">
              <w:r>
                <w:rPr>
                  <w:rFonts w:ascii="Arial" w:cs="Arial" w:eastAsia="Arial" w:hAnsi="Arial"/>
                  <w:sz w:val="18"/>
                  <w:szCs w:val="18"/>
                  <w:color w:val="0000EE"/>
                </w:rPr>
                <w:t>Litton, Ph.D.</w:t>
              </w:r>
            </w:hyperlink>
          </w:p>
        </w:tc>
        <w:tc>
          <w:tcPr>
            <w:tcW w:w="60" w:type="dxa"/>
            <w:vAlign w:val="bottom"/>
            <w:gridSpan w:val="3"/>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5340" w:type="dxa"/>
            <w:vAlign w:val="bottom"/>
            <w:tcBorders>
              <w:bottom w:val="single" w:sz="8" w:color="0000EE"/>
            </w:tcBorders>
            <w:gridSpan w:val="27"/>
          </w:tcPr>
          <w:p>
            <w:pPr>
              <w:spacing w:after="0"/>
              <w:rPr>
                <w:rFonts w:ascii="Arial" w:cs="Arial" w:eastAsia="Arial" w:hAnsi="Arial"/>
                <w:sz w:val="18"/>
                <w:szCs w:val="18"/>
                <w:color w:val="0000EE"/>
                <w:w w:val="99"/>
              </w:rPr>
            </w:pPr>
            <w:hyperlink r:id="rId251">
              <w:r>
                <w:rPr>
                  <w:rFonts w:ascii="Arial" w:cs="Arial" w:eastAsia="Arial" w:hAnsi="Arial"/>
                  <w:sz w:val="18"/>
                  <w:szCs w:val="18"/>
                  <w:color w:val="0000EE"/>
                  <w:w w:val="99"/>
                </w:rPr>
                <w:t>Confirmatory Employment Letter between the Registrant and Kevin</w:t>
              </w:r>
            </w:hyperlink>
          </w:p>
        </w:tc>
      </w:tr>
      <w:tr>
        <w:trPr>
          <w:trHeight w:val="183"/>
        </w:trPr>
        <w:tc>
          <w:tcPr>
            <w:tcW w:w="1040" w:type="dxa"/>
            <w:vAlign w:val="bottom"/>
          </w:tcPr>
          <w:p>
            <w:pPr>
              <w:spacing w:after="0"/>
              <w:rPr>
                <w:sz w:val="15"/>
                <w:szCs w:val="15"/>
                <w:color w:val="auto"/>
              </w:rPr>
            </w:pPr>
          </w:p>
        </w:tc>
        <w:tc>
          <w:tcPr>
            <w:tcW w:w="5340" w:type="dxa"/>
            <w:vAlign w:val="bottom"/>
            <w:gridSpan w:val="27"/>
          </w:tcPr>
          <w:p>
            <w:pPr>
              <w:spacing w:after="0" w:line="182" w:lineRule="exact"/>
              <w:rPr>
                <w:rFonts w:ascii="Arial" w:cs="Arial" w:eastAsia="Arial" w:hAnsi="Arial"/>
                <w:sz w:val="18"/>
                <w:szCs w:val="18"/>
                <w:color w:val="0000EE"/>
              </w:rPr>
            </w:pPr>
            <w:hyperlink r:id="rId251">
              <w:r>
                <w:rPr>
                  <w:rFonts w:ascii="Arial" w:cs="Arial" w:eastAsia="Arial" w:hAnsi="Arial"/>
                  <w:sz w:val="18"/>
                  <w:szCs w:val="18"/>
                  <w:color w:val="0000EE"/>
                </w:rPr>
                <w:t>Church, Ph.D.</w:t>
              </w:r>
            </w:hyperlink>
          </w:p>
        </w:tc>
      </w:tr>
      <w:tr>
        <w:trPr>
          <w:trHeight w:val="20"/>
        </w:trPr>
        <w:tc>
          <w:tcPr>
            <w:tcW w:w="104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4840" w:type="dxa"/>
            <w:vAlign w:val="bottom"/>
            <w:tcBorders>
              <w:bottom w:val="single" w:sz="8" w:color="0000EE"/>
            </w:tcBorders>
            <w:gridSpan w:val="20"/>
          </w:tcPr>
          <w:p>
            <w:pPr>
              <w:spacing w:after="0"/>
              <w:rPr>
                <w:rFonts w:ascii="Arial" w:cs="Arial" w:eastAsia="Arial" w:hAnsi="Arial"/>
                <w:sz w:val="18"/>
                <w:szCs w:val="18"/>
                <w:color w:val="0000EE"/>
                <w:w w:val="99"/>
              </w:rPr>
            </w:pPr>
            <w:hyperlink r:id="rId252">
              <w:r>
                <w:rPr>
                  <w:rFonts w:ascii="Arial" w:cs="Arial" w:eastAsia="Arial" w:hAnsi="Arial"/>
                  <w:sz w:val="18"/>
                  <w:szCs w:val="18"/>
                  <w:color w:val="0000EE"/>
                  <w:w w:val="99"/>
                </w:rPr>
                <w:t>Confirmatory Employment Letter between the Registrant and</w:t>
              </w:r>
            </w:hyperlink>
          </w:p>
        </w:tc>
        <w:tc>
          <w:tcPr>
            <w:tcW w:w="500" w:type="dxa"/>
            <w:vAlign w:val="bottom"/>
            <w:gridSpan w:val="7"/>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5340" w:type="dxa"/>
            <w:vAlign w:val="bottom"/>
            <w:gridSpan w:val="27"/>
          </w:tcPr>
          <w:p>
            <w:pPr>
              <w:spacing w:after="0" w:line="182" w:lineRule="exact"/>
              <w:rPr>
                <w:rFonts w:ascii="Arial" w:cs="Arial" w:eastAsia="Arial" w:hAnsi="Arial"/>
                <w:sz w:val="18"/>
                <w:szCs w:val="18"/>
                <w:color w:val="0000EE"/>
              </w:rPr>
            </w:pPr>
            <w:hyperlink r:id="rId252">
              <w:r>
                <w:rPr>
                  <w:rFonts w:ascii="Arial" w:cs="Arial" w:eastAsia="Arial" w:hAnsi="Arial"/>
                  <w:sz w:val="18"/>
                  <w:szCs w:val="18"/>
                  <w:color w:val="0000EE"/>
                </w:rPr>
                <w:t>Glenna Mileson</w:t>
              </w:r>
            </w:hyperlink>
          </w:p>
        </w:tc>
      </w:tr>
      <w:tr>
        <w:trPr>
          <w:trHeight w:val="20"/>
        </w:trPr>
        <w:tc>
          <w:tcPr>
            <w:tcW w:w="104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24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5340" w:type="dxa"/>
            <w:vAlign w:val="bottom"/>
            <w:gridSpan w:val="27"/>
          </w:tcPr>
          <w:p>
            <w:pPr>
              <w:spacing w:after="0"/>
              <w:rPr>
                <w:rFonts w:ascii="Arial" w:cs="Arial" w:eastAsia="Arial" w:hAnsi="Arial"/>
                <w:sz w:val="18"/>
                <w:szCs w:val="18"/>
                <w:color w:val="0000EE"/>
              </w:rPr>
            </w:pPr>
            <w:hyperlink r:id="rId253">
              <w:r>
                <w:rPr>
                  <w:rFonts w:ascii="Arial" w:cs="Arial" w:eastAsia="Arial" w:hAnsi="Arial"/>
                  <w:sz w:val="18"/>
                  <w:szCs w:val="18"/>
                  <w:color w:val="0000EE"/>
                </w:rPr>
                <w:t>Change in Control and Severance Agreement between the</w:t>
              </w:r>
            </w:hyperlink>
          </w:p>
        </w:tc>
      </w:tr>
      <w:tr>
        <w:trPr>
          <w:trHeight w:val="183"/>
        </w:trPr>
        <w:tc>
          <w:tcPr>
            <w:tcW w:w="104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253">
              <w:r>
                <w:rPr>
                  <w:rFonts w:ascii="Arial" w:cs="Arial" w:eastAsia="Arial" w:hAnsi="Arial"/>
                  <w:sz w:val="18"/>
                  <w:szCs w:val="18"/>
                  <w:color w:val="0000EE"/>
                  <w:w w:val="99"/>
                </w:rPr>
                <w:t>Registrant and Leen Kawas, Ph.D.</w:t>
              </w:r>
            </w:hyperlink>
          </w:p>
        </w:tc>
        <w:tc>
          <w:tcPr>
            <w:tcW w:w="1900" w:type="dxa"/>
            <w:vAlign w:val="bottom"/>
            <w:tcBorders>
              <w:top w:val="single" w:sz="8" w:color="0000EE"/>
            </w:tcBorders>
            <w:gridSpan w:val="7"/>
          </w:tcPr>
          <w:p>
            <w:pPr>
              <w:spacing w:after="0"/>
              <w:rPr>
                <w:sz w:val="15"/>
                <w:szCs w:val="15"/>
                <w:color w:val="auto"/>
              </w:rPr>
            </w:pPr>
          </w:p>
        </w:tc>
        <w:tc>
          <w:tcPr>
            <w:tcW w:w="680" w:type="dxa"/>
            <w:vAlign w:val="bottom"/>
            <w:gridSpan w:val="11"/>
          </w:tcPr>
          <w:p>
            <w:pPr>
              <w:spacing w:after="0"/>
              <w:rPr>
                <w:sz w:val="15"/>
                <w:szCs w:val="15"/>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5340" w:type="dxa"/>
            <w:vAlign w:val="bottom"/>
            <w:gridSpan w:val="27"/>
          </w:tcPr>
          <w:p>
            <w:pPr>
              <w:spacing w:after="0"/>
              <w:rPr>
                <w:rFonts w:ascii="Arial" w:cs="Arial" w:eastAsia="Arial" w:hAnsi="Arial"/>
                <w:sz w:val="18"/>
                <w:szCs w:val="18"/>
                <w:color w:val="0000EE"/>
              </w:rPr>
            </w:pPr>
            <w:hyperlink r:id="rId254">
              <w:r>
                <w:rPr>
                  <w:rFonts w:ascii="Arial" w:cs="Arial" w:eastAsia="Arial" w:hAnsi="Arial"/>
                  <w:sz w:val="18"/>
                  <w:szCs w:val="18"/>
                  <w:color w:val="0000EE"/>
                </w:rPr>
                <w:t>Change in Control and Severance Agreement between the</w:t>
              </w:r>
            </w:hyperlink>
          </w:p>
        </w:tc>
      </w:tr>
      <w:tr>
        <w:trPr>
          <w:trHeight w:val="183"/>
        </w:trPr>
        <w:tc>
          <w:tcPr>
            <w:tcW w:w="104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254">
              <w:r>
                <w:rPr>
                  <w:rFonts w:ascii="Arial" w:cs="Arial" w:eastAsia="Arial" w:hAnsi="Arial"/>
                  <w:sz w:val="18"/>
                  <w:szCs w:val="18"/>
                  <w:color w:val="0000EE"/>
                  <w:w w:val="99"/>
                </w:rPr>
                <w:t>Registrant and Mark Litton, Ph.D.</w:t>
              </w:r>
            </w:hyperlink>
          </w:p>
        </w:tc>
        <w:tc>
          <w:tcPr>
            <w:tcW w:w="2000" w:type="dxa"/>
            <w:vAlign w:val="bottom"/>
            <w:tcBorders>
              <w:top w:val="single" w:sz="8" w:color="0000EE"/>
            </w:tcBorders>
            <w:gridSpan w:val="8"/>
          </w:tcPr>
          <w:p>
            <w:pPr>
              <w:spacing w:after="0"/>
              <w:rPr>
                <w:sz w:val="15"/>
                <w:szCs w:val="15"/>
                <w:color w:val="auto"/>
              </w:rPr>
            </w:pPr>
          </w:p>
        </w:tc>
        <w:tc>
          <w:tcPr>
            <w:tcW w:w="680" w:type="dxa"/>
            <w:vAlign w:val="bottom"/>
            <w:gridSpan w:val="11"/>
          </w:tcPr>
          <w:p>
            <w:pPr>
              <w:spacing w:after="0"/>
              <w:rPr>
                <w:sz w:val="15"/>
                <w:szCs w:val="15"/>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5340" w:type="dxa"/>
            <w:vAlign w:val="bottom"/>
            <w:gridSpan w:val="27"/>
          </w:tcPr>
          <w:p>
            <w:pPr>
              <w:spacing w:after="0"/>
              <w:rPr>
                <w:rFonts w:ascii="Arial" w:cs="Arial" w:eastAsia="Arial" w:hAnsi="Arial"/>
                <w:sz w:val="18"/>
                <w:szCs w:val="18"/>
                <w:color w:val="0000EE"/>
              </w:rPr>
            </w:pPr>
            <w:hyperlink r:id="rId255">
              <w:r>
                <w:rPr>
                  <w:rFonts w:ascii="Arial" w:cs="Arial" w:eastAsia="Arial" w:hAnsi="Arial"/>
                  <w:sz w:val="18"/>
                  <w:szCs w:val="18"/>
                  <w:color w:val="0000EE"/>
                </w:rPr>
                <w:t>Change in Control and Severance Agreement between the</w:t>
              </w:r>
            </w:hyperlink>
          </w:p>
        </w:tc>
      </w:tr>
      <w:tr>
        <w:trPr>
          <w:trHeight w:val="182"/>
        </w:trPr>
        <w:tc>
          <w:tcPr>
            <w:tcW w:w="1040" w:type="dxa"/>
            <w:vAlign w:val="bottom"/>
          </w:tcPr>
          <w:p>
            <w:pPr>
              <w:spacing w:after="0"/>
              <w:rPr>
                <w:sz w:val="15"/>
                <w:szCs w:val="15"/>
                <w:color w:val="auto"/>
              </w:rPr>
            </w:pPr>
          </w:p>
        </w:tc>
        <w:tc>
          <w:tcPr>
            <w:tcW w:w="46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255">
              <w:r>
                <w:rPr>
                  <w:rFonts w:ascii="Arial" w:cs="Arial" w:eastAsia="Arial" w:hAnsi="Arial"/>
                  <w:sz w:val="18"/>
                  <w:szCs w:val="18"/>
                  <w:color w:val="0000EE"/>
                </w:rPr>
                <w:t>Registrant and Glenna Mileson</w:t>
              </w:r>
            </w:hyperlink>
          </w:p>
        </w:tc>
        <w:tc>
          <w:tcPr>
            <w:tcW w:w="680" w:type="dxa"/>
            <w:vAlign w:val="bottom"/>
            <w:gridSpan w:val="11"/>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4680" w:type="dxa"/>
            <w:vAlign w:val="bottom"/>
            <w:tcBorders>
              <w:bottom w:val="single" w:sz="8" w:color="0000EE"/>
            </w:tcBorders>
            <w:gridSpan w:val="17"/>
          </w:tcPr>
          <w:p>
            <w:pPr>
              <w:spacing w:after="0"/>
              <w:rPr>
                <w:rFonts w:ascii="Arial" w:cs="Arial" w:eastAsia="Arial" w:hAnsi="Arial"/>
                <w:sz w:val="18"/>
                <w:szCs w:val="18"/>
                <w:color w:val="0000EE"/>
                <w:w w:val="99"/>
              </w:rPr>
            </w:pPr>
            <w:hyperlink r:id="rId256">
              <w:r>
                <w:rPr>
                  <w:rFonts w:ascii="Arial" w:cs="Arial" w:eastAsia="Arial" w:hAnsi="Arial"/>
                  <w:sz w:val="18"/>
                  <w:szCs w:val="18"/>
                  <w:color w:val="0000EE"/>
                  <w:w w:val="99"/>
                </w:rPr>
                <w:t>Employment Offer Letter between the Registrant and Hans</w:t>
              </w:r>
            </w:hyperlink>
          </w:p>
        </w:tc>
        <w:tc>
          <w:tcPr>
            <w:tcW w:w="660" w:type="dxa"/>
            <w:vAlign w:val="bottom"/>
            <w:gridSpan w:val="10"/>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5340" w:type="dxa"/>
            <w:vAlign w:val="bottom"/>
            <w:gridSpan w:val="27"/>
          </w:tcPr>
          <w:p>
            <w:pPr>
              <w:spacing w:after="0" w:line="182" w:lineRule="exact"/>
              <w:rPr>
                <w:rFonts w:ascii="Arial" w:cs="Arial" w:eastAsia="Arial" w:hAnsi="Arial"/>
                <w:sz w:val="18"/>
                <w:szCs w:val="18"/>
                <w:color w:val="0000EE"/>
              </w:rPr>
            </w:pPr>
            <w:hyperlink r:id="rId256">
              <w:r>
                <w:rPr>
                  <w:rFonts w:ascii="Arial" w:cs="Arial" w:eastAsia="Arial" w:hAnsi="Arial"/>
                  <w:sz w:val="18"/>
                  <w:szCs w:val="18"/>
                  <w:color w:val="0000EE"/>
                </w:rPr>
                <w:t>Moebius, Ph.D.</w:t>
              </w:r>
            </w:hyperlink>
          </w:p>
        </w:tc>
      </w:tr>
      <w:tr>
        <w:trPr>
          <w:trHeight w:val="20"/>
        </w:trPr>
        <w:tc>
          <w:tcPr>
            <w:tcW w:w="1040" w:type="dxa"/>
            <w:vAlign w:val="bottom"/>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5340" w:type="dxa"/>
            <w:vAlign w:val="bottom"/>
            <w:gridSpan w:val="27"/>
          </w:tcPr>
          <w:p>
            <w:pPr>
              <w:spacing w:after="0"/>
              <w:rPr>
                <w:rFonts w:ascii="Arial" w:cs="Arial" w:eastAsia="Arial" w:hAnsi="Arial"/>
                <w:sz w:val="18"/>
                <w:szCs w:val="18"/>
                <w:color w:val="0000EE"/>
              </w:rPr>
            </w:pPr>
            <w:hyperlink r:id="rId257">
              <w:r>
                <w:rPr>
                  <w:rFonts w:ascii="Arial" w:cs="Arial" w:eastAsia="Arial" w:hAnsi="Arial"/>
                  <w:sz w:val="18"/>
                  <w:szCs w:val="18"/>
                  <w:color w:val="0000EE"/>
                </w:rPr>
                <w:t>Change in Control and Severance Agreement between the</w:t>
              </w:r>
            </w:hyperlink>
          </w:p>
        </w:tc>
      </w:tr>
      <w:tr>
        <w:trPr>
          <w:trHeight w:val="183"/>
        </w:trPr>
        <w:tc>
          <w:tcPr>
            <w:tcW w:w="104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257">
              <w:r>
                <w:rPr>
                  <w:rFonts w:ascii="Arial" w:cs="Arial" w:eastAsia="Arial" w:hAnsi="Arial"/>
                  <w:sz w:val="18"/>
                  <w:szCs w:val="18"/>
                  <w:color w:val="0000EE"/>
                  <w:w w:val="99"/>
                </w:rPr>
                <w:t>Registrant and Hans Moebius, Ph.D.</w:t>
              </w:r>
            </w:hyperlink>
          </w:p>
        </w:tc>
        <w:tc>
          <w:tcPr>
            <w:tcW w:w="1740" w:type="dxa"/>
            <w:vAlign w:val="bottom"/>
            <w:tcBorders>
              <w:top w:val="single" w:sz="8" w:color="0000EE"/>
            </w:tcBorders>
            <w:gridSpan w:val="5"/>
          </w:tcPr>
          <w:p>
            <w:pPr>
              <w:spacing w:after="0"/>
              <w:rPr>
                <w:sz w:val="15"/>
                <w:szCs w:val="15"/>
                <w:color w:val="auto"/>
              </w:rPr>
            </w:pPr>
          </w:p>
        </w:tc>
        <w:tc>
          <w:tcPr>
            <w:tcW w:w="680" w:type="dxa"/>
            <w:vAlign w:val="bottom"/>
            <w:gridSpan w:val="11"/>
          </w:tcPr>
          <w:p>
            <w:pPr>
              <w:spacing w:after="0"/>
              <w:rPr>
                <w:sz w:val="15"/>
                <w:szCs w:val="15"/>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2900" w:type="dxa"/>
            <w:vAlign w:val="bottom"/>
            <w:tcBorders>
              <w:bottom w:val="single" w:sz="8" w:color="0000EE"/>
            </w:tcBorders>
            <w:gridSpan w:val="10"/>
          </w:tcPr>
          <w:p>
            <w:pPr>
              <w:spacing w:after="0"/>
              <w:rPr>
                <w:rFonts w:ascii="Arial" w:cs="Arial" w:eastAsia="Arial" w:hAnsi="Arial"/>
                <w:sz w:val="18"/>
                <w:szCs w:val="18"/>
                <w:color w:val="0000EE"/>
                <w:w w:val="99"/>
              </w:rPr>
            </w:pPr>
            <w:hyperlink r:id="rId258">
              <w:r>
                <w:rPr>
                  <w:rFonts w:ascii="Arial" w:cs="Arial" w:eastAsia="Arial" w:hAnsi="Arial"/>
                  <w:sz w:val="18"/>
                  <w:szCs w:val="18"/>
                  <w:color w:val="0000EE"/>
                  <w:w w:val="99"/>
                </w:rPr>
                <w:t>List of subsidiaries of the Registrant.</w:t>
              </w:r>
            </w:hyperlink>
          </w:p>
        </w:tc>
        <w:tc>
          <w:tcPr>
            <w:tcW w:w="2440" w:type="dxa"/>
            <w:vAlign w:val="bottom"/>
            <w:gridSpan w:val="17"/>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7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193">
              <w:r>
                <w:rPr>
                  <w:rFonts w:ascii="Arial" w:cs="Arial" w:eastAsia="Arial" w:hAnsi="Arial"/>
                  <w:sz w:val="18"/>
                  <w:szCs w:val="18"/>
                  <w:color w:val="0000EE"/>
                  <w:w w:val="99"/>
                </w:rPr>
                <w:t>Consent of Independent Registered Public Accounting Firm.</w:t>
              </w:r>
            </w:hyperlink>
          </w:p>
        </w:tc>
        <w:tc>
          <w:tcPr>
            <w:tcW w:w="560" w:type="dxa"/>
            <w:vAlign w:val="bottom"/>
            <w:gridSpan w:val="8"/>
          </w:tcPr>
          <w:p>
            <w:pPr>
              <w:spacing w:after="0"/>
              <w:rPr>
                <w:sz w:val="24"/>
                <w:szCs w:val="24"/>
                <w:color w:val="auto"/>
              </w:rPr>
            </w:pPr>
          </w:p>
        </w:tc>
      </w:tr>
      <w:tr>
        <w:trPr>
          <w:trHeight w:val="371"/>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44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187">
              <w:r>
                <w:rPr>
                  <w:rFonts w:ascii="Arial" w:cs="Arial" w:eastAsia="Arial" w:hAnsi="Arial"/>
                  <w:sz w:val="18"/>
                  <w:szCs w:val="18"/>
                  <w:color w:val="0000EE"/>
                  <w:w w:val="99"/>
                </w:rPr>
                <w:t>Power of Attorney (included in signature pages hereto).</w:t>
              </w:r>
            </w:hyperlink>
          </w:p>
        </w:tc>
        <w:tc>
          <w:tcPr>
            <w:tcW w:w="940" w:type="dxa"/>
            <w:vAlign w:val="bottom"/>
            <w:gridSpan w:val="13"/>
          </w:tcPr>
          <w:p>
            <w:pPr>
              <w:spacing w:after="0"/>
              <w:rPr>
                <w:sz w:val="24"/>
                <w:szCs w:val="24"/>
                <w:color w:val="auto"/>
              </w:rPr>
            </w:pPr>
          </w:p>
        </w:tc>
      </w:tr>
      <w:tr>
        <w:trPr>
          <w:trHeight w:val="615"/>
        </w:trPr>
        <w:tc>
          <w:tcPr>
            <w:tcW w:w="1040" w:type="dxa"/>
            <w:vAlign w:val="bottom"/>
          </w:tcPr>
          <w:p>
            <w:pPr>
              <w:spacing w:after="0"/>
              <w:rPr>
                <w:sz w:val="24"/>
                <w:szCs w:val="24"/>
                <w:color w:val="auto"/>
              </w:rPr>
            </w:pPr>
          </w:p>
        </w:tc>
        <w:tc>
          <w:tcPr>
            <w:tcW w:w="4740" w:type="dxa"/>
            <w:vAlign w:val="bottom"/>
            <w:gridSpan w:val="18"/>
          </w:tcPr>
          <w:p>
            <w:pPr>
              <w:ind w:left="4380"/>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47625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center"/>
              <w:ind w:right="110"/>
              <w:spacing w:after="0"/>
              <w:rPr>
                <w:sz w:val="20"/>
                <w:szCs w:val="20"/>
                <w:color w:val="auto"/>
              </w:rPr>
            </w:pPr>
            <w:r>
              <w:rPr>
                <w:rFonts w:ascii="Arial" w:cs="Arial" w:eastAsia="Arial" w:hAnsi="Arial"/>
                <w:sz w:val="18"/>
                <w:szCs w:val="18"/>
                <w:color w:val="auto"/>
                <w:w w:val="99"/>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26, 2020</w:t>
            </w:r>
          </w:p>
        </w:tc>
      </w:tr>
      <w:tr>
        <w:trPr>
          <w:trHeight w:val="959"/>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10.10</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10.12</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392"/>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10.13</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391"/>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10.14</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10.15</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4"/>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10.16</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10.17</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10.18</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10.19</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10.20</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4"/>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10.21</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14,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700" w:type="dxa"/>
            <w:vAlign w:val="bottom"/>
          </w:tcPr>
          <w:p>
            <w:pPr>
              <w:jc w:val="center"/>
              <w:spacing w:after="0"/>
              <w:rPr>
                <w:sz w:val="20"/>
                <w:szCs w:val="20"/>
                <w:color w:val="auto"/>
              </w:rPr>
            </w:pPr>
            <w:r>
              <w:rPr>
                <w:rFonts w:ascii="Arial" w:cs="Arial" w:eastAsia="Arial" w:hAnsi="Arial"/>
                <w:sz w:val="18"/>
                <w:szCs w:val="18"/>
                <w:color w:val="auto"/>
              </w:rPr>
              <w:t>10.22</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14, 2020</w:t>
            </w:r>
          </w:p>
        </w:tc>
      </w:tr>
      <w:tr>
        <w:trPr>
          <w:trHeight w:val="553"/>
        </w:trPr>
        <w:tc>
          <w:tcPr>
            <w:tcW w:w="680" w:type="dxa"/>
            <w:vAlign w:val="bottom"/>
          </w:tcPr>
          <w:p>
            <w:pPr>
              <w:jc w:val="center"/>
              <w:ind w:right="13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333-24828</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bl>
    <w:p>
      <w:pPr>
        <w:sectPr>
          <w:pgSz w:w="11900" w:h="16838" w:orient="portrait"/>
          <w:cols w:equalWidth="0" w:num="2">
            <w:col w:w="6380" w:space="340"/>
            <w:col w:w="4420"/>
          </w:cols>
          <w:pgMar w:left="380" w:top="122" w:right="379" w:bottom="1440" w:gutter="0" w:footer="0" w:header="0"/>
        </w:sectPr>
      </w:pPr>
    </w:p>
    <w:bookmarkStart w:id="185" w:name="page186"/>
    <w:bookmarkEnd w:id="18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ind w:left="40"/>
              <w:spacing w:after="0"/>
              <w:rPr>
                <w:sz w:val="20"/>
                <w:szCs w:val="20"/>
                <w:color w:val="auto"/>
              </w:rPr>
            </w:pPr>
            <w:r>
              <w:rPr>
                <w:rFonts w:ascii="Arial" w:cs="Arial" w:eastAsia="Arial" w:hAnsi="Arial"/>
                <w:sz w:val="18"/>
                <w:szCs w:val="18"/>
                <w:color w:val="auto"/>
              </w:rPr>
              <w:t>31.1</w:t>
            </w:r>
          </w:p>
        </w:tc>
        <w:tc>
          <w:tcPr>
            <w:tcW w:w="51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94">
              <w:r>
                <w:rPr>
                  <w:rFonts w:ascii="Arial" w:cs="Arial" w:eastAsia="Arial" w:hAnsi="Arial"/>
                  <w:sz w:val="18"/>
                  <w:szCs w:val="18"/>
                  <w:color w:val="0000EE"/>
                  <w:w w:val="99"/>
                </w:rPr>
                <w:t>Certification of Principal Executive Officer Pursuant to Rules 13a-</w:t>
              </w:r>
            </w:hyperlink>
          </w:p>
        </w:tc>
        <w:tc>
          <w:tcPr>
            <w:tcW w:w="160" w:type="dxa"/>
            <w:vAlign w:val="bottom"/>
            <w:gridSpan w:val="4"/>
          </w:tcPr>
          <w:p>
            <w:pPr>
              <w:spacing w:after="0"/>
              <w:rPr>
                <w:sz w:val="17"/>
                <w:szCs w:val="17"/>
                <w:color w:val="auto"/>
              </w:rPr>
            </w:pPr>
          </w:p>
        </w:tc>
      </w:tr>
      <w:tr>
        <w:trPr>
          <w:trHeight w:val="183"/>
        </w:trPr>
        <w:tc>
          <w:tcPr>
            <w:tcW w:w="1080" w:type="dxa"/>
            <w:vAlign w:val="bottom"/>
          </w:tcPr>
          <w:p>
            <w:pPr>
              <w:spacing w:after="0"/>
              <w:rPr>
                <w:sz w:val="15"/>
                <w:szCs w:val="15"/>
                <w:color w:val="auto"/>
              </w:rPr>
            </w:pPr>
          </w:p>
        </w:tc>
        <w:tc>
          <w:tcPr>
            <w:tcW w:w="53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14(a) and 15d-14(a) under the Securities Exchange Act of 1934, as</w:t>
              </w:r>
            </w:hyperlink>
          </w:p>
        </w:tc>
      </w:tr>
      <w:tr>
        <w:trPr>
          <w:trHeight w:val="183"/>
        </w:trPr>
        <w:tc>
          <w:tcPr>
            <w:tcW w:w="1080" w:type="dxa"/>
            <w:vAlign w:val="bottom"/>
          </w:tcPr>
          <w:p>
            <w:pPr>
              <w:spacing w:after="0"/>
              <w:rPr>
                <w:sz w:val="15"/>
                <w:szCs w:val="15"/>
                <w:color w:val="auto"/>
              </w:rPr>
            </w:pPr>
          </w:p>
        </w:tc>
        <w:tc>
          <w:tcPr>
            <w:tcW w:w="5340" w:type="dxa"/>
            <w:vAlign w:val="bottom"/>
            <w:gridSpan w:val="13"/>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Adopted Pursuant to Section 302 of the Sarbanes-Oxley Act of</w:t>
              </w:r>
            </w:hyperlink>
          </w:p>
        </w:tc>
      </w:tr>
      <w:tr>
        <w:trPr>
          <w:trHeight w:val="183"/>
        </w:trPr>
        <w:tc>
          <w:tcPr>
            <w:tcW w:w="108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3"/>
              </w:rPr>
            </w:pPr>
            <w:hyperlink w:anchor="page194">
              <w:r>
                <w:rPr>
                  <w:rFonts w:ascii="Arial" w:cs="Arial" w:eastAsia="Arial" w:hAnsi="Arial"/>
                  <w:sz w:val="18"/>
                  <w:szCs w:val="18"/>
                  <w:color w:val="0000EE"/>
                  <w:w w:val="93"/>
                </w:rPr>
                <w:t>2002.</w:t>
              </w:r>
            </w:hyperlink>
          </w:p>
        </w:tc>
        <w:tc>
          <w:tcPr>
            <w:tcW w:w="10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9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1"/>
        </w:trPr>
        <w:tc>
          <w:tcPr>
            <w:tcW w:w="1080" w:type="dxa"/>
            <w:vAlign w:val="bottom"/>
          </w:tcPr>
          <w:p>
            <w:pPr>
              <w:ind w:left="40"/>
              <w:spacing w:after="0"/>
              <w:rPr>
                <w:sz w:val="20"/>
                <w:szCs w:val="20"/>
                <w:color w:val="auto"/>
              </w:rPr>
            </w:pPr>
            <w:r>
              <w:rPr>
                <w:rFonts w:ascii="Arial" w:cs="Arial" w:eastAsia="Arial" w:hAnsi="Arial"/>
                <w:sz w:val="18"/>
                <w:szCs w:val="18"/>
                <w:color w:val="auto"/>
              </w:rPr>
              <w:t>31.2</w:t>
            </w:r>
          </w:p>
        </w:tc>
        <w:tc>
          <w:tcPr>
            <w:tcW w:w="53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95">
              <w:r>
                <w:rPr>
                  <w:rFonts w:ascii="Arial" w:cs="Arial" w:eastAsia="Arial" w:hAnsi="Arial"/>
                  <w:sz w:val="18"/>
                  <w:szCs w:val="18"/>
                  <w:color w:val="0000EE"/>
                  <w:w w:val="99"/>
                </w:rPr>
                <w:t>Certification of Principal Accounting and Financial Officer Pursuant</w:t>
              </w:r>
            </w:hyperlink>
          </w:p>
        </w:tc>
        <w:tc>
          <w:tcPr>
            <w:tcW w:w="40" w:type="dxa"/>
            <w:vAlign w:val="bottom"/>
          </w:tcPr>
          <w:p>
            <w:pPr>
              <w:spacing w:after="0"/>
              <w:rPr>
                <w:sz w:val="24"/>
                <w:szCs w:val="24"/>
                <w:color w:val="auto"/>
              </w:rPr>
            </w:pPr>
          </w:p>
        </w:tc>
      </w:tr>
      <w:tr>
        <w:trPr>
          <w:trHeight w:val="183"/>
        </w:trPr>
        <w:tc>
          <w:tcPr>
            <w:tcW w:w="1080" w:type="dxa"/>
            <w:vAlign w:val="bottom"/>
          </w:tcPr>
          <w:p>
            <w:pPr>
              <w:spacing w:after="0"/>
              <w:rPr>
                <w:sz w:val="15"/>
                <w:szCs w:val="15"/>
                <w:color w:val="auto"/>
              </w:rPr>
            </w:pPr>
          </w:p>
        </w:tc>
        <w:tc>
          <w:tcPr>
            <w:tcW w:w="5340" w:type="dxa"/>
            <w:vAlign w:val="bottom"/>
            <w:gridSpan w:val="13"/>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to Rules 13a-14(a) and 15d-14(a) under the Securities Exchange</w:t>
              </w:r>
            </w:hyperlink>
          </w:p>
        </w:tc>
      </w:tr>
      <w:tr>
        <w:trPr>
          <w:trHeight w:val="20"/>
        </w:trPr>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52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95">
              <w:r>
                <w:rPr>
                  <w:rFonts w:ascii="Arial" w:cs="Arial" w:eastAsia="Arial" w:hAnsi="Arial"/>
                  <w:sz w:val="18"/>
                  <w:szCs w:val="18"/>
                  <w:color w:val="0000EE"/>
                  <w:w w:val="99"/>
                </w:rPr>
                <w:t>Act of 1934, as Adopted Pursuant to Section 302 of the Sarbanes-</w:t>
              </w:r>
            </w:hyperlink>
          </w:p>
        </w:tc>
        <w:tc>
          <w:tcPr>
            <w:tcW w:w="6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5340" w:type="dxa"/>
            <w:vAlign w:val="bottom"/>
            <w:gridSpan w:val="13"/>
          </w:tcPr>
          <w:p>
            <w:pPr>
              <w:spacing w:after="0" w:line="182" w:lineRule="exact"/>
              <w:rPr>
                <w:rFonts w:ascii="Arial" w:cs="Arial" w:eastAsia="Arial" w:hAnsi="Arial"/>
                <w:sz w:val="18"/>
                <w:szCs w:val="18"/>
                <w:color w:val="0000EE"/>
              </w:rPr>
            </w:pPr>
            <w:hyperlink w:anchor="page195">
              <w:r>
                <w:rPr>
                  <w:rFonts w:ascii="Arial" w:cs="Arial" w:eastAsia="Arial" w:hAnsi="Arial"/>
                  <w:sz w:val="18"/>
                  <w:szCs w:val="18"/>
                  <w:color w:val="0000EE"/>
                </w:rPr>
                <w:t>Oxley Act of 2002.</w:t>
              </w:r>
            </w:hyperlink>
          </w:p>
        </w:tc>
      </w:tr>
      <w:tr>
        <w:trPr>
          <w:trHeight w:val="20"/>
        </w:trPr>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31"/>
        </w:trPr>
        <w:tc>
          <w:tcPr>
            <w:tcW w:w="1080" w:type="dxa"/>
            <w:vAlign w:val="bottom"/>
          </w:tcPr>
          <w:p>
            <w:pPr>
              <w:ind w:left="40"/>
              <w:spacing w:after="0"/>
              <w:rPr>
                <w:sz w:val="20"/>
                <w:szCs w:val="20"/>
                <w:color w:val="auto"/>
              </w:rPr>
            </w:pPr>
            <w:r>
              <w:rPr>
                <w:rFonts w:ascii="Arial" w:cs="Arial" w:eastAsia="Arial" w:hAnsi="Arial"/>
                <w:sz w:val="18"/>
                <w:szCs w:val="18"/>
                <w:color w:val="auto"/>
              </w:rPr>
              <w:t>32.1*</w:t>
            </w:r>
          </w:p>
        </w:tc>
        <w:tc>
          <w:tcPr>
            <w:tcW w:w="5340" w:type="dxa"/>
            <w:vAlign w:val="bottom"/>
            <w:gridSpan w:val="13"/>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Certification of Principal Executive Officer Pursuant to 18 U.S.C.</w:t>
              </w:r>
            </w:hyperlink>
          </w:p>
        </w:tc>
      </w:tr>
      <w:tr>
        <w:trPr>
          <w:trHeight w:val="183"/>
        </w:trPr>
        <w:tc>
          <w:tcPr>
            <w:tcW w:w="1080" w:type="dxa"/>
            <w:vAlign w:val="bottom"/>
          </w:tcPr>
          <w:p>
            <w:pPr>
              <w:spacing w:after="0"/>
              <w:rPr>
                <w:sz w:val="15"/>
                <w:szCs w:val="15"/>
                <w:color w:val="auto"/>
              </w:rPr>
            </w:pPr>
          </w:p>
        </w:tc>
        <w:tc>
          <w:tcPr>
            <w:tcW w:w="5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Section 1350, as Adopted Pursuant to Section 906 of the</w:t>
              </w:r>
            </w:hyperlink>
          </w:p>
        </w:tc>
        <w:tc>
          <w:tcPr>
            <w:tcW w:w="260" w:type="dxa"/>
            <w:vAlign w:val="bottom"/>
            <w:gridSpan w:val="6"/>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196">
              <w:r>
                <w:rPr>
                  <w:rFonts w:ascii="Arial" w:cs="Arial" w:eastAsia="Arial" w:hAnsi="Arial"/>
                  <w:sz w:val="18"/>
                  <w:szCs w:val="18"/>
                  <w:color w:val="0000EE"/>
                  <w:w w:val="99"/>
                </w:rPr>
                <w:t>Sarbanes-Oxley Act of 2002.</w:t>
              </w:r>
            </w:hyperlink>
          </w:p>
        </w:tc>
        <w:tc>
          <w:tcPr>
            <w:tcW w:w="2220" w:type="dxa"/>
            <w:vAlign w:val="bottom"/>
            <w:tcBorders>
              <w:top w:val="single" w:sz="8" w:color="0000EE"/>
            </w:tcBorders>
            <w:gridSpan w:val="2"/>
          </w:tcPr>
          <w:p>
            <w:pPr>
              <w:spacing w:after="0"/>
              <w:rPr>
                <w:sz w:val="15"/>
                <w:szCs w:val="15"/>
                <w:color w:val="auto"/>
              </w:rPr>
            </w:pPr>
          </w:p>
        </w:tc>
        <w:tc>
          <w:tcPr>
            <w:tcW w:w="820" w:type="dxa"/>
            <w:vAlign w:val="bottom"/>
            <w:gridSpan w:val="8"/>
          </w:tcPr>
          <w:p>
            <w:pPr>
              <w:spacing w:after="0"/>
              <w:rPr>
                <w:sz w:val="15"/>
                <w:szCs w:val="15"/>
                <w:color w:val="auto"/>
              </w:rPr>
            </w:pPr>
          </w:p>
        </w:tc>
      </w:tr>
      <w:tr>
        <w:trPr>
          <w:trHeight w:val="331"/>
        </w:trPr>
        <w:tc>
          <w:tcPr>
            <w:tcW w:w="1080" w:type="dxa"/>
            <w:vAlign w:val="bottom"/>
          </w:tcPr>
          <w:p>
            <w:pPr>
              <w:ind w:left="40"/>
              <w:spacing w:after="0"/>
              <w:rPr>
                <w:sz w:val="20"/>
                <w:szCs w:val="20"/>
                <w:color w:val="auto"/>
              </w:rPr>
            </w:pPr>
            <w:r>
              <w:rPr>
                <w:rFonts w:ascii="Arial" w:cs="Arial" w:eastAsia="Arial" w:hAnsi="Arial"/>
                <w:sz w:val="18"/>
                <w:szCs w:val="18"/>
                <w:color w:val="auto"/>
              </w:rPr>
              <w:t>32.2*</w:t>
            </w:r>
          </w:p>
        </w:tc>
        <w:tc>
          <w:tcPr>
            <w:tcW w:w="53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97">
              <w:r>
                <w:rPr>
                  <w:rFonts w:ascii="Arial" w:cs="Arial" w:eastAsia="Arial" w:hAnsi="Arial"/>
                  <w:sz w:val="18"/>
                  <w:szCs w:val="18"/>
                  <w:color w:val="0000EE"/>
                  <w:w w:val="99"/>
                </w:rPr>
                <w:t>Certification of Principal Accounting and Financial Officer Pursuant</w:t>
              </w:r>
            </w:hyperlink>
          </w:p>
        </w:tc>
        <w:tc>
          <w:tcPr>
            <w:tcW w:w="40" w:type="dxa"/>
            <w:vAlign w:val="bottom"/>
          </w:tcPr>
          <w:p>
            <w:pPr>
              <w:spacing w:after="0"/>
              <w:rPr>
                <w:sz w:val="24"/>
                <w:szCs w:val="24"/>
                <w:color w:val="auto"/>
              </w:rPr>
            </w:pPr>
          </w:p>
        </w:tc>
      </w:tr>
      <w:tr>
        <w:trPr>
          <w:trHeight w:val="183"/>
        </w:trPr>
        <w:tc>
          <w:tcPr>
            <w:tcW w:w="1080" w:type="dxa"/>
            <w:vAlign w:val="bottom"/>
          </w:tcPr>
          <w:p>
            <w:pPr>
              <w:spacing w:after="0"/>
              <w:rPr>
                <w:sz w:val="15"/>
                <w:szCs w:val="15"/>
                <w:color w:val="auto"/>
              </w:rPr>
            </w:pPr>
          </w:p>
        </w:tc>
        <w:tc>
          <w:tcPr>
            <w:tcW w:w="52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97">
              <w:r>
                <w:rPr>
                  <w:rFonts w:ascii="Arial" w:cs="Arial" w:eastAsia="Arial" w:hAnsi="Arial"/>
                  <w:sz w:val="18"/>
                  <w:szCs w:val="18"/>
                  <w:color w:val="0000EE"/>
                  <w:w w:val="99"/>
                </w:rPr>
                <w:t>to 18 U.S.C. Section 1350, as Adopted Pursuant to Section 906 of</w:t>
              </w:r>
            </w:hyperlink>
          </w:p>
        </w:tc>
        <w:tc>
          <w:tcPr>
            <w:tcW w:w="80" w:type="dxa"/>
            <w:vAlign w:val="bottom"/>
            <w:gridSpan w:val="3"/>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26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97">
              <w:r>
                <w:rPr>
                  <w:rFonts w:ascii="Arial" w:cs="Arial" w:eastAsia="Arial" w:hAnsi="Arial"/>
                  <w:sz w:val="18"/>
                  <w:szCs w:val="18"/>
                  <w:color w:val="0000EE"/>
                  <w:w w:val="99"/>
                </w:rPr>
                <w:t>the Sarbanes-Oxley Act of 2002.</w:t>
              </w:r>
            </w:hyperlink>
          </w:p>
        </w:tc>
        <w:tc>
          <w:tcPr>
            <w:tcW w:w="2740" w:type="dxa"/>
            <w:vAlign w:val="bottom"/>
            <w:gridSpan w:val="9"/>
          </w:tcPr>
          <w:p>
            <w:pPr>
              <w:spacing w:after="0"/>
              <w:rPr>
                <w:sz w:val="15"/>
                <w:szCs w:val="15"/>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34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3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3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1"/>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3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3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3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1" w:lineRule="exact"/>
        <w:rPr>
          <w:sz w:val="20"/>
          <w:szCs w:val="20"/>
          <w:color w:val="auto"/>
        </w:rPr>
      </w:pPr>
    </w:p>
    <w:p>
      <w:pPr>
        <w:jc w:val="both"/>
        <w:ind w:left="540" w:hanging="532"/>
        <w:spacing w:after="0" w:line="182" w:lineRule="auto"/>
        <w:tabs>
          <w:tab w:leader="none" w:pos="540" w:val="left"/>
        </w:tabs>
        <w:numPr>
          <w:ilvl w:val="0"/>
          <w:numId w:val="110"/>
        </w:numPr>
        <w:rPr>
          <w:rFonts w:ascii="Arial" w:cs="Arial" w:eastAsia="Arial" w:hAnsi="Arial"/>
          <w:sz w:val="23"/>
          <w:szCs w:val="23"/>
          <w:color w:val="auto"/>
          <w:vertAlign w:val="superscript"/>
        </w:rPr>
      </w:pPr>
      <w:r>
        <w:rPr>
          <w:rFonts w:ascii="Arial" w:cs="Arial" w:eastAsia="Arial" w:hAnsi="Arial"/>
          <w:sz w:val="14"/>
          <w:szCs w:val="14"/>
          <w:color w:val="auto"/>
        </w:rPr>
        <w:t>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w:t>
      </w:r>
    </w:p>
    <w:p>
      <w:pPr>
        <w:spacing w:after="0" w:line="1" w:lineRule="exact"/>
        <w:rPr>
          <w:sz w:val="20"/>
          <w:szCs w:val="20"/>
          <w:color w:val="auto"/>
        </w:rPr>
      </w:pPr>
    </w:p>
    <w:p>
      <w:pPr>
        <w:ind w:left="540"/>
        <w:spacing w:after="0" w:line="235" w:lineRule="auto"/>
        <w:rPr>
          <w:sz w:val="20"/>
          <w:szCs w:val="20"/>
          <w:color w:val="auto"/>
        </w:rPr>
      </w:pPr>
      <w:r>
        <w:rPr>
          <w:rFonts w:ascii="Arial" w:cs="Arial" w:eastAsia="Arial" w:hAnsi="Arial"/>
          <w:sz w:val="14"/>
          <w:szCs w:val="14"/>
          <w:color w:val="auto"/>
        </w:rPr>
        <w:t>after the date hereof irrespective of any general incorporation by reference language contained in any such filing, except to the extent that the registrant specifically incorporates it by reference.</w:t>
      </w:r>
    </w:p>
    <w:p>
      <w:pPr>
        <w:ind w:left="540" w:hanging="532"/>
        <w:spacing w:after="0" w:line="189" w:lineRule="auto"/>
        <w:tabs>
          <w:tab w:leader="none" w:pos="540" w:val="left"/>
        </w:tabs>
        <w:numPr>
          <w:ilvl w:val="0"/>
          <w:numId w:val="111"/>
        </w:numPr>
        <w:rPr>
          <w:rFonts w:ascii="Arial" w:cs="Arial" w:eastAsia="Arial" w:hAnsi="Arial"/>
          <w:sz w:val="18"/>
          <w:szCs w:val="18"/>
          <w:color w:val="auto"/>
          <w:vertAlign w:val="superscript"/>
        </w:rPr>
      </w:pPr>
      <w:r>
        <w:rPr>
          <w:rFonts w:ascii="Arial" w:cs="Arial" w:eastAsia="Arial" w:hAnsi="Arial"/>
          <w:sz w:val="11"/>
          <w:szCs w:val="11"/>
          <w:color w:val="auto"/>
        </w:rPr>
        <w:t>Indicates a management contract or compensatory plan.</w:t>
      </w:r>
    </w:p>
    <w:p>
      <w:pPr>
        <w:spacing w:after="0" w:line="8" w:lineRule="exact"/>
        <w:rPr>
          <w:sz w:val="20"/>
          <w:szCs w:val="20"/>
          <w:color w:val="auto"/>
        </w:rPr>
      </w:pPr>
    </w:p>
    <w:p>
      <w:pPr>
        <w:ind w:left="540" w:right="20" w:hanging="532"/>
        <w:spacing w:after="0" w:line="183" w:lineRule="auto"/>
        <w:tabs>
          <w:tab w:leader="none" w:pos="54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Athira Pharma, Inc.</w:t>
      </w:r>
    </w:p>
    <w:p>
      <w:pPr>
        <w:spacing w:after="0" w:line="247"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Leen Kawas</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ind w:left="60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79" w:lineRule="exact"/>
        <w:rPr>
          <w:sz w:val="20"/>
          <w:szCs w:val="20"/>
          <w:color w:val="auto"/>
        </w:rPr>
      </w:pPr>
    </w:p>
    <w:p>
      <w:pPr>
        <w:jc w:val="both"/>
        <w:ind w:firstLine="546"/>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Leen Kawas and Glenna Mileson,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205"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15"/>
                <w:szCs w:val="15"/>
                <w:color w:val="auto"/>
              </w:rPr>
            </w:pPr>
          </w:p>
        </w:tc>
        <w:tc>
          <w:tcPr>
            <w:tcW w:w="476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5"/>
                <w:szCs w:val="15"/>
                <w:color w:val="auto"/>
              </w:rPr>
            </w:pP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w:t>
            </w:r>
          </w:p>
        </w:tc>
      </w:tr>
      <w:tr>
        <w:trPr>
          <w:trHeight w:val="34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Leen Kawas</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w w:val="98"/>
              </w:rPr>
              <w:t>Leen Kawas</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3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Glenna Mileson</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rPr>
              <w:t>Glenna Mileson</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3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Tadataka Yamada</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Chairman of the Board of Directors</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w w:val="96"/>
              </w:rPr>
              <w:t>Tadataka Yamada</w:t>
            </w:r>
          </w:p>
        </w:tc>
        <w:tc>
          <w:tcPr>
            <w:tcW w:w="2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37"/>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Joseph Edelman</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w w:val="99"/>
              </w:rPr>
              <w:t>Joseph Edelman</w:t>
            </w:r>
          </w:p>
        </w:tc>
        <w:tc>
          <w:tcPr>
            <w:tcW w:w="2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3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M. Fluke, Jr.</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w w:val="99"/>
              </w:rPr>
              <w:t>John M. Fluke, Jr.</w:t>
            </w:r>
          </w:p>
        </w:tc>
        <w:tc>
          <w:tcPr>
            <w:tcW w:w="2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3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James A. Johnson</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w w:val="99"/>
              </w:rPr>
              <w:t>James A. Johnson</w:t>
            </w:r>
          </w:p>
        </w:tc>
        <w:tc>
          <w:tcPr>
            <w:tcW w:w="2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3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Barbara Kosacz</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w w:val="99"/>
              </w:rPr>
              <w:t>Barbara Kosacz</w:t>
            </w:r>
          </w:p>
        </w:tc>
        <w:tc>
          <w:tcPr>
            <w:tcW w:w="2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78"/>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Kelly A. Romano</w:t>
            </w:r>
          </w:p>
        </w:tc>
        <w:tc>
          <w:tcPr>
            <w:tcW w:w="50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2580" w:type="dxa"/>
            <w:vAlign w:val="bottom"/>
            <w:gridSpan w:val="2"/>
          </w:tcPr>
          <w:p>
            <w:pPr>
              <w:ind w:left="260"/>
              <w:spacing w:after="0"/>
              <w:rPr>
                <w:sz w:val="20"/>
                <w:szCs w:val="20"/>
                <w:color w:val="auto"/>
              </w:rPr>
            </w:pPr>
            <w:r>
              <w:rPr>
                <w:rFonts w:ascii="Arial" w:cs="Arial" w:eastAsia="Arial" w:hAnsi="Arial"/>
                <w:sz w:val="18"/>
                <w:szCs w:val="18"/>
                <w:color w:val="auto"/>
              </w:rPr>
              <w:t>March 25, 2021</w:t>
            </w:r>
          </w:p>
        </w:tc>
      </w:tr>
      <w:tr>
        <w:trPr>
          <w:trHeight w:val="223"/>
        </w:trPr>
        <w:tc>
          <w:tcPr>
            <w:tcW w:w="3600" w:type="dxa"/>
            <w:vAlign w:val="bottom"/>
          </w:tcPr>
          <w:p>
            <w:pPr>
              <w:jc w:val="center"/>
              <w:spacing w:after="0"/>
              <w:rPr>
                <w:sz w:val="20"/>
                <w:szCs w:val="20"/>
                <w:color w:val="auto"/>
              </w:rPr>
            </w:pPr>
            <w:r>
              <w:rPr>
                <w:rFonts w:ascii="Arial" w:cs="Arial" w:eastAsia="Arial" w:hAnsi="Arial"/>
                <w:sz w:val="18"/>
                <w:szCs w:val="18"/>
                <w:color w:val="auto"/>
                <w:w w:val="99"/>
              </w:rPr>
              <w:t>Kelly A. Romano</w:t>
            </w:r>
          </w:p>
        </w:tc>
        <w:tc>
          <w:tcPr>
            <w:tcW w:w="2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796"/>
        </w:trPr>
        <w:tc>
          <w:tcPr>
            <w:tcW w:w="3600" w:type="dxa"/>
            <w:vAlign w:val="bottom"/>
          </w:tcPr>
          <w:p>
            <w:pPr>
              <w:spacing w:after="0"/>
              <w:rPr>
                <w:sz w:val="24"/>
                <w:szCs w:val="24"/>
                <w:color w:val="auto"/>
              </w:rPr>
            </w:pPr>
          </w:p>
        </w:tc>
        <w:tc>
          <w:tcPr>
            <w:tcW w:w="5040" w:type="dxa"/>
            <w:vAlign w:val="bottom"/>
            <w:gridSpan w:val="2"/>
          </w:tcPr>
          <w:p>
            <w:pPr>
              <w:ind w:left="1860"/>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jc w:val="center"/>
        <w:spacing w:after="0" w:line="235" w:lineRule="auto"/>
        <w:rPr>
          <w:sz w:val="20"/>
          <w:szCs w:val="20"/>
          <w:color w:val="auto"/>
        </w:rPr>
      </w:pPr>
      <w:r>
        <w:rPr>
          <w:rFonts w:ascii="Arial" w:cs="Arial" w:eastAsia="Arial" w:hAnsi="Arial"/>
          <w:sz w:val="20"/>
          <w:szCs w:val="20"/>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5"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As of December 31, 2020, we had one class of securities, our common stock, registered under Section 12 of the Securities Exchange Act of 1934, as amended. These securities are listed on the Nasdaq Global Select Market under the symbol “ATHA.”</w:t>
      </w:r>
    </w:p>
    <w:p>
      <w:pPr>
        <w:spacing w:after="0" w:line="197" w:lineRule="exact"/>
        <w:rPr>
          <w:sz w:val="20"/>
          <w:szCs w:val="20"/>
          <w:color w:val="auto"/>
        </w:rPr>
      </w:pPr>
    </w:p>
    <w:p>
      <w:pPr>
        <w:ind w:right="80" w:firstLine="576"/>
        <w:spacing w:after="0" w:line="246" w:lineRule="auto"/>
        <w:rPr>
          <w:sz w:val="20"/>
          <w:szCs w:val="20"/>
          <w:color w:val="auto"/>
        </w:rPr>
      </w:pPr>
      <w:r>
        <w:rPr>
          <w:rFonts w:ascii="Arial" w:cs="Arial" w:eastAsia="Arial" w:hAnsi="Arial"/>
          <w:sz w:val="18"/>
          <w:szCs w:val="18"/>
          <w:color w:val="auto"/>
        </w:rPr>
        <w:t>Our authorized capital stock consists of 900,000,000 shares of common stock, par value $0.0001 per share, and 100,000,000 shares of preferred stock, par value $0.0001 per share.</w:t>
      </w:r>
    </w:p>
    <w:p>
      <w:pPr>
        <w:spacing w:after="0" w:line="197" w:lineRule="exact"/>
        <w:rPr>
          <w:sz w:val="20"/>
          <w:szCs w:val="20"/>
          <w:color w:val="auto"/>
        </w:rPr>
      </w:pPr>
    </w:p>
    <w:p>
      <w:pPr>
        <w:ind w:right="160" w:firstLine="576"/>
        <w:spacing w:after="0" w:line="207" w:lineRule="exact"/>
        <w:rPr>
          <w:sz w:val="20"/>
          <w:szCs w:val="20"/>
          <w:color w:val="auto"/>
        </w:rPr>
      </w:pPr>
      <w:r>
        <w:rPr>
          <w:rFonts w:ascii="Arial" w:cs="Arial" w:eastAsia="Arial" w:hAnsi="Arial"/>
          <w:sz w:val="18"/>
          <w:szCs w:val="18"/>
          <w:color w:val="auto"/>
        </w:rPr>
        <w:t>The following is a summary of the rights of our common stock and preferred stock. This summary is not complete. For more detailed information, please see our certificate of incorporation and bylaws, which are filed as exhibits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2020, as filed on November 12,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right="280" w:firstLine="576"/>
        <w:spacing w:after="0" w:line="24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Under our investors’ rights agreement, as amended, certain holders of our common stock, or their transferees, have the right to require us to register the offer and sale of their shares, which we refer to as registration rights. We also register shares of common stock that we may issue under our equity compensation plans. Once we register these shares, they can be freely sold in the public market upon issuance and once vested, subject, in the case of shares held by affiliates, to volume limitations and any applicable contractual restrictions.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right="340" w:firstLine="576"/>
        <w:spacing w:after="0" w:line="24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2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our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Preferred Stock</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294" w:lineRule="exact"/>
        <w:rPr>
          <w:sz w:val="20"/>
          <w:szCs w:val="20"/>
          <w:color w:val="auto"/>
        </w:rPr>
      </w:pPr>
    </w:p>
    <w:p>
      <w:pPr>
        <w:ind w:right="2300"/>
        <w:spacing w:after="0" w:line="372"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spacing w:after="0" w:line="1" w:lineRule="exact"/>
        <w:rPr>
          <w:sz w:val="20"/>
          <w:szCs w:val="20"/>
          <w:color w:val="auto"/>
        </w:rPr>
      </w:pPr>
    </w:p>
    <w:p>
      <w:pPr>
        <w:ind w:right="280" w:firstLine="576"/>
        <w:spacing w:after="0"/>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95" w:lineRule="exact"/>
        <w:rPr>
          <w:sz w:val="20"/>
          <w:szCs w:val="20"/>
          <w:color w:val="auto"/>
        </w:rPr>
      </w:pPr>
    </w:p>
    <w:p>
      <w:pPr>
        <w:ind w:left="1300" w:right="60" w:hanging="442"/>
        <w:spacing w:after="0" w:line="24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88" w:lineRule="exact"/>
        <w:rPr>
          <w:rFonts w:ascii="Arial" w:cs="Arial" w:eastAsia="Arial" w:hAnsi="Arial"/>
          <w:sz w:val="18"/>
          <w:szCs w:val="18"/>
          <w:color w:val="auto"/>
        </w:rPr>
      </w:pPr>
    </w:p>
    <w:p>
      <w:pPr>
        <w:ind w:left="1300" w:hanging="442"/>
        <w:spacing w:after="0" w:line="238"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4" w:lineRule="exact"/>
        <w:rPr>
          <w:rFonts w:ascii="Arial" w:cs="Arial" w:eastAsia="Arial" w:hAnsi="Arial"/>
          <w:sz w:val="18"/>
          <w:szCs w:val="18"/>
          <w:color w:val="auto"/>
        </w:rPr>
      </w:pPr>
    </w:p>
    <w:p>
      <w:pPr>
        <w:jc w:val="both"/>
        <w:ind w:left="1300" w:right="320" w:hanging="442"/>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Section 203 defines a business combination to include: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88" w:lineRule="exact"/>
        <w:rPr>
          <w:rFonts w:ascii="Arial" w:cs="Arial" w:eastAsia="Arial" w:hAnsi="Arial"/>
          <w:sz w:val="18"/>
          <w:szCs w:val="18"/>
          <w:color w:val="auto"/>
        </w:rPr>
      </w:pPr>
    </w:p>
    <w:p>
      <w:pPr>
        <w:ind w:left="1300" w:right="840" w:hanging="442"/>
        <w:spacing w:after="0" w:line="24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88"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97" w:lineRule="exact"/>
        <w:rPr>
          <w:sz w:val="20"/>
          <w:szCs w:val="20"/>
          <w:color w:val="auto"/>
        </w:rPr>
      </w:pPr>
    </w:p>
    <w:p>
      <w:pPr>
        <w:ind w:left="1300" w:right="620" w:hanging="442"/>
        <w:spacing w:after="0" w:line="246"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88"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5"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97"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205" w:lineRule="exact"/>
        <w:rPr>
          <w:sz w:val="20"/>
          <w:szCs w:val="20"/>
          <w:color w:val="auto"/>
        </w:rPr>
      </w:pPr>
    </w:p>
    <w:p>
      <w:pPr>
        <w:ind w:right="540" w:firstLine="576"/>
        <w:spacing w:after="0" w:line="24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97" w:lineRule="exact"/>
        <w:rPr>
          <w:sz w:val="20"/>
          <w:szCs w:val="20"/>
          <w:color w:val="auto"/>
        </w:rPr>
      </w:pPr>
    </w:p>
    <w:p>
      <w:pPr>
        <w:ind w:left="1300" w:right="480" w:hanging="442"/>
        <w:spacing w:after="0" w:line="24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91" w:name="page192"/>
    <w:bookmarkEnd w:id="191"/>
    <w:p>
      <w:pPr>
        <w:ind w:left="1300" w:right="66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88" w:lineRule="exact"/>
        <w:rPr>
          <w:rFonts w:ascii="Arial" w:cs="Arial" w:eastAsia="Arial" w:hAnsi="Arial"/>
          <w:sz w:val="18"/>
          <w:szCs w:val="18"/>
          <w:color w:val="auto"/>
        </w:rPr>
      </w:pPr>
    </w:p>
    <w:p>
      <w:pPr>
        <w:ind w:left="1300" w:right="24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94"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88" w:lineRule="exact"/>
        <w:rPr>
          <w:rFonts w:ascii="Arial" w:cs="Arial" w:eastAsia="Arial" w:hAnsi="Arial"/>
          <w:sz w:val="18"/>
          <w:szCs w:val="18"/>
          <w:color w:val="auto"/>
        </w:rPr>
      </w:pPr>
    </w:p>
    <w:p>
      <w:pPr>
        <w:jc w:val="both"/>
        <w:ind w:left="1300" w:right="80" w:hanging="442"/>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94" w:lineRule="exact"/>
        <w:rPr>
          <w:rFonts w:ascii="Arial" w:cs="Arial" w:eastAsia="Arial" w:hAnsi="Arial"/>
          <w:sz w:val="18"/>
          <w:szCs w:val="18"/>
          <w:color w:val="auto"/>
        </w:rPr>
      </w:pPr>
    </w:p>
    <w:p>
      <w:pPr>
        <w:ind w:left="1300" w:right="20" w:hanging="442"/>
        <w:spacing w:after="0" w:line="237"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96"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197" w:lineRule="exact"/>
        <w:rPr>
          <w:sz w:val="20"/>
          <w:szCs w:val="20"/>
          <w:color w:val="auto"/>
        </w:rPr>
      </w:pPr>
    </w:p>
    <w:p>
      <w:pPr>
        <w:ind w:right="620" w:firstLine="576"/>
        <w:spacing w:after="0" w:line="24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6" w:lineRule="exact"/>
        <w:rPr>
          <w:sz w:val="20"/>
          <w:szCs w:val="20"/>
          <w:color w:val="auto"/>
        </w:rPr>
      </w:pPr>
    </w:p>
    <w:p>
      <w:pPr>
        <w:ind w:right="420" w:firstLine="576"/>
        <w:spacing w:after="0" w:line="24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ectPr>
          <w:pgSz w:w="11900" w:h="16838" w:orient="portrait"/>
          <w:cols w:equalWidth="0" w:num="1">
            <w:col w:w="11200"/>
          </w:cols>
          <w:pgMar w:left="320" w:top="463" w:right="37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 (Form S-8 No. 333-248910) pertaining to the 2020 Equity Incentive Plan, the 2020 Employee Stock Purchase Plan, and the 2014 Equity Incentive Plan, as amended, of Athira Pharma, Inc., of our report dated March 25, 2021, with respect to the consolidated financial statements of Athira Pharma, Inc. included in this Annual Report (Form 10-K) for the year ended December 31, 2020.</w:t>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25, 2021</w:t>
      </w:r>
    </w:p>
    <w:p>
      <w:pPr>
        <w:sectPr>
          <w:pgSz w:w="11900" w:h="16838" w:orient="portrait"/>
          <w:cols w:equalWidth="0" w:num="1">
            <w:col w:w="11240"/>
          </w:cols>
          <w:pgMar w:left="320" w:top="118"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Leen Kawas, certify that:</w:t>
      </w:r>
    </w:p>
    <w:p>
      <w:pPr>
        <w:spacing w:after="0" w:line="225" w:lineRule="exact"/>
        <w:rPr>
          <w:sz w:val="20"/>
          <w:szCs w:val="20"/>
          <w:color w:val="auto"/>
        </w:rPr>
      </w:pPr>
    </w:p>
    <w:p>
      <w:pPr>
        <w:ind w:left="860" w:hanging="852"/>
        <w:spacing w:after="0"/>
        <w:tabs>
          <w:tab w:leader="none" w:pos="8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Athira Pharma, Inc.;</w:t>
      </w:r>
    </w:p>
    <w:p>
      <w:pPr>
        <w:spacing w:after="0" w:line="225" w:lineRule="exact"/>
        <w:rPr>
          <w:rFonts w:ascii="Arial" w:cs="Arial" w:eastAsia="Arial" w:hAnsi="Arial"/>
          <w:sz w:val="18"/>
          <w:szCs w:val="18"/>
          <w:color w:val="auto"/>
        </w:rPr>
      </w:pPr>
    </w:p>
    <w:p>
      <w:pPr>
        <w:jc w:val="both"/>
        <w:ind w:left="860" w:right="180" w:hanging="852"/>
        <w:spacing w:after="0" w:line="263" w:lineRule="auto"/>
        <w:tabs>
          <w:tab w:leader="none" w:pos="8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60" w:right="140" w:hanging="852"/>
        <w:spacing w:after="0" w:line="308" w:lineRule="auto"/>
        <w:tabs>
          <w:tab w:leader="none" w:pos="8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60" w:right="100" w:hanging="852"/>
        <w:spacing w:after="0" w:line="277" w:lineRule="auto"/>
        <w:tabs>
          <w:tab w:leader="none" w:pos="8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700" w:right="140" w:hanging="842"/>
        <w:spacing w:after="0" w:line="286" w:lineRule="auto"/>
        <w:tabs>
          <w:tab w:leader="none" w:pos="170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00" w:right="100" w:hanging="842"/>
        <w:spacing w:after="0" w:line="263" w:lineRule="auto"/>
        <w:tabs>
          <w:tab w:leader="none" w:pos="1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700" w:right="200" w:hanging="842"/>
        <w:spacing w:after="0" w:line="286" w:lineRule="auto"/>
        <w:tabs>
          <w:tab w:leader="none" w:pos="170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60" w:right="60" w:hanging="852"/>
        <w:spacing w:after="0" w:line="342" w:lineRule="auto"/>
        <w:tabs>
          <w:tab w:leader="none" w:pos="8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00" w:right="40" w:hanging="842"/>
        <w:spacing w:after="0" w:line="342" w:lineRule="auto"/>
        <w:tabs>
          <w:tab w:leader="none" w:pos="17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00" w:right="340" w:hanging="842"/>
        <w:spacing w:after="0" w:line="277" w:lineRule="auto"/>
        <w:tabs>
          <w:tab w:leader="none" w:pos="1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Leen Kawas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Glenna Mileson, certify that:</w:t>
      </w:r>
    </w:p>
    <w:p>
      <w:pPr>
        <w:spacing w:after="0" w:line="225" w:lineRule="exact"/>
        <w:rPr>
          <w:sz w:val="20"/>
          <w:szCs w:val="20"/>
          <w:color w:val="auto"/>
        </w:rPr>
      </w:pPr>
    </w:p>
    <w:p>
      <w:pPr>
        <w:ind w:left="860" w:hanging="852"/>
        <w:spacing w:after="0"/>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Athira Pharma, Inc.;</w:t>
      </w:r>
    </w:p>
    <w:p>
      <w:pPr>
        <w:spacing w:after="0" w:line="225" w:lineRule="exact"/>
        <w:rPr>
          <w:rFonts w:ascii="Arial" w:cs="Arial" w:eastAsia="Arial" w:hAnsi="Arial"/>
          <w:sz w:val="18"/>
          <w:szCs w:val="18"/>
          <w:color w:val="auto"/>
        </w:rPr>
      </w:pPr>
    </w:p>
    <w:p>
      <w:pPr>
        <w:jc w:val="both"/>
        <w:ind w:left="860" w:right="180" w:hanging="852"/>
        <w:spacing w:after="0" w:line="263" w:lineRule="auto"/>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60" w:right="140" w:hanging="852"/>
        <w:spacing w:after="0" w:line="308" w:lineRule="auto"/>
        <w:tabs>
          <w:tab w:leader="none" w:pos="8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860" w:right="100" w:hanging="852"/>
        <w:spacing w:after="0" w:line="277" w:lineRule="auto"/>
        <w:tabs>
          <w:tab w:leader="none" w:pos="8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700" w:right="140" w:hanging="842"/>
        <w:spacing w:after="0" w:line="286" w:lineRule="auto"/>
        <w:tabs>
          <w:tab w:leader="none" w:pos="17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00" w:right="100" w:hanging="842"/>
        <w:spacing w:after="0" w:line="263" w:lineRule="auto"/>
        <w:tabs>
          <w:tab w:leader="none" w:pos="1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700" w:right="200" w:hanging="842"/>
        <w:spacing w:after="0" w:line="286" w:lineRule="auto"/>
        <w:tabs>
          <w:tab w:leader="none" w:pos="17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860" w:right="60" w:hanging="852"/>
        <w:spacing w:after="0" w:line="342" w:lineRule="auto"/>
        <w:tabs>
          <w:tab w:leader="none" w:pos="8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00" w:right="40" w:hanging="842"/>
        <w:spacing w:after="0" w:line="342" w:lineRule="auto"/>
        <w:tabs>
          <w:tab w:leader="none" w:pos="17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00" w:right="340" w:hanging="842"/>
        <w:spacing w:after="0" w:line="277" w:lineRule="auto"/>
        <w:tabs>
          <w:tab w:leader="none" w:pos="1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Glenna Mileson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460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35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 xml:space="preserve">In connection with the Annual Report of Athira Pharma, Inc. (the “Company”) on Form 10-K for the year ended December 31, 2020, as filed with the Securities and Exchange Commission on the date hereof (the “Report”), I, Leen Kawas, President and Chief Executive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of the Company, certify, pursuant to 18 U.S.C. Section 1350, as adopted pursuant to Section 906 of the Sarbanes-Oxley Act of 2002, that</w:t>
      </w:r>
      <w:r>
        <w:rPr>
          <w:rFonts w:ascii="Arial" w:cs="Arial" w:eastAsia="Arial" w:hAnsi="Arial"/>
          <w:sz w:val="18"/>
          <w:szCs w:val="18"/>
          <w:i w:val="1"/>
          <w:iCs w:val="1"/>
          <w:color w:val="auto"/>
        </w:rPr>
        <w:t xml:space="preserve"> </w:t>
      </w:r>
      <w:r>
        <w:rPr>
          <w:rFonts w:ascii="Arial" w:cs="Arial" w:eastAsia="Arial" w:hAnsi="Arial"/>
          <w:sz w:val="18"/>
          <w:szCs w:val="18"/>
          <w:color w:val="auto"/>
        </w:rPr>
        <w:t>to my knowledge:</w:t>
      </w:r>
    </w:p>
    <w:p>
      <w:pPr>
        <w:spacing w:after="0" w:line="187" w:lineRule="exact"/>
        <w:rPr>
          <w:sz w:val="20"/>
          <w:szCs w:val="20"/>
          <w:color w:val="auto"/>
        </w:rPr>
      </w:pPr>
    </w:p>
    <w:p>
      <w:pPr>
        <w:ind w:left="1120" w:hanging="748"/>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20" w:right="460" w:hanging="748"/>
        <w:spacing w:after="0" w:line="277" w:lineRule="auto"/>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Leen Kawas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114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2021</w:t>
      </w:r>
    </w:p>
    <w:p>
      <w:pPr>
        <w:spacing w:after="0" w:line="225"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140" w:firstLine="749"/>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35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220" w:firstLine="749"/>
        <w:spacing w:after="0" w:line="259" w:lineRule="auto"/>
        <w:rPr>
          <w:sz w:val="20"/>
          <w:szCs w:val="20"/>
          <w:color w:val="auto"/>
        </w:rPr>
      </w:pPr>
      <w:r>
        <w:rPr>
          <w:rFonts w:ascii="Arial" w:cs="Arial" w:eastAsia="Arial" w:hAnsi="Arial"/>
          <w:sz w:val="18"/>
          <w:szCs w:val="18"/>
          <w:color w:val="auto"/>
        </w:rPr>
        <w:t xml:space="preserve">In connection with the Annual Report of Athira Pharma, Inc. (the “Company”) on Form 10-K for the year ended December 31, 2020, as filed with the Securities and Exchange Commission on the date hereof (the “Report”), I, Glenna Mileson, Chief Financial Officer </w:t>
      </w:r>
      <w:r>
        <w:rPr>
          <w:rFonts w:ascii="Arial" w:cs="Arial" w:eastAsia="Arial" w:hAnsi="Arial"/>
          <w:sz w:val="18"/>
          <w:szCs w:val="18"/>
          <w:i w:val="1"/>
          <w:iCs w:val="1"/>
          <w:color w:val="auto"/>
        </w:rPr>
        <w:t>(Principal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Officer) </w:t>
      </w:r>
      <w:r>
        <w:rPr>
          <w:rFonts w:ascii="Arial" w:cs="Arial" w:eastAsia="Arial" w:hAnsi="Arial"/>
          <w:sz w:val="18"/>
          <w:szCs w:val="18"/>
          <w:color w:val="auto"/>
        </w:rPr>
        <w:t>of the Company, certify, pursuant to 18 U.S.C. Section 1350, as adopted pursuant to Section 906 of the Sarbanes-Oxley Act of 2002,</w:t>
      </w:r>
      <w:r>
        <w:rPr>
          <w:rFonts w:ascii="Arial" w:cs="Arial" w:eastAsia="Arial" w:hAnsi="Arial"/>
          <w:sz w:val="18"/>
          <w:szCs w:val="18"/>
          <w:i w:val="1"/>
          <w:iCs w:val="1"/>
          <w:color w:val="auto"/>
        </w:rPr>
        <w:t xml:space="preserve"> </w:t>
      </w:r>
      <w:r>
        <w:rPr>
          <w:rFonts w:ascii="Arial" w:cs="Arial" w:eastAsia="Arial" w:hAnsi="Arial"/>
          <w:sz w:val="18"/>
          <w:szCs w:val="18"/>
          <w:color w:val="auto"/>
        </w:rPr>
        <w:t>that to my knowledge:</w:t>
      </w:r>
    </w:p>
    <w:p>
      <w:pPr>
        <w:spacing w:after="0" w:line="187" w:lineRule="exact"/>
        <w:rPr>
          <w:sz w:val="20"/>
          <w:szCs w:val="20"/>
          <w:color w:val="auto"/>
        </w:rPr>
      </w:pPr>
    </w:p>
    <w:p>
      <w:pPr>
        <w:ind w:left="1120" w:hanging="748"/>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20" w:right="460" w:hanging="748"/>
        <w:spacing w:after="0" w:line="277" w:lineRule="auto"/>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Glenna Mileson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114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2021</w:t>
      </w:r>
    </w:p>
    <w:p>
      <w:pPr>
        <w:spacing w:after="0" w:line="225"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140" w:firstLine="749"/>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1)"/>
      <w:numFmt w:val="decimal"/>
      <w:start w:val="1"/>
    </w:lvl>
  </w:abstractNum>
  <w:abstractNum w:abstractNumId="8">
    <w:nsid w:val="5FF87E05"/>
    <w:multiLevelType w:val="hybridMultilevel"/>
    <w:lvl w:ilvl="0">
      <w:lvlJc w:val="left"/>
      <w:lvlText w:val="(%1)"/>
      <w:numFmt w:val="decimal"/>
      <w:start w:val="3"/>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1)"/>
      <w:numFmt w:val="lowerLetter"/>
      <w:start w:val="1"/>
    </w:lvl>
  </w:abstractNum>
  <w:abstractNum w:abstractNumId="64">
    <w:nsid w:val="57FC4FBB"/>
    <w:multiLevelType w:val="hybridMultilevel"/>
    <w:lvl w:ilvl="0">
      <w:lvlJc w:val="left"/>
      <w:lvlText w:val="(%1)"/>
      <w:numFmt w:val="lowerLetter"/>
      <w:start w:val="7"/>
    </w:lvl>
  </w:abstractNum>
  <w:abstractNum w:abstractNumId="65">
    <w:nsid w:val="CC1016F"/>
    <w:multiLevelType w:val="hybridMultilevel"/>
    <w:lvl w:ilvl="0">
      <w:lvlJc w:val="left"/>
      <w:lvlText w:val="(%1)"/>
      <w:numFmt w:val="lowerLetter"/>
      <w:start w:val="8"/>
    </w:lvl>
  </w:abstractNum>
  <w:abstractNum w:abstractNumId="66">
    <w:nsid w:val="43F18422"/>
    <w:multiLevelType w:val="hybridMultilevel"/>
    <w:lvl w:ilvl="0">
      <w:lvlJc w:val="left"/>
      <w:lvlText w:val="(%1)"/>
      <w:numFmt w:val="decimal"/>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1."/>
      <w:numFmt w:val="decimal"/>
      <w:start w:val="1"/>
    </w:lvl>
  </w:abstractNum>
  <w:abstractNum w:abstractNumId="75">
    <w:nsid w:val="5FB8011C"/>
    <w:multiLevelType w:val="hybridMultilevel"/>
    <w:lvl w:ilvl="0">
      <w:lvlJc w:val="left"/>
      <w:lvlText w:val="%1)"/>
      <w:numFmt w:val="decimal"/>
      <w:start w:val="3"/>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1."/>
      <w:numFmt w:val="decimal"/>
      <w:start w:val="9"/>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decimal"/>
      <w:start w:val="1"/>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1)"/>
      <w:numFmt w:val="decimal"/>
      <w:start w:val="1"/>
    </w:lvl>
  </w:abstractNum>
  <w:abstractNum w:abstractNumId="93">
    <w:nsid w:val="1D545C4D"/>
    <w:multiLevelType w:val="hybridMultilevel"/>
    <w:lvl w:ilvl="0">
      <w:lvlJc w:val="left"/>
      <w:lvlText w:val="•"/>
      <w:numFmt w:val="bullet"/>
      <w:start w:val="1"/>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1)"/>
      <w:numFmt w:val="decimal"/>
      <w:start w:val="2"/>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
      <w:numFmt w:val="bullet"/>
      <w:start w:val="1"/>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
      <w:numFmt w:val="bullet"/>
      <w:start w:val="1"/>
    </w:lvl>
  </w:abstractNum>
  <w:abstractNum w:abstractNumId="101">
    <w:nsid w:val="53584BCB"/>
    <w:multiLevelType w:val="hybridMultilevel"/>
    <w:lvl w:ilvl="0">
      <w:lvlJc w:val="left"/>
      <w:lvlText w:val="•"/>
      <w:numFmt w:val="bullet"/>
      <w:start w:val="1"/>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
      <w:numFmt w:val="bullet"/>
      <w:start w:val="1"/>
    </w:lvl>
  </w:abstractNum>
  <w:abstractNum w:abstractNumId="104">
    <w:nsid w:val="23D86AAC"/>
    <w:multiLevelType w:val="hybridMultilevel"/>
    <w:lvl w:ilvl="0">
      <w:lvlJc w:val="left"/>
      <w:lvlText w:val="(%1)"/>
      <w:numFmt w:val="decimal"/>
      <w:start w:val="1"/>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decimal"/>
      <w:start w:val="1"/>
    </w:lvl>
  </w:abstractNum>
  <w:abstractNum w:abstractNumId="107">
    <w:nsid w:val="E7FFA2B"/>
    <w:multiLevelType w:val="hybridMultilevel"/>
    <w:lvl w:ilvl="0">
      <w:lvlJc w:val="left"/>
      <w:lvlText w:val="(%1)"/>
      <w:numFmt w:val="decimal"/>
      <w:start w:val="2"/>
    </w:lvl>
  </w:abstractNum>
  <w:abstractNum w:abstractNumId="108">
    <w:nsid w:val="3C5991AA"/>
    <w:multiLevelType w:val="hybridMultilevel"/>
    <w:lvl w:ilvl="0">
      <w:lvlJc w:val="left"/>
      <w:lvlText w:val="(%1)"/>
      <w:numFmt w:val="decimal"/>
      <w:start w:val="3"/>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
      <w:numFmt w:val="bullet"/>
      <w:start w:val="1"/>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
      <w:numFmt w:val="bullet"/>
      <w:start w:val="1"/>
    </w:lvl>
  </w:abstractNum>
  <w:abstractNum w:abstractNumId="113">
    <w:nsid w:val="6C80EC70"/>
    <w:multiLevelType w:val="hybridMultilevel"/>
    <w:lvl w:ilvl="0">
      <w:lvlJc w:val="left"/>
      <w:lvlText w:val="•"/>
      <w:numFmt w:val="bullet"/>
      <w:start w:val="1"/>
    </w:lvl>
  </w:abstractNum>
  <w:abstractNum w:abstractNumId="114">
    <w:nsid w:val="379E21B5"/>
    <w:multiLevelType w:val="hybridMultilevel"/>
    <w:lvl w:ilvl="0">
      <w:lvlJc w:val="left"/>
      <w:lvlText w:val="•"/>
      <w:numFmt w:val="bullet"/>
      <w:start w:val="1"/>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43"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33" Type="http://schemas.openxmlformats.org/officeDocument/2006/relationships/hyperlink" Target="http://www.sec.gov/Archives/edgar/data/0001620463/000156459020042848/atha-ex31_91.htm" TargetMode="External"/><Relationship Id="rId234" Type="http://schemas.openxmlformats.org/officeDocument/2006/relationships/hyperlink" Target="http://www.sec.gov/Archives/edgar/data/0001620463/000156459020042848/atha-ex32_92.htm" TargetMode="External"/><Relationship Id="rId235" Type="http://schemas.openxmlformats.org/officeDocument/2006/relationships/hyperlink" Target="http://www.sec.gov/Archives/edgar/data/1620463/000156459020043324/atha-ex41_478.htm" TargetMode="External"/><Relationship Id="rId236" Type="http://schemas.openxmlformats.org/officeDocument/2006/relationships/hyperlink" Target="http://www.sec.gov/Archives/edgar/data/1620463/000156459020042848/atha-ex42_7.htm" TargetMode="External"/><Relationship Id="rId237" Type="http://schemas.openxmlformats.org/officeDocument/2006/relationships/hyperlink" Target="http://www.sec.gov/Archives/edgar/data/1620463/000156459020041369/atha-ex101_530.htm" TargetMode="External"/><Relationship Id="rId238" Type="http://schemas.openxmlformats.org/officeDocument/2006/relationships/hyperlink" Target="http://www.sec.gov/Archives/edgar/data/1620463/000156459020042848/atha-ex102_90.htm" TargetMode="External"/><Relationship Id="rId239" Type="http://schemas.openxmlformats.org/officeDocument/2006/relationships/hyperlink" Target="http://www.sec.gov/Archives/edgar/data/1620463/000156459020042848/atha-ex105_89.htm" TargetMode="External"/><Relationship Id="rId240" Type="http://schemas.openxmlformats.org/officeDocument/2006/relationships/hyperlink" Target="http://www.sec.gov/Archives/edgar/data/1620463/000156459020042848/atha-ex106_88.htm" TargetMode="External"/><Relationship Id="rId241" Type="http://schemas.openxmlformats.org/officeDocument/2006/relationships/hyperlink" Target="http://www.sec.gov/Archives/edgar/data/1620463/000156459020042848/atha-ex107_87.htm" TargetMode="External"/><Relationship Id="rId242" Type="http://schemas.openxmlformats.org/officeDocument/2006/relationships/hyperlink" Target="http://www.sec.gov/Archives/edgar/data/1620463/000156459020042848/atha-ex108_86.htm" TargetMode="External"/><Relationship Id="rId244" Type="http://schemas.openxmlformats.org/officeDocument/2006/relationships/hyperlink" Target="http://www.sec.gov/Archives/edgar/data/1620463/000156459020041369/atha-ex109_529.htm" TargetMode="External"/><Relationship Id="rId245" Type="http://schemas.openxmlformats.org/officeDocument/2006/relationships/hyperlink" Target="http://www.sec.gov/Archives/edgar/data/1620463/000156459020042848/atha-ex1010_85.htm" TargetMode="External"/><Relationship Id="rId246" Type="http://schemas.openxmlformats.org/officeDocument/2006/relationships/hyperlink" Target="http://www.sec.gov/Archives/edgar/data/1620463/000156459020042848/atha-ex1011_9.htm" TargetMode="External"/><Relationship Id="rId247" Type="http://schemas.openxmlformats.org/officeDocument/2006/relationships/hyperlink" Target="http://www.sec.gov/Archives/edgar/data/1620463/000156459020042848/atha-ex1012_84.htm" TargetMode="External"/><Relationship Id="rId248" Type="http://schemas.openxmlformats.org/officeDocument/2006/relationships/hyperlink" Target="http://www.sec.gov/Archives/edgar/data/1620463/000156459020042848/atha-ex1013_83.htm" TargetMode="External"/><Relationship Id="rId249" Type="http://schemas.openxmlformats.org/officeDocument/2006/relationships/hyperlink" Target="http://www.sec.gov/Archives/edgar/data/1620463/000156459020042848/atha-ex1014_535.htm" TargetMode="External"/><Relationship Id="rId250" Type="http://schemas.openxmlformats.org/officeDocument/2006/relationships/hyperlink" Target="http://www.sec.gov/Archives/edgar/data/1620463/000156459020042848/atha-ex1015_534.htm" TargetMode="External"/><Relationship Id="rId251" Type="http://schemas.openxmlformats.org/officeDocument/2006/relationships/hyperlink" Target="http://www.sec.gov/Archives/edgar/data/1620463/000156459020042848/atha-ex1016_533.htm" TargetMode="External"/><Relationship Id="rId252" Type="http://schemas.openxmlformats.org/officeDocument/2006/relationships/hyperlink" Target="http://www.sec.gov/Archives/edgar/data/1620463/000156459020042848/atha-ex1017_532.htm" TargetMode="External"/><Relationship Id="rId253" Type="http://schemas.openxmlformats.org/officeDocument/2006/relationships/hyperlink" Target="http://www.sec.gov/Archives/edgar/data/1620463/000156459020042848/atha-ex1018_531.htm" TargetMode="External"/><Relationship Id="rId254" Type="http://schemas.openxmlformats.org/officeDocument/2006/relationships/hyperlink" Target="http://www.sec.gov/Archives/edgar/data/1620463/000156459020042848/atha-ex1019_530.htm" TargetMode="External"/><Relationship Id="rId255" Type="http://schemas.openxmlformats.org/officeDocument/2006/relationships/hyperlink" Target="http://www.sec.gov/Archives/edgar/data/1620463/000156459020042848/atha-ex1020_529.htm" TargetMode="External"/><Relationship Id="rId256" Type="http://schemas.openxmlformats.org/officeDocument/2006/relationships/hyperlink" Target="http://www.sec.gov/Archives/edgar/data/1620463/000156459020043324/atha-ex1021_821.htm" TargetMode="External"/><Relationship Id="rId257" Type="http://schemas.openxmlformats.org/officeDocument/2006/relationships/hyperlink" Target="http://www.sec.gov/Archives/edgar/data/1620463/000156459020043324/atha-ex1022_820.htm" TargetMode="External"/><Relationship Id="rId258" Type="http://schemas.openxmlformats.org/officeDocument/2006/relationships/hyperlink" Target="http://www.sec.gov/Archives/edgar/data/000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2021-03-28T05:48:08Z</dcterms:created>
  <dcterms:modified xsi:type="dcterms:W3CDTF">2021-03-28T05:48:08Z</dcterms:modified>
</cp:coreProperties>
</file>