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Worthington Mark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LeonaBio,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LONA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CCO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2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be scheduled to vest monthly over a term of 48 months on the monthly anniversaries of the grant date, subject to the optionee continuing to be a Service Provider (as defined in the Issuer's 2026 Equity Incentive Plan) through the applicable vesting dates.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Mark Worthington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04/13/2026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61464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2026-04-13T15:50:42Z</dcterms:created>
  <dcterms:modified xsi:type="dcterms:W3CDTF">2026-04-13T15:50:42Z</dcterms:modified>
</cp:coreProperties>
</file>