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line="230" w:lineRule="auto"/>
        <w:rPr>
          <w:sz w:val="20"/>
          <w:szCs w:val="20"/>
          <w:color w:val="auto"/>
        </w:rPr>
      </w:pPr>
      <w:r>
        <w:rPr>
          <w:rFonts w:ascii="Arial" w:cs="Arial" w:eastAsia="Arial" w:hAnsi="Arial"/>
          <w:sz w:val="22"/>
          <w:szCs w:val="22"/>
          <w:b w:val="1"/>
          <w:bCs w:val="1"/>
          <w:color w:val="auto"/>
        </w:rPr>
        <w:t>PROXY STATEMENT PURSUANT TO SECTION 14(a)</w:t>
      </w:r>
    </w:p>
    <w:p>
      <w:pPr>
        <w:spacing w:after="0" w:line="1"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Athira Pharma,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Athirians,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Today, as you may have already seen, Richard Kayne suspended his proxy campaign. While this means that he will no longer be actively soliciting votes on his blue proxy card, votes submitted on that card will still be counted at the upcoming Annual Meeting.</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appreciate the strong support of our shareholders throughout this process and their recognition of the incredible talent and commitment of everyone at Athira.</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Because of your hard work and dedication to our patients and mission, we are well positioned as we enter a pivotal chapter, with topline results from the Phase 2 ACT-AD study expected by the end of June and other upcoming clinical milestones. Let’s keep up the great work.</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reminder, if you receive calls from the media, analysts, or other outside parties, please forward them to Julie Rathbun. And as always, if you have questions about what this means, please contact Mark Worthington.</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With this chapter nearly closed, we are looking forward to focusing all of our energy on advancing our product candidates for the benefit of patients and their caregivers. Thank you for continuing to keep patients at the center of what you do – your work and commitment to improving lives will make a huge difference for many people.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Warm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Litton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 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w:t>
      </w:r>
    </w:p>
    <w:p>
      <w:pPr>
        <w:sectPr>
          <w:pgSz w:w="11900" w:h="16838" w:orient="portrait"/>
          <w:cols w:equalWidth="0" w:num="1">
            <w:col w:w="11020"/>
          </w:cols>
          <w:pgMar w:left="440" w:top="274" w:right="43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2022-05-17T05:31:23Z</dcterms:created>
  <dcterms:modified xsi:type="dcterms:W3CDTF">2022-05-17T05:31:23Z</dcterms:modified>
</cp:coreProperties>
</file>