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1, 2026</w:t>
      </w:r>
    </w:p>
    <w:p>
      <w:pPr>
        <w:spacing w:after="0" w:line="27"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17"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FORM S</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8</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spacing w:after="0" w:line="236" w:lineRule="auto"/>
        <w:rPr>
          <w:sz w:val="20"/>
          <w:szCs w:val="20"/>
          <w:color w:val="auto"/>
        </w:rPr>
      </w:pPr>
      <w:r>
        <w:rPr>
          <w:rFonts w:ascii="Times New Roman" w:cs="Times New Roman" w:eastAsia="Times New Roman" w:hAnsi="Times New Roman"/>
          <w:sz w:val="20"/>
          <w:szCs w:val="20"/>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392"/>
        </w:trPr>
        <w:tc>
          <w:tcPr>
            <w:tcW w:w="3320" w:type="dxa"/>
            <w:vAlign w:val="bottom"/>
          </w:tcPr>
          <w:p>
            <w:pPr>
              <w:spacing w:after="0"/>
              <w:rPr>
                <w:sz w:val="24"/>
                <w:szCs w:val="24"/>
                <w:color w:val="auto"/>
              </w:rPr>
            </w:pPr>
          </w:p>
        </w:tc>
        <w:tc>
          <w:tcPr>
            <w:tcW w:w="7920" w:type="dxa"/>
            <w:vAlign w:val="bottom"/>
          </w:tcPr>
          <w:p>
            <w:pPr>
              <w:jc w:val="center"/>
              <w:ind w:right="3226"/>
              <w:spacing w:after="0"/>
              <w:rPr>
                <w:sz w:val="20"/>
                <w:szCs w:val="20"/>
                <w:color w:val="auto"/>
              </w:rPr>
            </w:pPr>
            <w:r>
              <w:rPr>
                <w:rFonts w:ascii="Times New Roman" w:cs="Times New Roman" w:eastAsia="Times New Roman" w:hAnsi="Times New Roman"/>
                <w:sz w:val="32"/>
                <w:szCs w:val="32"/>
                <w:b w:val="1"/>
                <w:bCs w:val="1"/>
                <w:color w:val="auto"/>
              </w:rPr>
              <w:t>LEONABIO, INC.</w:t>
            </w:r>
          </w:p>
        </w:tc>
      </w:tr>
      <w:tr>
        <w:trPr>
          <w:trHeight w:val="211"/>
        </w:trPr>
        <w:tc>
          <w:tcPr>
            <w:tcW w:w="3320" w:type="dxa"/>
            <w:vAlign w:val="bottom"/>
          </w:tcPr>
          <w:p>
            <w:pPr>
              <w:spacing w:after="0"/>
              <w:rPr>
                <w:sz w:val="18"/>
                <w:szCs w:val="18"/>
                <w:color w:val="auto"/>
              </w:rPr>
            </w:pPr>
          </w:p>
        </w:tc>
        <w:tc>
          <w:tcPr>
            <w:tcW w:w="7920" w:type="dxa"/>
            <w:vAlign w:val="bottom"/>
          </w:tcPr>
          <w:p>
            <w:pPr>
              <w:jc w:val="center"/>
              <w:ind w:right="322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99"/>
        </w:trPr>
        <w:tc>
          <w:tcPr>
            <w:tcW w:w="3320" w:type="dxa"/>
            <w:vAlign w:val="bottom"/>
            <w:tcBorders>
              <w:bottom w:val="single" w:sz="8" w:color="auto"/>
            </w:tcBorders>
          </w:tcPr>
          <w:p>
            <w:pPr>
              <w:spacing w:after="0"/>
              <w:rPr>
                <w:sz w:val="8"/>
                <w:szCs w:val="8"/>
                <w:color w:val="auto"/>
              </w:rPr>
            </w:pPr>
          </w:p>
        </w:tc>
        <w:tc>
          <w:tcPr>
            <w:tcW w:w="7920" w:type="dxa"/>
            <w:vAlign w:val="bottom"/>
            <w:tcBorders>
              <w:bottom w:val="single" w:sz="8" w:color="auto"/>
            </w:tcBorders>
          </w:tcPr>
          <w:p>
            <w:pPr>
              <w:spacing w:after="0"/>
              <w:rPr>
                <w:sz w:val="8"/>
                <w:szCs w:val="8"/>
                <w:color w:val="auto"/>
              </w:rPr>
            </w:pPr>
          </w:p>
        </w:tc>
      </w:tr>
      <w:tr>
        <w:trPr>
          <w:trHeight w:val="263"/>
        </w:trPr>
        <w:tc>
          <w:tcPr>
            <w:tcW w:w="3320" w:type="dxa"/>
            <w:vAlign w:val="bottom"/>
          </w:tcPr>
          <w:p>
            <w:pPr>
              <w:jc w:val="center"/>
              <w:ind w:left="40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920" w:type="dxa"/>
            <w:vAlign w:val="bottom"/>
          </w:tcPr>
          <w:p>
            <w:pPr>
              <w:jc w:val="center"/>
              <w:ind w:left="3846"/>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47"/>
        </w:trPr>
        <w:tc>
          <w:tcPr>
            <w:tcW w:w="3320" w:type="dxa"/>
            <w:vAlign w:val="bottom"/>
          </w:tcPr>
          <w:p>
            <w:pPr>
              <w:jc w:val="center"/>
              <w:ind w:left="38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920" w:type="dxa"/>
            <w:vAlign w:val="bottom"/>
          </w:tcPr>
          <w:p>
            <w:pPr>
              <w:jc w:val="center"/>
              <w:ind w:left="3846"/>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320" w:type="dxa"/>
            <w:vAlign w:val="bottom"/>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920" w:type="dxa"/>
            <w:vAlign w:val="bottom"/>
          </w:tcPr>
          <w:p>
            <w:pPr>
              <w:jc w:val="center"/>
              <w:ind w:left="384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18706 North Creek Parkway, Suite 104</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Bothell, WA 98011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Employee Stock Purchase Plan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Litton, Ph.D.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LeonaBio,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18706 North Creek Parkway, Suite 104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Bothell, WA 98011</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(425) 620-8501</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4" w:lineRule="exact"/>
        <w:rPr>
          <w:sz w:val="24"/>
          <w:szCs w:val="24"/>
          <w:color w:val="auto"/>
        </w:rPr>
      </w:pPr>
    </w:p>
    <w:tbl>
      <w:tblPr>
        <w:tblLayout w:type="fixed"/>
        <w:tblInd w:w="1740"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Copies to:</w:t>
            </w:r>
          </w:p>
        </w:tc>
      </w:tr>
      <w:tr>
        <w:trPr>
          <w:trHeight w:val="270"/>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Michael Nordtvedt</w:t>
            </w:r>
          </w:p>
        </w:tc>
        <w:tc>
          <w:tcPr>
            <w:tcW w:w="6140" w:type="dxa"/>
            <w:vAlign w:val="bottom"/>
          </w:tcPr>
          <w:p>
            <w:pPr>
              <w:jc w:val="center"/>
              <w:ind w:left="1460"/>
              <w:spacing w:after="0"/>
              <w:rPr>
                <w:sz w:val="20"/>
                <w:szCs w:val="20"/>
                <w:color w:val="auto"/>
              </w:rPr>
            </w:pPr>
            <w:r>
              <w:rPr>
                <w:rFonts w:ascii="Times New Roman" w:cs="Times New Roman" w:eastAsia="Times New Roman" w:hAnsi="Times New Roman"/>
                <w:sz w:val="16"/>
                <w:szCs w:val="16"/>
                <w:b w:val="1"/>
                <w:bCs w:val="1"/>
                <w:color w:val="auto"/>
                <w:w w:val="99"/>
              </w:rPr>
              <w:t>Mark Worthington</w:t>
            </w:r>
          </w:p>
        </w:tc>
      </w:tr>
      <w:tr>
        <w:trPr>
          <w:trHeight w:val="202"/>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Bryan D. King</w:t>
            </w:r>
          </w:p>
        </w:tc>
        <w:tc>
          <w:tcPr>
            <w:tcW w:w="6140" w:type="dxa"/>
            <w:vAlign w:val="bottom"/>
          </w:tcPr>
          <w:p>
            <w:pPr>
              <w:jc w:val="center"/>
              <w:ind w:left="1460"/>
              <w:spacing w:after="0"/>
              <w:rPr>
                <w:sz w:val="20"/>
                <w:szCs w:val="20"/>
                <w:color w:val="auto"/>
              </w:rPr>
            </w:pPr>
            <w:r>
              <w:rPr>
                <w:rFonts w:ascii="Times New Roman" w:cs="Times New Roman" w:eastAsia="Times New Roman" w:hAnsi="Times New Roman"/>
                <w:sz w:val="16"/>
                <w:szCs w:val="16"/>
                <w:b w:val="1"/>
                <w:bCs w:val="1"/>
                <w:color w:val="auto"/>
                <w:w w:val="99"/>
              </w:rPr>
              <w:t>General Counsel, Chief Compliance Officer &amp; Corporate Secretary</w:t>
            </w:r>
          </w:p>
        </w:tc>
      </w:tr>
      <w:tr>
        <w:trPr>
          <w:trHeight w:val="200"/>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color w:val="auto"/>
                <w:w w:val="99"/>
              </w:rPr>
              <w:t>Wilson Sonsini Goodrich &amp; Rosati,</w:t>
            </w:r>
          </w:p>
        </w:tc>
        <w:tc>
          <w:tcPr>
            <w:tcW w:w="6140" w:type="dxa"/>
            <w:vAlign w:val="bottom"/>
          </w:tcPr>
          <w:p>
            <w:pPr>
              <w:jc w:val="center"/>
              <w:ind w:left="1460"/>
              <w:spacing w:after="0"/>
              <w:rPr>
                <w:sz w:val="20"/>
                <w:szCs w:val="20"/>
                <w:color w:val="auto"/>
              </w:rPr>
            </w:pPr>
            <w:r>
              <w:rPr>
                <w:rFonts w:ascii="Times New Roman" w:cs="Times New Roman" w:eastAsia="Times New Roman" w:hAnsi="Times New Roman"/>
                <w:sz w:val="16"/>
                <w:szCs w:val="16"/>
                <w:color w:val="auto"/>
              </w:rPr>
              <w:t>LeonaBio, Inc.</w:t>
            </w:r>
          </w:p>
        </w:tc>
      </w:tr>
      <w:tr>
        <w:trPr>
          <w:trHeight w:val="200"/>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color w:val="auto"/>
                <w:w w:val="99"/>
              </w:rPr>
              <w:t>Professional Corporation</w:t>
            </w:r>
          </w:p>
        </w:tc>
        <w:tc>
          <w:tcPr>
            <w:tcW w:w="6140" w:type="dxa"/>
            <w:vAlign w:val="bottom"/>
          </w:tcPr>
          <w:p>
            <w:pPr>
              <w:jc w:val="center"/>
              <w:ind w:left="1420"/>
              <w:spacing w:after="0"/>
              <w:rPr>
                <w:sz w:val="20"/>
                <w:szCs w:val="20"/>
                <w:color w:val="auto"/>
              </w:rPr>
            </w:pPr>
            <w:r>
              <w:rPr>
                <w:rFonts w:ascii="Times New Roman" w:cs="Times New Roman" w:eastAsia="Times New Roman" w:hAnsi="Times New Roman"/>
                <w:sz w:val="16"/>
                <w:szCs w:val="16"/>
                <w:color w:val="auto"/>
                <w:w w:val="99"/>
              </w:rPr>
              <w:t>18706 North Creek Parkway, Suite 104</w:t>
            </w:r>
          </w:p>
        </w:tc>
      </w:tr>
      <w:tr>
        <w:trPr>
          <w:trHeight w:val="200"/>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color w:val="auto"/>
                <w:w w:val="99"/>
              </w:rPr>
              <w:t>701 Fifth Avenue</w:t>
            </w:r>
          </w:p>
        </w:tc>
        <w:tc>
          <w:tcPr>
            <w:tcW w:w="6140" w:type="dxa"/>
            <w:vAlign w:val="bottom"/>
          </w:tcPr>
          <w:p>
            <w:pPr>
              <w:jc w:val="center"/>
              <w:ind w:left="1460"/>
              <w:spacing w:after="0"/>
              <w:rPr>
                <w:sz w:val="20"/>
                <w:szCs w:val="20"/>
                <w:color w:val="auto"/>
              </w:rPr>
            </w:pPr>
            <w:r>
              <w:rPr>
                <w:rFonts w:ascii="Times New Roman" w:cs="Times New Roman" w:eastAsia="Times New Roman" w:hAnsi="Times New Roman"/>
                <w:sz w:val="16"/>
                <w:szCs w:val="16"/>
                <w:color w:val="auto"/>
                <w:w w:val="99"/>
              </w:rPr>
              <w:t>Bothell, Washington 98011</w:t>
            </w:r>
          </w:p>
        </w:tc>
      </w:tr>
      <w:tr>
        <w:trPr>
          <w:trHeight w:val="200"/>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color w:val="auto"/>
                <w:w w:val="98"/>
              </w:rPr>
              <w:t>Suite 5100</w:t>
            </w:r>
          </w:p>
        </w:tc>
        <w:tc>
          <w:tcPr>
            <w:tcW w:w="6140" w:type="dxa"/>
            <w:vAlign w:val="bottom"/>
          </w:tcPr>
          <w:p>
            <w:pPr>
              <w:jc w:val="center"/>
              <w:ind w:left="1460"/>
              <w:spacing w:after="0"/>
              <w:rPr>
                <w:sz w:val="20"/>
                <w:szCs w:val="20"/>
                <w:color w:val="auto"/>
              </w:rPr>
            </w:pPr>
            <w:r>
              <w:rPr>
                <w:rFonts w:ascii="Times New Roman" w:cs="Times New Roman" w:eastAsia="Times New Roman" w:hAnsi="Times New Roman"/>
                <w:sz w:val="16"/>
                <w:szCs w:val="16"/>
                <w:color w:val="auto"/>
                <w:w w:val="99"/>
              </w:rPr>
              <w:t>(425) 620-8501</w:t>
            </w:r>
          </w:p>
        </w:tc>
      </w:tr>
      <w:tr>
        <w:trPr>
          <w:trHeight w:val="200"/>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color w:val="auto"/>
              </w:rPr>
              <w:t>Seattle, WA 98104-7036</w:t>
            </w:r>
          </w:p>
        </w:tc>
        <w:tc>
          <w:tcPr>
            <w:tcW w:w="6140" w:type="dxa"/>
            <w:vAlign w:val="bottom"/>
          </w:tcPr>
          <w:p>
            <w:pPr>
              <w:spacing w:after="0"/>
              <w:rPr>
                <w:sz w:val="17"/>
                <w:szCs w:val="17"/>
                <w:color w:val="auto"/>
              </w:rPr>
            </w:pPr>
          </w:p>
        </w:tc>
      </w:tr>
      <w:tr>
        <w:trPr>
          <w:trHeight w:val="209"/>
        </w:trPr>
        <w:tc>
          <w:tcPr>
            <w:tcW w:w="2920" w:type="dxa"/>
            <w:vAlign w:val="bottom"/>
          </w:tcPr>
          <w:p>
            <w:pPr>
              <w:jc w:val="center"/>
              <w:ind w:right="560"/>
              <w:spacing w:after="0"/>
              <w:rPr>
                <w:sz w:val="20"/>
                <w:szCs w:val="20"/>
                <w:color w:val="auto"/>
              </w:rPr>
            </w:pPr>
            <w:r>
              <w:rPr>
                <w:rFonts w:ascii="Times New Roman" w:cs="Times New Roman" w:eastAsia="Times New Roman" w:hAnsi="Times New Roman"/>
                <w:sz w:val="16"/>
                <w:szCs w:val="16"/>
                <w:color w:val="auto"/>
                <w:w w:val="99"/>
              </w:rPr>
              <w:t>(206) 883-2500</w:t>
            </w:r>
          </w:p>
        </w:tc>
        <w:tc>
          <w:tcPr>
            <w:tcW w:w="61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69"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93" w:right="339" w:bottom="1440" w:gutter="0" w:footer="0" w:header="0"/>
        </w:sectPr>
      </w:pPr>
    </w:p>
    <w:p>
      <w:pPr>
        <w:spacing w:after="0" w:line="11"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66" w:lineRule="exact"/>
        <w:rPr>
          <w:sz w:val="24"/>
          <w:szCs w:val="24"/>
          <w:color w:val="auto"/>
        </w:rPr>
      </w:pPr>
    </w:p>
    <w:p>
      <w:pPr>
        <w:ind w:left="20"/>
        <w:spacing w:after="0" w:line="173" w:lineRule="exact"/>
        <w:tabs>
          <w:tab w:leader="none" w:pos="140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ind w:left="64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6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65" w:lineRule="exact"/>
        <w:rPr>
          <w:sz w:val="24"/>
          <w:szCs w:val="24"/>
          <w:color w:val="auto"/>
        </w:rPr>
      </w:pPr>
    </w:p>
    <w:p>
      <w:pPr>
        <w:sectPr>
          <w:pgSz w:w="11900" w:h="16838" w:orient="portrait"/>
          <w:cols w:equalWidth="0" w:num="2">
            <w:col w:w="8680" w:space="720"/>
            <w:col w:w="1840"/>
          </w:cols>
          <w:pgMar w:left="320" w:top="1393" w:right="339" w:bottom="1440" w:gutter="0" w:footer="0" w:header="0"/>
          <w:type w:val="continuous"/>
        </w:sectPr>
      </w:pPr>
    </w:p>
    <w:p>
      <w:pPr>
        <w:spacing w:after="0" w:line="21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928370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2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Registration Statement on Form S-8 (the “Registration Statement”) is filed by LeonaBio, Inc. (the “Registrant”) for the purpose of registering 64,600 shares of common stock of the Registrant reserved for issuance under the LeonaBio, Inc. 2020 Employee Stock Purchase Plan (the “2020 ESPP”), pursuant to the provision of the 2020 ESPP providing for such automatic increase in the number of shares reserved for issuance. Accordingly, contents of the previous Registration Statements on Form S-8 filed by the Registrant with the Securities and Exchange Commission (the “Commission”), (1) September 18, 2020 (File No. 333-248910), (2) March 26, 2021 (File No. 333-254735), (3) March 28, 2022 (File No. 333-263907), (4) March 23, 2023 (File No. 333-270792),</w:t>
      </w:r>
    </w:p>
    <w:p>
      <w:pPr>
        <w:ind w:right="680" w:firstLine="7"/>
        <w:spacing w:after="0" w:line="251" w:lineRule="auto"/>
        <w:tabs>
          <w:tab w:leader="none" w:pos="2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22, 2024 (File No. 333-277276), and (6) February 27, 2025 (File No. 333-285345) (together, the “Previous Forms S-8”), including the information incorporated by reference therein and the periodic reports filed after the Previous Forms S-8 to maintain current information about the Registrant, are incorporated by reference into this Registration Statement pursuant to General Instruction E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660400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93" w:right="3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0" w:lineRule="exact"/>
        <w:rPr>
          <w:sz w:val="20"/>
          <w:szCs w:val="20"/>
          <w:color w:val="auto"/>
        </w:rPr>
      </w:pPr>
    </w:p>
    <w:p>
      <w:pPr>
        <w:ind w:right="240" w:firstLine="7"/>
        <w:spacing w:after="0" w:line="277"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2025, filed with the Commission on </w:t>
      </w:r>
      <w:hyperlink r:id="rId19">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“2025 Form 10-K”) pursuant to Section 13(a) under the Securities Exchange Act of 1934, as amended (the “Exchange Act”);</w:t>
      </w:r>
    </w:p>
    <w:p>
      <w:pPr>
        <w:spacing w:after="0" w:line="163" w:lineRule="exact"/>
        <w:rPr>
          <w:rFonts w:ascii="Times New Roman" w:cs="Times New Roman" w:eastAsia="Times New Roman" w:hAnsi="Times New Roman"/>
          <w:sz w:val="18"/>
          <w:szCs w:val="18"/>
          <w:color w:val="auto"/>
        </w:rPr>
      </w:pPr>
    </w:p>
    <w:p>
      <w:pPr>
        <w:ind w:right="40" w:firstLine="7"/>
        <w:spacing w:after="0" w:line="277"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Exchange Act (other than the reports, or portions thereof, deemed to have been furnished and not filed with the Commission) since the end of the fiscal year covered by the 2025 Form 10-K; and</w:t>
      </w:r>
    </w:p>
    <w:p>
      <w:pPr>
        <w:spacing w:after="0" w:line="163" w:lineRule="exact"/>
        <w:rPr>
          <w:rFonts w:ascii="Times New Roman" w:cs="Times New Roman" w:eastAsia="Times New Roman" w:hAnsi="Times New Roman"/>
          <w:sz w:val="18"/>
          <w:szCs w:val="18"/>
          <w:color w:val="auto"/>
        </w:rPr>
      </w:pPr>
    </w:p>
    <w:p>
      <w:pPr>
        <w:ind w:firstLine="7"/>
        <w:spacing w:after="0" w:line="262"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the Registrant’s Registration Statement on Form 8-A (File No. 001-39503) filed with the Commission on September 9, 2020, pursuant to Section 12(b) of the Exchange Act, including any amendment or report filed for the purpose of updating such description.</w:t>
      </w:r>
    </w:p>
    <w:p>
      <w:pPr>
        <w:spacing w:after="0" w:line="17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654685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2"/>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87"/>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31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3780" w:type="dxa"/>
            <w:vAlign w:val="bottom"/>
            <w:tcBorders>
              <w:bottom w:val="single" w:sz="8" w:color="0000EE"/>
            </w:tcBorders>
          </w:tcPr>
          <w:p>
            <w:pPr>
              <w:spacing w:after="0"/>
              <w:rPr>
                <w:rFonts w:ascii="Times New Roman" w:cs="Times New Roman" w:eastAsia="Times New Roman" w:hAnsi="Times New Roman"/>
                <w:sz w:val="18"/>
                <w:szCs w:val="18"/>
                <w:color w:val="0000FF"/>
                <w:w w:val="98"/>
              </w:rPr>
            </w:pPr>
            <w:hyperlink r:id="rId21">
              <w:r>
                <w:rPr>
                  <w:rFonts w:ascii="Times New Roman" w:cs="Times New Roman" w:eastAsia="Times New Roman" w:hAnsi="Times New Roman"/>
                  <w:sz w:val="18"/>
                  <w:szCs w:val="18"/>
                  <w:color w:val="0000FF"/>
                  <w:w w:val="98"/>
                </w:rPr>
                <w:t>Specimen common stock certificate of the Registrant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-7620</wp:posOffset>
            </wp:positionV>
            <wp:extent cx="27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322" w:lineRule="exact"/>
        <w:rPr>
          <w:sz w:val="20"/>
          <w:szCs w:val="20"/>
          <w:color w:val="auto"/>
        </w:rPr>
      </w:pPr>
    </w:p>
    <w:p>
      <w:pPr>
        <w:ind w:left="680" w:hanging="680"/>
        <w:spacing w:after="0" w:line="277" w:lineRule="auto"/>
        <w:tabs>
          <w:tab w:leader="none" w:pos="6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99.2</w:t>
      </w:r>
      <w:r>
        <w:rPr>
          <w:sz w:val="20"/>
          <w:szCs w:val="20"/>
          <w:color w:val="auto"/>
        </w:rPr>
        <w:tab/>
      </w:r>
      <w:hyperlink r:id="rId23">
        <w:r>
          <w:rPr>
            <w:rFonts w:ascii="Times New Roman" w:cs="Times New Roman" w:eastAsia="Times New Roman" w:hAnsi="Times New Roman"/>
            <w:sz w:val="18"/>
            <w:szCs w:val="18"/>
            <w:color w:val="0000FF"/>
          </w:rPr>
          <w:t>2020 Employee Stock Purchase Plan, as amended and Form of Subscription</w:t>
        </w:r>
      </w:hyperlink>
      <w:r>
        <w:rPr>
          <w:rFonts w:ascii="Times New Roman" w:cs="Times New Roman" w:eastAsia="Times New Roman" w:hAnsi="Times New Roman"/>
          <w:sz w:val="18"/>
          <w:szCs w:val="18"/>
          <w:color w:val="0000FF"/>
        </w:rPr>
        <w:t xml:space="preserve"> </w:t>
      </w:r>
      <w:hyperlink r:id="rId23">
        <w:r>
          <w:rPr>
            <w:rFonts w:ascii="Times New Roman" w:cs="Times New Roman" w:eastAsia="Times New Roman" w:hAnsi="Times New Roman"/>
            <w:sz w:val="18"/>
            <w:szCs w:val="18"/>
            <w:color w:val="0000FF"/>
          </w:rPr>
          <w:t>Agreement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-180975</wp:posOffset>
            </wp:positionV>
            <wp:extent cx="3466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46646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-45085</wp:posOffset>
            </wp:positionV>
            <wp:extent cx="1014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0000FF"/>
        </w:rPr>
        <w:t>Opinion of 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-8890</wp:posOffset>
            </wp:positionV>
            <wp:extent cx="3294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1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-8890</wp:posOffset>
            </wp:positionV>
            <wp:extent cx="2712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712720" cy="8255"/>
                    </a:xfrm>
                    <a:prstGeom prst="rect">
                      <a:avLst/>
                    </a:prstGeom>
                    <a:noFill/>
                  </pic:spPr>
                </pic:pic>
              </a:graphicData>
            </a:graphic>
          </wp:anchor>
        </w:drawing>
      </w:r>
    </w:p>
    <w:p>
      <w:pPr>
        <w:spacing w:after="0" w:line="107" w:lineRule="exact"/>
        <w:rPr>
          <w:sz w:val="20"/>
          <w:szCs w:val="20"/>
          <w:color w:val="auto"/>
        </w:rPr>
      </w:pPr>
    </w:p>
    <w:p>
      <w:pPr>
        <w:ind w:left="680" w:right="220" w:hanging="680"/>
        <w:spacing w:after="0" w:line="277" w:lineRule="auto"/>
        <w:tabs>
          <w:tab w:leader="none" w:pos="6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Wilson Sonsini Goodrich &amp; Rosati, Professional Corporation (contained in Exhibit 5.1 hereto)</w:t>
      </w:r>
    </w:p>
    <w:p>
      <w:pPr>
        <w:spacing w:after="0" w:line="7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Power of Attorney (contained on signature page hereto)</w:t>
      </w:r>
    </w:p>
    <w:p>
      <w:pPr>
        <w:spacing w:after="0" w:line="127" w:lineRule="exact"/>
        <w:rPr>
          <w:sz w:val="20"/>
          <w:szCs w:val="20"/>
          <w:color w:val="auto"/>
        </w:rPr>
      </w:pPr>
    </w:p>
    <w:p>
      <w:pPr>
        <w:ind w:left="680" w:hanging="67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1199515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-8890</wp:posOffset>
            </wp:positionV>
            <wp:extent cx="747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440" w:type="dxa"/>
            <w:vAlign w:val="bottom"/>
          </w:tcPr>
          <w:p>
            <w:pPr>
              <w:spacing w:after="0"/>
              <w:rPr>
                <w:sz w:val="13"/>
                <w:szCs w:val="13"/>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12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333-292826</w:t>
            </w: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January 20,</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315"/>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80" w:type="dxa"/>
            <w:vAlign w:val="bottom"/>
            <w:vMerge w:val="restart"/>
          </w:tcPr>
          <w:p>
            <w:pPr>
              <w:jc w:val="right"/>
              <w:ind w:right="82"/>
              <w:spacing w:after="0"/>
              <w:rPr>
                <w:sz w:val="20"/>
                <w:szCs w:val="20"/>
                <w:color w:val="auto"/>
              </w:rPr>
            </w:pPr>
            <w:r>
              <w:rPr>
                <w:rFonts w:ascii="Times New Roman" w:cs="Times New Roman" w:eastAsia="Times New Roman" w:hAnsi="Times New Roman"/>
                <w:sz w:val="18"/>
                <w:szCs w:val="18"/>
                <w:color w:val="auto"/>
              </w:rPr>
              <w:t>001-39503</w:t>
            </w:r>
          </w:p>
        </w:tc>
        <w:tc>
          <w:tcPr>
            <w:tcW w:w="1440" w:type="dxa"/>
            <w:vAlign w:val="bottom"/>
            <w:vMerge w:val="restart"/>
          </w:tcPr>
          <w:p>
            <w:pPr>
              <w:jc w:val="right"/>
              <w:ind w:right="137"/>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7"/>
              </w:rPr>
              <w:t>March 31,</w:t>
            </w:r>
          </w:p>
        </w:tc>
        <w:tc>
          <w:tcPr>
            <w:tcW w:w="0" w:type="dxa"/>
            <w:vAlign w:val="bottom"/>
          </w:tcPr>
          <w:p>
            <w:pPr>
              <w:spacing w:after="0"/>
              <w:rPr>
                <w:sz w:val="1"/>
                <w:szCs w:val="1"/>
                <w:color w:val="auto"/>
              </w:rPr>
            </w:pPr>
          </w:p>
        </w:tc>
      </w:tr>
      <w:tr>
        <w:trPr>
          <w:trHeight w:val="126"/>
        </w:trPr>
        <w:tc>
          <w:tcPr>
            <w:tcW w:w="5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180" w:type="dxa"/>
            <w:vAlign w:val="bottom"/>
            <w:vMerge w:val="restart"/>
          </w:tcPr>
          <w:p>
            <w:pPr>
              <w:jc w:val="center"/>
              <w:ind w:left="335"/>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2">
            <w:col w:w="6100" w:space="440"/>
            <w:col w:w="4480"/>
          </w:cols>
          <w:pgMar w:left="320" w:top="1079" w:right="5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April 1, 2026.</w:t>
      </w:r>
    </w:p>
    <w:p>
      <w:pPr>
        <w:spacing w:after="0" w:line="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238" w:lineRule="exact"/>
        <w:rPr>
          <w:sz w:val="20"/>
          <w:szCs w:val="20"/>
          <w:color w:val="auto"/>
        </w:rPr>
      </w:pPr>
    </w:p>
    <w:p>
      <w:pPr>
        <w:ind w:left="7300"/>
        <w:spacing w:after="0"/>
        <w:tabs>
          <w:tab w:leader="none" w:pos="7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4881880</wp:posOffset>
            </wp:positionH>
            <wp:positionV relativeFrom="paragraph">
              <wp:posOffset>83820</wp:posOffset>
            </wp:positionV>
            <wp:extent cx="2256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11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Mark Litton, Ph.D.</w:t>
      </w:r>
    </w:p>
    <w:p>
      <w:pPr>
        <w:spacing w:after="0" w:line="2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Mark Litton and Robert Renninger,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659130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079" w:right="419" w:bottom="1440" w:gutter="0" w:footer="0" w:header="0"/>
        </w:sectPr>
      </w:pPr>
    </w:p>
    <w:bookmarkStart w:id="5" w:name="page6"/>
    <w:bookmarkEnd w:id="5"/>
    <w:p>
      <w:pPr>
        <w:ind w:right="2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297" w:right="339" w:bottom="1440" w:gutter="0" w:footer="0" w:header="0"/>
        </w:sectPr>
      </w:pPr>
    </w:p>
    <w:p>
      <w:pPr>
        <w:spacing w:after="0" w:line="15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107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133"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/s/ Mark Litton</w:t>
      </w:r>
    </w:p>
    <w:p>
      <w:pPr>
        <w:spacing w:after="0" w:line="12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7"/>
          <w:szCs w:val="17"/>
          <w:color w:val="auto"/>
        </w:rPr>
        <w:t>/s/ Robert Renninger</w:t>
      </w:r>
    </w:p>
    <w:p>
      <w:pPr>
        <w:spacing w:after="0" w:line="13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Kelly A. Romano</w:t>
      </w:r>
    </w:p>
    <w:p>
      <w:pPr>
        <w:spacing w:after="0" w:line="12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Joseph Edelman</w:t>
      </w:r>
    </w:p>
    <w:p>
      <w:pPr>
        <w:spacing w:after="0" w:line="12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7"/>
          <w:szCs w:val="17"/>
          <w:color w:val="auto"/>
        </w:rPr>
        <w:t>/s/ John M. Fluke, Jr.</w:t>
      </w:r>
    </w:p>
    <w:p>
      <w:pPr>
        <w:spacing w:after="0" w:line="13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James A. Johnson</w:t>
      </w:r>
    </w:p>
    <w:p>
      <w:pPr>
        <w:spacing w:after="0" w:line="12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Barbara Kosacz</w:t>
      </w:r>
    </w:p>
    <w:p>
      <w:pPr>
        <w:spacing w:after="0" w:line="12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Michael Panzara</w:t>
      </w:r>
    </w:p>
    <w:p>
      <w:pPr>
        <w:spacing w:after="0" w:line="12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Michael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Grant Pickering</w:t>
      </w:r>
    </w:p>
    <w:p>
      <w:pPr>
        <w:spacing w:after="0" w:line="12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876935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-127635</wp:posOffset>
            </wp:positionV>
            <wp:extent cx="6107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107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Chief</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Officer and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Chief</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Accounting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and Financial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Board of</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1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4"/>
        </w:trPr>
        <w:tc>
          <w:tcPr>
            <w:tcW w:w="106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6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bl>
    <w:p>
      <w:pPr>
        <w:sectPr>
          <w:pgSz w:w="11900" w:h="16838" w:orient="portrait"/>
          <w:cols w:equalWidth="0" w:num="2">
            <w:col w:w="8940" w:space="720"/>
            <w:col w:w="1580"/>
          </w:cols>
          <w:pgMar w:left="320" w:top="1297" w:right="339" w:bottom="1440" w:gutter="0" w:footer="0" w:header="0"/>
          <w:type w:val="continuous"/>
        </w:sectPr>
      </w:pPr>
    </w:p>
    <w:bookmarkStart w:id="6" w:name="page7"/>
    <w:bookmarkEnd w:id="6"/>
    <w:p>
      <w:pPr>
        <w:ind w:left="7160"/>
        <w:spacing w:after="0"/>
        <w:rPr>
          <w:sz w:val="20"/>
          <w:szCs w:val="20"/>
          <w:color w:val="auto"/>
        </w:rPr>
      </w:pPr>
      <w:r>
        <w:rPr>
          <w:rFonts w:ascii="Georgia" w:cs="Georgia" w:eastAsia="Georgia" w:hAnsi="Georgia"/>
          <w:sz w:val="14"/>
          <w:szCs w:val="14"/>
          <w:color w:val="003D4C"/>
        </w:rPr>
        <w:drawing>
          <wp:anchor simplePos="0" relativeHeight="251657728" behindDoc="1" locked="0" layoutInCell="0" allowOverlap="1">
            <wp:simplePos x="0" y="0"/>
            <wp:positionH relativeFrom="page">
              <wp:posOffset>275590</wp:posOffset>
            </wp:positionH>
            <wp:positionV relativeFrom="page">
              <wp:posOffset>725170</wp:posOffset>
            </wp:positionV>
            <wp:extent cx="1085850" cy="407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85850" cy="407035"/>
                    </a:xfrm>
                    <a:prstGeom prst="rect">
                      <a:avLst/>
                    </a:prstGeom>
                    <a:noFill/>
                  </pic:spPr>
                </pic:pic>
              </a:graphicData>
            </a:graphic>
          </wp:anchor>
        </w:drawing>
        <w:t>Wilson Sonsini Goodrich &amp; Rosati</w:t>
      </w:r>
    </w:p>
    <w:p>
      <w:pPr>
        <w:spacing w:after="0" w:line="1"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Professional Corporation</w:t>
      </w:r>
    </w:p>
    <w:p>
      <w:pPr>
        <w:spacing w:after="0" w:line="81"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701 Fifth Avenue</w:t>
      </w:r>
    </w:p>
    <w:p>
      <w:pPr>
        <w:spacing w:after="0" w:line="1"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Suite 5100</w:t>
      </w:r>
    </w:p>
    <w:p>
      <w:pPr>
        <w:spacing w:after="0" w:line="1"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Seattle, Washington 98104-7036</w:t>
      </w:r>
    </w:p>
    <w:p>
      <w:pPr>
        <w:spacing w:after="0" w:line="68" w:lineRule="exact"/>
        <w:rPr>
          <w:sz w:val="20"/>
          <w:szCs w:val="20"/>
          <w:color w:val="auto"/>
        </w:rPr>
      </w:pPr>
    </w:p>
    <w:p>
      <w:pPr>
        <w:ind w:left="716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April 1,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LeonaBio,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18706 North Creek Parkway, Suite 104</w:t>
      </w:r>
    </w:p>
    <w:p>
      <w:pPr>
        <w:spacing w:after="0"/>
        <w:rPr>
          <w:sz w:val="20"/>
          <w:szCs w:val="20"/>
          <w:color w:val="auto"/>
        </w:rPr>
      </w:pPr>
      <w:r>
        <w:rPr>
          <w:rFonts w:ascii="Times New Roman" w:cs="Times New Roman" w:eastAsia="Times New Roman" w:hAnsi="Times New Roman"/>
          <w:sz w:val="20"/>
          <w:szCs w:val="20"/>
          <w:color w:val="auto"/>
        </w:rPr>
        <w:t>Bothell, WA 98011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b w:val="1"/>
          <w:bCs w:val="1"/>
          <w:u w:val="single" w:color="auto"/>
          <w:color w:val="auto"/>
        </w:rPr>
        <w:t>Registration Statement on Form S-8</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0"/>
          <w:szCs w:val="20"/>
          <w:color w:val="auto"/>
        </w:rPr>
        <w:t>We have examined the Registration Statement on Form S-8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to be filed by LeonaBio, Inc., a Delaware corporation, with the Securities and Exchange Commission on or about the date hereof, in connection with the registration under the Securities Act of 1933, as amended, of an aggregate of 64,600 shares of common stock, par value $0.0001 per share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to be issued under the 2020 Employee Stock Purchase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As your legal counsel, we have reviewed the actions proposed to be taken by you in connection with the issuance and sale of the Shares to be issued under the Plan.</w:t>
      </w:r>
    </w:p>
    <w:p>
      <w:pPr>
        <w:spacing w:after="0" w:line="184" w:lineRule="exact"/>
        <w:rPr>
          <w:sz w:val="20"/>
          <w:szCs w:val="20"/>
          <w:color w:val="auto"/>
        </w:rPr>
      </w:pPr>
    </w:p>
    <w:p>
      <w:pPr>
        <w:ind w:right="560" w:firstLine="749"/>
        <w:spacing w:after="0" w:line="262" w:lineRule="auto"/>
        <w:rPr>
          <w:sz w:val="20"/>
          <w:szCs w:val="20"/>
          <w:color w:val="auto"/>
        </w:rPr>
      </w:pPr>
      <w:r>
        <w:rPr>
          <w:rFonts w:ascii="Times New Roman" w:cs="Times New Roman" w:eastAsia="Times New Roman" w:hAnsi="Times New Roman"/>
          <w:sz w:val="20"/>
          <w:szCs w:val="20"/>
          <w:color w:val="auto"/>
        </w:rPr>
        <w:t>It is our opinion that the Shares, when issued and sold in the manner referred to in the Plan and pursuant to the agreements that accompany the Plan, will be legally and validly issued, fully paid and nonassessable.</w:t>
      </w:r>
    </w:p>
    <w:p>
      <w:pPr>
        <w:spacing w:after="0" w:line="166"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ind w:left="1820"/>
              <w:spacing w:after="0"/>
              <w:rPr>
                <w:sz w:val="20"/>
                <w:szCs w:val="20"/>
                <w:color w:val="auto"/>
              </w:rPr>
            </w:pPr>
            <w:r>
              <w:rPr>
                <w:rFonts w:ascii="Times New Roman" w:cs="Times New Roman" w:eastAsia="Times New Roman" w:hAnsi="Times New Roman"/>
                <w:sz w:val="12"/>
                <w:szCs w:val="12"/>
                <w:color w:val="003D4C"/>
              </w:rPr>
              <w:t>AUSTINBOSTON</w:t>
            </w:r>
          </w:p>
        </w:tc>
        <w:tc>
          <w:tcPr>
            <w:tcW w:w="860" w:type="dxa"/>
            <w:vAlign w:val="bottom"/>
          </w:tcPr>
          <w:p>
            <w:pPr>
              <w:ind w:left="180"/>
              <w:spacing w:after="0"/>
              <w:rPr>
                <w:sz w:val="20"/>
                <w:szCs w:val="20"/>
                <w:color w:val="auto"/>
              </w:rPr>
            </w:pPr>
            <w:r>
              <w:rPr>
                <w:rFonts w:ascii="Times New Roman" w:cs="Times New Roman" w:eastAsia="Times New Roman" w:hAnsi="Times New Roman"/>
                <w:sz w:val="12"/>
                <w:szCs w:val="12"/>
                <w:color w:val="003D4C"/>
              </w:rPr>
              <w:t>BOULDER</w:t>
            </w:r>
          </w:p>
        </w:tc>
        <w:tc>
          <w:tcPr>
            <w:tcW w:w="1940" w:type="dxa"/>
            <w:vAlign w:val="bottom"/>
          </w:tcPr>
          <w:p>
            <w:pPr>
              <w:ind w:left="140"/>
              <w:spacing w:after="0"/>
              <w:rPr>
                <w:sz w:val="20"/>
                <w:szCs w:val="20"/>
                <w:color w:val="auto"/>
              </w:rPr>
            </w:pPr>
            <w:r>
              <w:rPr>
                <w:rFonts w:ascii="Times New Roman" w:cs="Times New Roman" w:eastAsia="Times New Roman" w:hAnsi="Times New Roman"/>
                <w:sz w:val="12"/>
                <w:szCs w:val="12"/>
                <w:color w:val="003D4C"/>
              </w:rPr>
              <w:t>BRUSSELSHONG KONG</w:t>
            </w:r>
          </w:p>
        </w:tc>
        <w:tc>
          <w:tcPr>
            <w:tcW w:w="840" w:type="dxa"/>
            <w:vAlign w:val="bottom"/>
          </w:tcPr>
          <w:p>
            <w:pPr>
              <w:ind w:left="80"/>
              <w:spacing w:after="0"/>
              <w:rPr>
                <w:sz w:val="20"/>
                <w:szCs w:val="20"/>
                <w:color w:val="auto"/>
              </w:rPr>
            </w:pPr>
            <w:r>
              <w:rPr>
                <w:rFonts w:ascii="Times New Roman" w:cs="Times New Roman" w:eastAsia="Times New Roman" w:hAnsi="Times New Roman"/>
                <w:sz w:val="12"/>
                <w:szCs w:val="12"/>
                <w:color w:val="003D4C"/>
              </w:rPr>
              <w:t>LONDON</w:t>
            </w:r>
          </w:p>
        </w:tc>
        <w:tc>
          <w:tcPr>
            <w:tcW w:w="4520" w:type="dxa"/>
            <w:vAlign w:val="bottom"/>
          </w:tcPr>
          <w:p>
            <w:pPr>
              <w:ind w:left="20"/>
              <w:spacing w:after="0"/>
              <w:rPr>
                <w:sz w:val="20"/>
                <w:szCs w:val="20"/>
                <w:color w:val="auto"/>
              </w:rPr>
            </w:pPr>
            <w:r>
              <w:rPr>
                <w:rFonts w:ascii="Times New Roman" w:cs="Times New Roman" w:eastAsia="Times New Roman" w:hAnsi="Times New Roman"/>
                <w:sz w:val="12"/>
                <w:szCs w:val="12"/>
                <w:color w:val="003D4C"/>
              </w:rPr>
              <w:t>LOS ANGELESNEW YORKPALO ALTO</w:t>
            </w:r>
          </w:p>
        </w:tc>
      </w:tr>
      <w:tr>
        <w:trPr>
          <w:trHeight w:val="163"/>
        </w:trPr>
        <w:tc>
          <w:tcPr>
            <w:tcW w:w="3080" w:type="dxa"/>
            <w:vAlign w:val="bottom"/>
          </w:tcPr>
          <w:p>
            <w:pPr>
              <w:ind w:left="1900"/>
              <w:spacing w:after="0"/>
              <w:rPr>
                <w:sz w:val="20"/>
                <w:szCs w:val="20"/>
                <w:color w:val="auto"/>
              </w:rPr>
            </w:pPr>
            <w:r>
              <w:rPr>
                <w:rFonts w:ascii="Times New Roman" w:cs="Times New Roman" w:eastAsia="Times New Roman" w:hAnsi="Times New Roman"/>
                <w:sz w:val="12"/>
                <w:szCs w:val="12"/>
                <w:color w:val="003D4C"/>
              </w:rPr>
              <w:t>SALT LAKE CITY</w:t>
            </w:r>
          </w:p>
        </w:tc>
        <w:tc>
          <w:tcPr>
            <w:tcW w:w="860" w:type="dxa"/>
            <w:vAlign w:val="bottom"/>
          </w:tcPr>
          <w:p>
            <w:pPr>
              <w:ind w:left="60"/>
              <w:spacing w:after="0"/>
              <w:rPr>
                <w:sz w:val="20"/>
                <w:szCs w:val="20"/>
                <w:color w:val="auto"/>
              </w:rPr>
            </w:pPr>
            <w:r>
              <w:rPr>
                <w:rFonts w:ascii="Times New Roman" w:cs="Times New Roman" w:eastAsia="Times New Roman" w:hAnsi="Times New Roman"/>
                <w:sz w:val="12"/>
                <w:szCs w:val="12"/>
                <w:color w:val="003D4C"/>
              </w:rPr>
              <w:t>SAN DIEGO</w:t>
            </w:r>
          </w:p>
        </w:tc>
        <w:tc>
          <w:tcPr>
            <w:tcW w:w="1940" w:type="dxa"/>
            <w:vAlign w:val="bottom"/>
          </w:tcPr>
          <w:p>
            <w:pPr>
              <w:ind w:left="120"/>
              <w:spacing w:after="0"/>
              <w:rPr>
                <w:sz w:val="20"/>
                <w:szCs w:val="20"/>
                <w:color w:val="auto"/>
              </w:rPr>
            </w:pPr>
            <w:r>
              <w:rPr>
                <w:rFonts w:ascii="Times New Roman" w:cs="Times New Roman" w:eastAsia="Times New Roman" w:hAnsi="Times New Roman"/>
                <w:sz w:val="12"/>
                <w:szCs w:val="12"/>
                <w:color w:val="003D4C"/>
              </w:rPr>
              <w:t>SAN FRANCISCOSEATTLE</w:t>
            </w:r>
          </w:p>
        </w:tc>
        <w:tc>
          <w:tcPr>
            <w:tcW w:w="840" w:type="dxa"/>
            <w:vAlign w:val="bottom"/>
          </w:tcPr>
          <w:p>
            <w:pPr>
              <w:ind w:left="200"/>
              <w:spacing w:after="0"/>
              <w:rPr>
                <w:sz w:val="20"/>
                <w:szCs w:val="20"/>
                <w:color w:val="auto"/>
              </w:rPr>
            </w:pPr>
            <w:r>
              <w:rPr>
                <w:rFonts w:ascii="Times New Roman" w:cs="Times New Roman" w:eastAsia="Times New Roman" w:hAnsi="Times New Roman"/>
                <w:sz w:val="12"/>
                <w:szCs w:val="12"/>
                <w:color w:val="003D4C"/>
                <w:w w:val="98"/>
              </w:rPr>
              <w:t>SHANGHAI</w:t>
            </w:r>
          </w:p>
        </w:tc>
        <w:tc>
          <w:tcPr>
            <w:tcW w:w="4520" w:type="dxa"/>
            <w:vAlign w:val="bottom"/>
          </w:tcPr>
          <w:p>
            <w:pPr>
              <w:ind w:left="260"/>
              <w:spacing w:after="0"/>
              <w:rPr>
                <w:sz w:val="20"/>
                <w:szCs w:val="20"/>
                <w:color w:val="auto"/>
              </w:rPr>
            </w:pPr>
            <w:r>
              <w:rPr>
                <w:rFonts w:ascii="Times New Roman" w:cs="Times New Roman" w:eastAsia="Times New Roman" w:hAnsi="Times New Roman"/>
                <w:sz w:val="12"/>
                <w:szCs w:val="12"/>
                <w:color w:val="003D4C"/>
              </w:rPr>
              <w:t>WASHINGTON, DCWILMINGTON, DE</w:t>
            </w:r>
          </w:p>
        </w:tc>
      </w:tr>
      <w:tr>
        <w:trPr>
          <w:trHeight w:val="623"/>
        </w:trPr>
        <w:tc>
          <w:tcPr>
            <w:tcW w:w="30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7" w:name="page8"/>
    <w:bookmarkEnd w:id="7"/>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657225</wp:posOffset>
            </wp:positionV>
            <wp:extent cx="542925" cy="203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42925" cy="2038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April 1,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200" w:lineRule="exact"/>
        <w:rPr>
          <w:sz w:val="20"/>
          <w:szCs w:val="20"/>
          <w:color w:val="auto"/>
        </w:rPr>
      </w:pPr>
    </w:p>
    <w:p>
      <w:pPr>
        <w:ind w:left="5240"/>
        <w:spacing w:after="0"/>
        <w:rPr>
          <w:sz w:val="20"/>
          <w:szCs w:val="20"/>
          <w:color w:val="auto"/>
        </w:rPr>
      </w:pPr>
      <w:r>
        <w:rPr>
          <w:rFonts w:ascii="Georgia" w:cs="Georgia" w:eastAsia="Georgia" w:hAnsi="Georgia"/>
          <w:sz w:val="20"/>
          <w:szCs w:val="20"/>
          <w:u w:val="single" w:color="auto"/>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1301115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9"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pertaining to the 2020 Employee Stock Purchase Plan of LeonaBio, Inc. of our report dated March 31, 2026, with respect to the consolidated financial statements of LeonaBio, Inc. included in its Annual Report (Form 10-K) for the year ended December 31, 2025, filed with the Securities and Exchange Commission.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Washington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3503295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9" w:name="page10"/>
    <w:bookmarkEnd w:id="9"/>
    <w:p>
      <w:pPr>
        <w:ind w:left="232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70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LeonaBio,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460" w:type="dxa"/>
            <w:vAlign w:val="bottom"/>
            <w:shd w:val="clear" w:color="auto" w:fill="9ADAF6"/>
          </w:tcPr>
          <w:p>
            <w:pPr>
              <w:ind w:left="200"/>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4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reserved</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for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issuance</w:t>
            </w:r>
          </w:p>
        </w:tc>
        <w:tc>
          <w:tcPr>
            <w:tcW w:w="4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64,600</w:t>
            </w:r>
          </w:p>
        </w:tc>
        <w:tc>
          <w:tcPr>
            <w:tcW w:w="20" w:type="dxa"/>
            <w:vAlign w:val="bottom"/>
          </w:tcPr>
          <w:p>
            <w:pPr>
              <w:spacing w:after="0"/>
              <w:rPr>
                <w:sz w:val="20"/>
                <w:szCs w:val="20"/>
                <w:color w:val="auto"/>
              </w:rPr>
            </w:pPr>
          </w:p>
        </w:tc>
        <w:tc>
          <w:tcPr>
            <w:tcW w:w="13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$ 7.75</w:t>
            </w:r>
          </w:p>
        </w:tc>
        <w:tc>
          <w:tcPr>
            <w:tcW w:w="20" w:type="dxa"/>
            <w:vAlign w:val="bottom"/>
          </w:tcPr>
          <w:p>
            <w:pPr>
              <w:spacing w:after="0"/>
              <w:rPr>
                <w:sz w:val="20"/>
                <w:szCs w:val="20"/>
                <w:color w:val="auto"/>
              </w:rPr>
            </w:pPr>
          </w:p>
        </w:tc>
        <w:tc>
          <w:tcPr>
            <w:tcW w:w="1460" w:type="dxa"/>
            <w:vAlign w:val="bottom"/>
            <w:shd w:val="clear" w:color="auto" w:fill="E7E7E2"/>
          </w:tcPr>
          <w:p>
            <w:pPr>
              <w:ind w:left="180"/>
              <w:spacing w:after="0" w:line="240" w:lineRule="exact"/>
              <w:rPr>
                <w:sz w:val="20"/>
                <w:szCs w:val="20"/>
                <w:color w:val="auto"/>
              </w:rPr>
            </w:pPr>
            <w:r>
              <w:rPr>
                <w:rFonts w:ascii="Arial" w:cs="Arial" w:eastAsia="Arial" w:hAnsi="Arial"/>
                <w:sz w:val="21"/>
                <w:szCs w:val="21"/>
                <w:color w:val="auto"/>
              </w:rPr>
              <w:t>$ 500,650.00</w:t>
            </w:r>
          </w:p>
        </w:tc>
        <w:tc>
          <w:tcPr>
            <w:tcW w:w="2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$ 69.14</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pursuant</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to the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2020</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Employee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Purchase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Plan, as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E7E7E2"/>
          </w:tcPr>
          <w:p>
            <w:pPr>
              <w:spacing w:after="0"/>
              <w:rPr>
                <w:sz w:val="20"/>
                <w:szCs w:val="20"/>
                <w:color w:val="auto"/>
              </w:rPr>
            </w:pPr>
            <w:r>
              <w:rPr>
                <w:rFonts w:ascii="Arial" w:cs="Arial" w:eastAsia="Arial" w:hAnsi="Arial"/>
                <w:sz w:val="21"/>
                <w:szCs w:val="21"/>
                <w:color w:val="auto"/>
              </w:rPr>
              <w:t>amended</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gridSpan w:val="2"/>
          </w:tcPr>
          <w:p>
            <w:pPr>
              <w:ind w:left="200"/>
              <w:spacing w:after="0"/>
              <w:rPr>
                <w:sz w:val="20"/>
                <w:szCs w:val="20"/>
                <w:color w:val="auto"/>
              </w:rPr>
            </w:pPr>
            <w:r>
              <w:rPr>
                <w:rFonts w:ascii="Arial" w:cs="Arial" w:eastAsia="Arial" w:hAnsi="Arial"/>
                <w:sz w:val="21"/>
                <w:szCs w:val="21"/>
                <w:color w:val="auto"/>
              </w:rPr>
              <w:t>$ 500,650.00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$ 69.14</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$ 69.14</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60" w:right="120" w:firstLine="2"/>
        <w:spacing w:after="0" w:line="241"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Represents shares of common stock, par value $0.0001 per share ("Common Stock") of LeonaBio, Inc. (the "Registrant") available for issuance pursuant to awards granted pursuant to the Registrant's 2020 Employee Stock Purchase Plan, as amended (the "2020 ESPP"). In addition, pursuant to Rule 416(a) under the Securities Act of 1933, as amended (the "Securities Act"), this Registration Statement shall also cover any additional shares of the Registrant's Common Stock that become issuable under the 2020 ESPP by reason of an event such as any stock split, stock dividend, recapitalization or similar transaction effected without receipt of consideration that increases the number of the Registrant's outstanding shares of Common Stock.</w:t>
      </w:r>
    </w:p>
    <w:p>
      <w:pPr>
        <w:spacing w:after="0" w:line="3" w:lineRule="exact"/>
        <w:rPr>
          <w:rFonts w:ascii="Arial" w:cs="Arial" w:eastAsia="Arial" w:hAnsi="Arial"/>
          <w:sz w:val="21"/>
          <w:szCs w:val="21"/>
          <w:color w:val="auto"/>
        </w:rPr>
      </w:pPr>
    </w:p>
    <w:p>
      <w:pPr>
        <w:ind w:left="260" w:right="700" w:firstLine="2"/>
        <w:spacing w:after="0" w:line="238"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For the sole purpose of calculating the registration fee, the amount to be registered under this Registration Statement has been broken down into subtotals.</w:t>
      </w:r>
    </w:p>
    <w:p>
      <w:pPr>
        <w:spacing w:after="0" w:line="1" w:lineRule="exact"/>
        <w:rPr>
          <w:rFonts w:ascii="Arial" w:cs="Arial" w:eastAsia="Arial" w:hAnsi="Arial"/>
          <w:sz w:val="21"/>
          <w:szCs w:val="21"/>
          <w:color w:val="auto"/>
        </w:rPr>
      </w:pPr>
    </w:p>
    <w:p>
      <w:pPr>
        <w:ind w:left="260" w:right="160" w:firstLine="2"/>
        <w:spacing w:after="0" w:line="238"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Estimated in accordance with Rules (c) and (h) of Rule 457 under the Securities Act solely for the purposes of calculating the registration fee on the basis of 85% of $9.11 per share, which represents the average of the high and low price per share of the Registrant's Common Stock on March 27, 2026, as reported on The Nasdaq Capital Market. Pursuant to the 2020 ESPP, the purchase price of the shares of the Registrant's Common Stock reserved for issuance thereunder will be 85% of the lower of the fair market value of the Common Stock on the first trading day of the offering period or on the last day of the offering period.</w:t>
      </w:r>
    </w:p>
    <w:p>
      <w:pPr>
        <w:spacing w:after="0" w:line="6" w:lineRule="exact"/>
        <w:rPr>
          <w:rFonts w:ascii="Arial" w:cs="Arial" w:eastAsia="Arial" w:hAnsi="Arial"/>
          <w:sz w:val="21"/>
          <w:szCs w:val="21"/>
          <w:color w:val="auto"/>
        </w:rPr>
      </w:pPr>
    </w:p>
    <w:p>
      <w:pPr>
        <w:ind w:left="260" w:right="360" w:firstLine="2"/>
        <w:spacing w:after="0" w:line="241"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Represents an automatic annual increase on January 1, 2026 to the number of shares of the Registrant's Common Stock reserved for issuance under the 2020 ESPP pursuant to an "evergreen" provision contained in the 2020 ESPP. Pursuant to such provision, the number of shares of the Registrant's Common Stock available for issuance under the 2020 ESPP is subject to an annual increase on the first day of each fiscal year by an amount equal to the least of (i) 64,600 shares of Common Stock, (ii) one percent (1%) of the outstanding shares of all classes of the Registrant's Common Stock on the last day of the immediately preceding fiscal year or (iii) such other number of shares as the Registrant's board of directors may determine as of no later than the last day of the Registrant's immediately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234315</wp:posOffset>
            </wp:positionV>
            <wp:extent cx="6387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ectPr>
          <w:pgSz w:w="11900" w:h="16838" w:orient="portrait"/>
          <w:cols w:equalWidth="0" w:num="1">
            <w:col w:w="10100"/>
          </w:cols>
          <w:pgMar w:left="900" w:top="142" w:right="899" w:bottom="560" w:gutter="0" w:footer="0" w:header="0"/>
        </w:sectPr>
      </w:pPr>
    </w:p>
    <w:bookmarkStart w:id="10" w:name="page11"/>
    <w:bookmarkEnd w:id="10"/>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7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7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jpe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jpe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19" Type="http://schemas.openxmlformats.org/officeDocument/2006/relationships/hyperlink" Target="https://www.sec.gov/ix?doc=/Archives/edgar/data/0001620463/000119312526134565/lona-20251231.htm" TargetMode="External"/><Relationship Id="rId21" Type="http://schemas.openxmlformats.org/officeDocument/2006/relationships/hyperlink" Target="https://www.sec.gov/Archives/edgar/data/1620463/000119312526016629/lona-ex4_1.htm" TargetMode="External"/><Relationship Id="rId23" Type="http://schemas.openxmlformats.org/officeDocument/2006/relationships/hyperlink" Target="https://www.sec.gov/Archives/edgar/data/1620463/000119312526134565/lona-ex10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2026-04-01T15:16:35Z</dcterms:created>
  <dcterms:modified xsi:type="dcterms:W3CDTF">2026-04-01T15:16:35Z</dcterms:modified>
</cp:coreProperties>
</file>