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159"/>
        <w:spacing w:after="0" w:line="194"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8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169545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jc w:val="center"/>
        <w:ind w:right="-159"/>
        <w:spacing w:after="0"/>
        <w:rPr>
          <w:sz w:val="20"/>
          <w:szCs w:val="20"/>
          <w:color w:val="auto"/>
        </w:rPr>
      </w:pPr>
      <w:r>
        <w:rPr>
          <w:rFonts w:ascii="Arial" w:cs="Arial" w:eastAsia="Arial" w:hAnsi="Arial"/>
          <w:sz w:val="18"/>
          <w:szCs w:val="18"/>
          <w:b w:val="1"/>
          <w:bCs w:val="1"/>
          <w:color w:val="auto"/>
        </w:rPr>
        <w:t>Date of Report (Date of earliest event reported): November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167640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2"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Athira Pharma, Inc.</w:t>
      </w:r>
    </w:p>
    <w:p>
      <w:pPr>
        <w:spacing w:after="0" w:line="28"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150495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2160" w:type="dxa"/>
            <w:vAlign w:val="bottom"/>
          </w:tcPr>
          <w:p>
            <w:pPr>
              <w:jc w:val="center"/>
              <w:ind w:right="442"/>
              <w:spacing w:after="0"/>
              <w:rPr>
                <w:sz w:val="20"/>
                <w:szCs w:val="20"/>
                <w:color w:val="auto"/>
              </w:rPr>
            </w:pPr>
            <w:r>
              <w:rPr>
                <w:rFonts w:ascii="Arial" w:cs="Arial" w:eastAsia="Arial" w:hAnsi="Arial"/>
                <w:sz w:val="18"/>
                <w:szCs w:val="18"/>
                <w:b w:val="1"/>
                <w:bCs w:val="1"/>
                <w:color w:val="auto"/>
                <w:w w:val="91"/>
              </w:rPr>
              <w:t>Delaware</w:t>
            </w:r>
          </w:p>
        </w:tc>
        <w:tc>
          <w:tcPr>
            <w:tcW w:w="4940" w:type="dxa"/>
            <w:vAlign w:val="bottom"/>
          </w:tcPr>
          <w:p>
            <w:pPr>
              <w:jc w:val="center"/>
              <w:ind w:right="40"/>
              <w:spacing w:after="0"/>
              <w:rPr>
                <w:sz w:val="20"/>
                <w:szCs w:val="20"/>
                <w:color w:val="auto"/>
              </w:rPr>
            </w:pPr>
            <w:r>
              <w:rPr>
                <w:rFonts w:ascii="Arial" w:cs="Arial" w:eastAsia="Arial" w:hAnsi="Arial"/>
                <w:sz w:val="18"/>
                <w:szCs w:val="18"/>
                <w:b w:val="1"/>
                <w:bCs w:val="1"/>
                <w:color w:val="auto"/>
                <w:w w:val="90"/>
              </w:rPr>
              <w:t>001-39503</w:t>
            </w:r>
          </w:p>
        </w:tc>
        <w:tc>
          <w:tcPr>
            <w:tcW w:w="1780" w:type="dxa"/>
            <w:vAlign w:val="bottom"/>
          </w:tcPr>
          <w:p>
            <w:pPr>
              <w:jc w:val="center"/>
              <w:ind w:left="562"/>
              <w:spacing w:after="0"/>
              <w:rPr>
                <w:sz w:val="20"/>
                <w:szCs w:val="20"/>
                <w:color w:val="auto"/>
              </w:rPr>
            </w:pPr>
            <w:r>
              <w:rPr>
                <w:rFonts w:ascii="Arial" w:cs="Arial" w:eastAsia="Arial" w:hAnsi="Arial"/>
                <w:sz w:val="18"/>
                <w:szCs w:val="18"/>
                <w:b w:val="1"/>
                <w:bCs w:val="1"/>
                <w:color w:val="auto"/>
                <w:w w:val="89"/>
              </w:rPr>
              <w:t>45-3368487</w:t>
            </w:r>
          </w:p>
        </w:tc>
      </w:tr>
      <w:tr>
        <w:trPr>
          <w:trHeight w:val="220"/>
        </w:trPr>
        <w:tc>
          <w:tcPr>
            <w:tcW w:w="2160" w:type="dxa"/>
            <w:vAlign w:val="bottom"/>
          </w:tcPr>
          <w:p>
            <w:pPr>
              <w:jc w:val="center"/>
              <w:ind w:right="442"/>
              <w:spacing w:after="0"/>
              <w:rPr>
                <w:sz w:val="20"/>
                <w:szCs w:val="20"/>
                <w:color w:val="auto"/>
              </w:rPr>
            </w:pPr>
            <w:r>
              <w:rPr>
                <w:rFonts w:ascii="Arial" w:cs="Arial" w:eastAsia="Arial" w:hAnsi="Arial"/>
                <w:sz w:val="14"/>
                <w:szCs w:val="14"/>
                <w:b w:val="1"/>
                <w:bCs w:val="1"/>
                <w:color w:val="auto"/>
                <w:w w:val="93"/>
              </w:rPr>
              <w:t>(State or other jurisdiction</w:t>
            </w:r>
          </w:p>
        </w:tc>
        <w:tc>
          <w:tcPr>
            <w:tcW w:w="494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(Commission</w:t>
            </w:r>
          </w:p>
        </w:tc>
        <w:tc>
          <w:tcPr>
            <w:tcW w:w="1780" w:type="dxa"/>
            <w:vAlign w:val="bottom"/>
          </w:tcPr>
          <w:p>
            <w:pPr>
              <w:jc w:val="center"/>
              <w:ind w:left="56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160" w:type="dxa"/>
            <w:vAlign w:val="bottom"/>
          </w:tcPr>
          <w:p>
            <w:pPr>
              <w:jc w:val="center"/>
              <w:ind w:right="422"/>
              <w:spacing w:after="0"/>
              <w:rPr>
                <w:sz w:val="20"/>
                <w:szCs w:val="20"/>
                <w:color w:val="auto"/>
              </w:rPr>
            </w:pPr>
            <w:r>
              <w:rPr>
                <w:rFonts w:ascii="Arial" w:cs="Arial" w:eastAsia="Arial" w:hAnsi="Arial"/>
                <w:sz w:val="14"/>
                <w:szCs w:val="14"/>
                <w:b w:val="1"/>
                <w:bCs w:val="1"/>
                <w:color w:val="auto"/>
                <w:w w:val="94"/>
              </w:rPr>
              <w:t>of incorporation)</w:t>
            </w:r>
          </w:p>
        </w:tc>
        <w:tc>
          <w:tcPr>
            <w:tcW w:w="494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File Number)</w:t>
            </w:r>
          </w:p>
        </w:tc>
        <w:tc>
          <w:tcPr>
            <w:tcW w:w="1780" w:type="dxa"/>
            <w:vAlign w:val="bottom"/>
          </w:tcPr>
          <w:p>
            <w:pPr>
              <w:jc w:val="center"/>
              <w:ind w:left="562"/>
              <w:spacing w:after="0"/>
              <w:rPr>
                <w:sz w:val="20"/>
                <w:szCs w:val="20"/>
                <w:color w:val="auto"/>
              </w:rPr>
            </w:pPr>
            <w:r>
              <w:rPr>
                <w:rFonts w:ascii="Arial" w:cs="Arial" w:eastAsia="Arial" w:hAnsi="Arial"/>
                <w:sz w:val="14"/>
                <w:szCs w:val="14"/>
                <w:b w:val="1"/>
                <w:bCs w:val="1"/>
                <w:color w:val="auto"/>
                <w:w w:val="96"/>
              </w:rPr>
              <w:t>Identification No.)</w:t>
            </w:r>
          </w:p>
        </w:tc>
      </w:tr>
      <w:tr>
        <w:trPr>
          <w:trHeight w:val="466"/>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Arial" w:cs="Arial" w:eastAsia="Arial" w:hAnsi="Arial"/>
                <w:sz w:val="18"/>
                <w:szCs w:val="18"/>
                <w:b w:val="1"/>
                <w:bCs w:val="1"/>
                <w:color w:val="auto"/>
                <w:w w:val="92"/>
              </w:rPr>
              <w:t>18706 North Creek Parkway, Suite 104</w:t>
            </w:r>
          </w:p>
        </w:tc>
        <w:tc>
          <w:tcPr>
            <w:tcW w:w="1780" w:type="dxa"/>
            <w:vAlign w:val="bottom"/>
          </w:tcPr>
          <w:p>
            <w:pPr>
              <w:spacing w:after="0"/>
              <w:rPr>
                <w:sz w:val="24"/>
                <w:szCs w:val="24"/>
                <w:color w:val="auto"/>
              </w:rPr>
            </w:pPr>
          </w:p>
        </w:tc>
      </w:tr>
      <w:tr>
        <w:trPr>
          <w:trHeight w:val="212"/>
        </w:trPr>
        <w:tc>
          <w:tcPr>
            <w:tcW w:w="2160" w:type="dxa"/>
            <w:vAlign w:val="bottom"/>
          </w:tcPr>
          <w:p>
            <w:pPr>
              <w:spacing w:after="0"/>
              <w:rPr>
                <w:sz w:val="18"/>
                <w:szCs w:val="18"/>
                <w:color w:val="auto"/>
              </w:rPr>
            </w:pPr>
          </w:p>
        </w:tc>
        <w:tc>
          <w:tcPr>
            <w:tcW w:w="4940" w:type="dxa"/>
            <w:vAlign w:val="bottom"/>
          </w:tcPr>
          <w:p>
            <w:pPr>
              <w:jc w:val="center"/>
              <w:ind w:right="40"/>
              <w:spacing w:after="0"/>
              <w:rPr>
                <w:sz w:val="20"/>
                <w:szCs w:val="20"/>
                <w:color w:val="auto"/>
              </w:rPr>
            </w:pPr>
            <w:r>
              <w:rPr>
                <w:rFonts w:ascii="Arial" w:cs="Arial" w:eastAsia="Arial" w:hAnsi="Arial"/>
                <w:sz w:val="18"/>
                <w:szCs w:val="18"/>
                <w:b w:val="1"/>
                <w:bCs w:val="1"/>
                <w:color w:val="auto"/>
                <w:w w:val="90"/>
              </w:rPr>
              <w:t>Bothell, WA 98011</w:t>
            </w:r>
          </w:p>
        </w:tc>
        <w:tc>
          <w:tcPr>
            <w:tcW w:w="1780" w:type="dxa"/>
            <w:vAlign w:val="bottom"/>
          </w:tcPr>
          <w:p>
            <w:pPr>
              <w:spacing w:after="0"/>
              <w:rPr>
                <w:sz w:val="18"/>
                <w:szCs w:val="18"/>
                <w:color w:val="auto"/>
              </w:rPr>
            </w:pPr>
          </w:p>
        </w:tc>
      </w:tr>
      <w:tr>
        <w:trPr>
          <w:trHeight w:val="186"/>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780" w:type="dxa"/>
            <w:vAlign w:val="bottom"/>
          </w:tcPr>
          <w:p>
            <w:pPr>
              <w:spacing w:after="0"/>
              <w:rPr>
                <w:sz w:val="16"/>
                <w:szCs w:val="16"/>
                <w:color w:val="auto"/>
              </w:rPr>
            </w:pPr>
          </w:p>
        </w:tc>
      </w:tr>
      <w:tr>
        <w:trPr>
          <w:trHeight w:val="408"/>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Arial" w:cs="Arial" w:eastAsia="Arial" w:hAnsi="Arial"/>
                <w:sz w:val="18"/>
                <w:szCs w:val="18"/>
                <w:b w:val="1"/>
                <w:bCs w:val="1"/>
                <w:color w:val="auto"/>
                <w:w w:val="90"/>
              </w:rPr>
              <w:t>(425) 620-8501</w:t>
            </w:r>
          </w:p>
        </w:tc>
        <w:tc>
          <w:tcPr>
            <w:tcW w:w="1780" w:type="dxa"/>
            <w:vAlign w:val="bottom"/>
          </w:tcPr>
          <w:p>
            <w:pPr>
              <w:spacing w:after="0"/>
              <w:rPr>
                <w:sz w:val="24"/>
                <w:szCs w:val="24"/>
                <w:color w:val="auto"/>
              </w:rPr>
            </w:pPr>
          </w:p>
        </w:tc>
      </w:tr>
      <w:tr>
        <w:trPr>
          <w:trHeight w:val="186"/>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80" w:type="dxa"/>
            <w:vAlign w:val="bottom"/>
          </w:tcPr>
          <w:p>
            <w:pPr>
              <w:spacing w:after="0"/>
              <w:rPr>
                <w:sz w:val="16"/>
                <w:szCs w:val="16"/>
                <w:color w:val="auto"/>
              </w:rPr>
            </w:pPr>
          </w:p>
        </w:tc>
      </w:tr>
      <w:tr>
        <w:trPr>
          <w:trHeight w:val="378"/>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179070</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42" w:lineRule="exact"/>
        <w:rPr>
          <w:sz w:val="24"/>
          <w:szCs w:val="24"/>
          <w:color w:val="auto"/>
        </w:rPr>
      </w:pPr>
    </w:p>
    <w:p>
      <w:pPr>
        <w:ind w:right="540"/>
        <w:spacing w:after="0" w:line="22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5" w:lineRule="exact"/>
        <w:rPr>
          <w:sz w:val="24"/>
          <w:szCs w:val="24"/>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39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00"/>
          </w:cols>
          <w:pgMar w:left="320" w:top="873" w:right="479" w:bottom="1440" w:gutter="0" w:footer="0" w:header="0"/>
        </w:sectPr>
      </w:pPr>
    </w:p>
    <w:p>
      <w:pPr>
        <w:spacing w:after="0" w:line="95" w:lineRule="exact"/>
        <w:rPr>
          <w:sz w:val="24"/>
          <w:szCs w:val="24"/>
          <w:color w:val="auto"/>
        </w:rPr>
      </w:pPr>
    </w:p>
    <w:p>
      <w:pPr>
        <w:ind w:left="144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42" w:lineRule="exact"/>
        <w:rPr>
          <w:sz w:val="24"/>
          <w:szCs w:val="24"/>
          <w:color w:val="auto"/>
        </w:rPr>
      </w:pPr>
    </w:p>
    <w:p>
      <w:pPr>
        <w:sectPr>
          <w:pgSz w:w="11900" w:h="16838" w:orient="portrait"/>
          <w:cols w:equalWidth="0" w:num="3">
            <w:col w:w="4340" w:space="720"/>
            <w:col w:w="2160" w:space="720"/>
            <w:col w:w="3160"/>
          </w:cols>
          <w:pgMar w:left="320" w:top="873" w:right="479" w:bottom="1440" w:gutter="0" w:footer="0" w:header="0"/>
          <w:type w:val="continuous"/>
        </w:sectPr>
      </w:pPr>
    </w:p>
    <w:p>
      <w:pPr>
        <w:spacing w:after="0" w:line="6" w:lineRule="exact"/>
        <w:rPr>
          <w:sz w:val="24"/>
          <w:szCs w:val="24"/>
          <w:color w:val="auto"/>
        </w:rPr>
      </w:pPr>
    </w:p>
    <w:p>
      <w:pPr>
        <w:ind w:left="540"/>
        <w:spacing w:after="0"/>
        <w:rPr>
          <w:sz w:val="20"/>
          <w:szCs w:val="20"/>
          <w:color w:val="auto"/>
        </w:rPr>
      </w:pPr>
      <w:r>
        <w:rPr>
          <w:rFonts w:ascii="Arial" w:cs="Arial" w:eastAsia="Arial" w:hAnsi="Arial"/>
          <w:sz w:val="14"/>
          <w:szCs w:val="14"/>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ATHA</w:t>
      </w:r>
    </w:p>
    <w:p>
      <w:pPr>
        <w:spacing w:after="0" w:line="20" w:lineRule="exact"/>
        <w:rPr>
          <w:sz w:val="24"/>
          <w:szCs w:val="24"/>
          <w:color w:val="auto"/>
        </w:rPr>
      </w:pPr>
      <w:r>
        <w:rPr>
          <w:sz w:val="24"/>
          <w:szCs w:val="24"/>
          <w:color w:val="auto"/>
        </w:rPr>
        <w:br w:type="column"/>
      </w:r>
    </w:p>
    <w:p>
      <w:pPr>
        <w:ind w:left="120"/>
        <w:spacing w:after="0"/>
        <w:rPr>
          <w:sz w:val="20"/>
          <w:szCs w:val="20"/>
          <w:color w:val="auto"/>
        </w:rPr>
      </w:pPr>
      <w:r>
        <w:rPr>
          <w:rFonts w:ascii="Arial" w:cs="Arial" w:eastAsia="Arial" w:hAnsi="Arial"/>
          <w:sz w:val="16"/>
          <w:szCs w:val="16"/>
          <w:color w:val="auto"/>
        </w:rPr>
        <w:t>The Nasdaq Stock Market LLC</w:t>
      </w:r>
    </w:p>
    <w:p>
      <w:pPr>
        <w:spacing w:after="0"/>
        <w:rPr>
          <w:sz w:val="20"/>
          <w:szCs w:val="20"/>
          <w:color w:val="auto"/>
        </w:rPr>
      </w:pPr>
      <w:r>
        <w:rPr>
          <w:rFonts w:ascii="Arial" w:cs="Arial" w:eastAsia="Arial" w:hAnsi="Arial"/>
          <w:sz w:val="14"/>
          <w:szCs w:val="14"/>
          <w:color w:val="auto"/>
        </w:rPr>
        <w:t>(The Nasdaq Global Select Market)</w:t>
      </w:r>
    </w:p>
    <w:p>
      <w:pPr>
        <w:spacing w:after="0" w:line="199" w:lineRule="exact"/>
        <w:rPr>
          <w:sz w:val="24"/>
          <w:szCs w:val="24"/>
          <w:color w:val="auto"/>
        </w:rPr>
      </w:pPr>
    </w:p>
    <w:p>
      <w:pPr>
        <w:sectPr>
          <w:pgSz w:w="11900" w:h="16838" w:orient="portrait"/>
          <w:cols w:equalWidth="0" w:num="3">
            <w:col w:w="4700" w:space="720"/>
            <w:col w:w="1980" w:space="720"/>
            <w:col w:w="2980"/>
          </w:cols>
          <w:pgMar w:left="320" w:top="873" w:right="479" w:bottom="1440" w:gutter="0" w:footer="0" w:header="0"/>
          <w:type w:val="continuous"/>
        </w:sectPr>
      </w:pPr>
    </w:p>
    <w:p>
      <w:pPr>
        <w:ind w:right="380"/>
        <w:spacing w:after="0" w:line="22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5" w:lineRule="exact"/>
        <w:rPr>
          <w:sz w:val="24"/>
          <w:szCs w:val="24"/>
          <w:color w:val="auto"/>
        </w:rPr>
      </w:pPr>
    </w:p>
    <w:p>
      <w:pPr>
        <w:ind w:left="60"/>
        <w:spacing w:after="0" w:line="241" w:lineRule="exact"/>
        <w:tabs>
          <w:tab w:leader="none" w:pos="28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24"/>
          <w:szCs w:val="24"/>
          <w:color w:val="auto"/>
          <w:highlight w:val="black"/>
          <w:vertAlign w:val="superscript"/>
        </w:rPr>
        <w:t>☒</w:t>
      </w:r>
    </w:p>
    <w:p>
      <w:pPr>
        <w:spacing w:after="0" w:line="133" w:lineRule="exact"/>
        <w:rPr>
          <w:sz w:val="24"/>
          <w:szCs w:val="24"/>
          <w:color w:val="auto"/>
        </w:rPr>
      </w:pPr>
    </w:p>
    <w:p>
      <w:pPr>
        <w:ind w:right="20"/>
        <w:spacing w:after="0" w:line="19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08" w:lineRule="exact"/>
        <w:rPr>
          <w:sz w:val="24"/>
          <w:szCs w:val="24"/>
          <w:color w:val="auto"/>
        </w:rPr>
      </w:pPr>
    </w:p>
    <w:p>
      <w:pPr>
        <w:spacing w:after="0" w:line="249" w:lineRule="auto"/>
        <w:rPr>
          <w:sz w:val="20"/>
          <w:szCs w:val="20"/>
          <w:color w:val="auto"/>
        </w:rPr>
      </w:pPr>
      <w:r>
        <w:rPr>
          <w:rFonts w:ascii="Arial" w:cs="Arial" w:eastAsia="Arial" w:hAnsi="Arial"/>
          <w:sz w:val="18"/>
          <w:szCs w:val="18"/>
          <w:color w:val="auto"/>
        </w:rPr>
        <w:t>On November 15, 2022, the board of directors (the “Board”) of Athira Pharma, Inc. (the “Company”) approved and adopted amended and restated bylaws (the “Amended and Restated Bylaws”) of the Company, effective immediately. The amendments effected by the Amended and Restated Bylaws include changes designed to comply with new Rule 14a-19 under the Securities Exchange Act of 1934, as amended (the “Exchange Act”), and enhance advance notice procedures pertaining to stockholder proposals and nominations for director.</w:t>
      </w:r>
    </w:p>
    <w:p>
      <w:pPr>
        <w:spacing w:after="0" w:line="73" w:lineRule="exact"/>
        <w:rPr>
          <w:sz w:val="24"/>
          <w:szCs w:val="24"/>
          <w:color w:val="auto"/>
        </w:rPr>
      </w:pPr>
    </w:p>
    <w:p>
      <w:pPr>
        <w:ind w:right="180"/>
        <w:spacing w:after="0" w:line="256" w:lineRule="auto"/>
        <w:rPr>
          <w:sz w:val="20"/>
          <w:szCs w:val="20"/>
          <w:color w:val="auto"/>
        </w:rPr>
      </w:pPr>
      <w:r>
        <w:rPr>
          <w:rFonts w:ascii="Arial" w:cs="Arial" w:eastAsia="Arial" w:hAnsi="Arial"/>
          <w:sz w:val="18"/>
          <w:szCs w:val="18"/>
          <w:color w:val="auto"/>
        </w:rPr>
        <w:t>Among other changes to the advance notice procedures, the Amended and Restated Bylaws require that if the date of the annual meeting for the current year has changed by more than 25 days from the first anniversary of the preceding year’s annual meeting, any notice of a stockholder nomination for director or submission of stockholder proposals (other than proposals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73" w:right="479" w:bottom="1440" w:gutter="0" w:footer="0" w:header="0"/>
          <w:type w:val="continuous"/>
        </w:sectPr>
      </w:pPr>
    </w:p>
    <w:bookmarkStart w:id="1" w:name="page2"/>
    <w:bookmarkEnd w:id="1"/>
    <w:p>
      <w:pPr>
        <w:jc w:val="both"/>
        <w:ind w:right="20"/>
        <w:spacing w:after="0" w:line="278" w:lineRule="auto"/>
        <w:rPr>
          <w:sz w:val="20"/>
          <w:szCs w:val="20"/>
          <w:color w:val="auto"/>
        </w:rPr>
      </w:pPr>
      <w:r>
        <w:rPr>
          <w:rFonts w:ascii="Arial" w:cs="Arial" w:eastAsia="Arial" w:hAnsi="Arial"/>
          <w:sz w:val="17"/>
          <w:szCs w:val="17"/>
          <w:color w:val="auto"/>
        </w:rPr>
        <w:t>submitted under Rule 14a-8 of the Exchange Act) must be submitted no later than 5:00 p.m. Eastern time on the later of (1) the 90th day prior to the date of the annual meeting, and (2) if the first public announcement of the date of the annual meeting is less than 100 days prior to the date of such annual meeting, the 10th day following the day on which public announcement of the date of the annual meeting is first made by the Company.</w:t>
      </w:r>
    </w:p>
    <w:p>
      <w:pPr>
        <w:spacing w:after="0" w:line="50"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The Amended and Restated Bylaws also reflect recent amendments to the Delaware General Corporation Law pertaining to certain procedures related to stockholder meetings, including stockholder lists and adjournments of stockholder meetings. The Amended and Restated Bylaws also modify certain requirements for officer appointments and delegation of authority, revise provisions related to board committee and subcommittee rules and procedures, clarify the forum selection provision, and make certain other minor updates, including ministerial, clarifying and conforming changes.</w:t>
      </w:r>
    </w:p>
    <w:p>
      <w:pPr>
        <w:spacing w:after="0" w:line="56"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The foregoing description of the Amended and Restated Bylaws does not purport to be complete and is qualified in its entirety by reference to, and should be read in conjunction with, the full text of the Amended and Restated Bylaws, a copy of which is filed as Exhibit 3.1 to this Current Report on Form 8-K and is incorporated herein by reference.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175"/>
        </w:trPr>
        <w:tc>
          <w:tcPr>
            <w:tcW w:w="1020" w:type="dxa"/>
            <w:vAlign w:val="bottom"/>
          </w:tcPr>
          <w:p>
            <w:pPr>
              <w:ind w:left="60"/>
              <w:spacing w:after="0" w:line="17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20" w:type="dxa"/>
            <w:vAlign w:val="bottom"/>
            <w:gridSpan w:val="2"/>
          </w:tcPr>
          <w:p>
            <w:pPr>
              <w:spacing w:after="0" w:line="176" w:lineRule="exact"/>
              <w:rPr>
                <w:sz w:val="20"/>
                <w:szCs w:val="20"/>
                <w:color w:val="auto"/>
              </w:rPr>
            </w:pPr>
            <w:r>
              <w:rPr>
                <w:rFonts w:ascii="Arial" w:cs="Arial" w:eastAsia="Arial" w:hAnsi="Arial"/>
                <w:sz w:val="18"/>
                <w:szCs w:val="18"/>
                <w:color w:val="0000FF"/>
              </w:rPr>
              <w:t>Amended and Restated Bylaws of Athira Pharma, Inc.</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900" w:type="dxa"/>
            <w:vAlign w:val="bottom"/>
            <w:tcBorders>
              <w:right w:val="single" w:sz="8" w:color="0000EE"/>
            </w:tcBorders>
            <w:shd w:val="clear" w:color="auto" w:fill="0000FF"/>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372"/>
        </w:trPr>
        <w:tc>
          <w:tcPr>
            <w:tcW w:w="1020" w:type="dxa"/>
            <w:vAlign w:val="bottom"/>
          </w:tcPr>
          <w:p>
            <w:pPr>
              <w:ind w:left="6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817"/>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ind w:right="200" w:firstLine="749"/>
        <w:spacing w:after="0" w:line="30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Athira Pharma, Inc.</w:t>
            </w:r>
          </w:p>
        </w:tc>
      </w:tr>
      <w:tr>
        <w:trPr>
          <w:trHeight w:val="432"/>
        </w:trPr>
        <w:tc>
          <w:tcPr>
            <w:tcW w:w="3880" w:type="dxa"/>
            <w:vAlign w:val="bottom"/>
          </w:tcPr>
          <w:p>
            <w:pPr>
              <w:ind w:left="140"/>
              <w:spacing w:after="0"/>
              <w:rPr>
                <w:sz w:val="20"/>
                <w:szCs w:val="20"/>
                <w:color w:val="auto"/>
              </w:rPr>
            </w:pPr>
            <w:r>
              <w:rPr>
                <w:rFonts w:ascii="Arial" w:cs="Arial" w:eastAsia="Arial" w:hAnsi="Arial"/>
                <w:sz w:val="18"/>
                <w:szCs w:val="18"/>
                <w:color w:val="auto"/>
              </w:rPr>
              <w:t>Date: November 18, 2022</w:t>
            </w:r>
          </w:p>
        </w:tc>
        <w:tc>
          <w:tcPr>
            <w:tcW w:w="2320" w:type="dxa"/>
            <w:vAlign w:val="bottom"/>
          </w:tcPr>
          <w:p>
            <w:pPr>
              <w:ind w:left="18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Mark Litton</w:t>
            </w:r>
          </w:p>
        </w:tc>
      </w:tr>
      <w:tr>
        <w:trPr>
          <w:trHeight w:val="195"/>
        </w:trPr>
        <w:tc>
          <w:tcPr>
            <w:tcW w:w="38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040" w:type="dxa"/>
            <w:vAlign w:val="bottom"/>
          </w:tcPr>
          <w:p>
            <w:pPr>
              <w:ind w:left="40"/>
              <w:spacing w:after="0" w:line="195" w:lineRule="exact"/>
              <w:rPr>
                <w:sz w:val="20"/>
                <w:szCs w:val="20"/>
                <w:color w:val="auto"/>
              </w:rPr>
            </w:pPr>
            <w:r>
              <w:rPr>
                <w:rFonts w:ascii="Arial" w:cs="Arial" w:eastAsia="Arial" w:hAnsi="Arial"/>
                <w:sz w:val="18"/>
                <w:szCs w:val="18"/>
                <w:color w:val="auto"/>
              </w:rPr>
              <w:t>Mark Litton</w:t>
            </w:r>
          </w:p>
        </w:tc>
      </w:tr>
      <w:tr>
        <w:trPr>
          <w:trHeight w:val="230"/>
        </w:trPr>
        <w:tc>
          <w:tcPr>
            <w:tcW w:w="3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1235"/>
        </w:trPr>
        <w:tc>
          <w:tcPr>
            <w:tcW w:w="388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3.1</w:t>
      </w:r>
    </w:p>
    <w:p>
      <w:pPr>
        <w:spacing w:after="0" w:line="215"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AMENDED AND RESTATED BYLAWS OF</w:t>
      </w:r>
    </w:p>
    <w:p>
      <w:pPr>
        <w:spacing w:after="0" w:line="227"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ATHIRA PHARMA, INC.</w:t>
      </w:r>
    </w:p>
    <w:p>
      <w:pPr>
        <w:spacing w:after="0" w:line="22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(initially adopted on October 27, 2015)</w:t>
      </w:r>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20"/>
          <w:szCs w:val="20"/>
          <w:color w:val="auto"/>
        </w:rPr>
        <w:t>(amended on September 22, 2020)</w:t>
      </w:r>
    </w:p>
    <w:p>
      <w:pPr>
        <w:spacing w:after="0" w:line="216"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(as amended on November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332105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6"/>
        </w:trPr>
        <w:tc>
          <w:tcPr>
            <w:tcW w:w="1340" w:type="dxa"/>
            <w:vAlign w:val="bottom"/>
          </w:tcPr>
          <w:p>
            <w:pPr>
              <w:spacing w:after="0"/>
              <w:rPr>
                <w:sz w:val="22"/>
                <w:szCs w:val="22"/>
                <w:color w:val="auto"/>
              </w:rPr>
            </w:pPr>
          </w:p>
        </w:tc>
        <w:tc>
          <w:tcPr>
            <w:tcW w:w="7840" w:type="dxa"/>
            <w:vAlign w:val="bottom"/>
          </w:tcPr>
          <w:p>
            <w:pPr>
              <w:ind w:left="3200"/>
              <w:spacing w:after="0"/>
              <w:rPr>
                <w:sz w:val="20"/>
                <w:szCs w:val="20"/>
                <w:color w:val="auto"/>
              </w:rPr>
            </w:pPr>
            <w:r>
              <w:rPr>
                <w:rFonts w:ascii="Arial" w:cs="Arial" w:eastAsia="Arial" w:hAnsi="Arial"/>
                <w:sz w:val="20"/>
                <w:szCs w:val="20"/>
                <w:b w:val="1"/>
                <w:bCs w:val="1"/>
                <w:color w:val="auto"/>
              </w:rPr>
              <w:t>TABLE OF CONTENTS</w:t>
            </w:r>
          </w:p>
        </w:tc>
        <w:tc>
          <w:tcPr>
            <w:tcW w:w="2040" w:type="dxa"/>
            <w:vAlign w:val="bottom"/>
            <w:vMerge w:val="restart"/>
          </w:tcPr>
          <w:p>
            <w:pPr>
              <w:jc w:val="right"/>
              <w:spacing w:after="0"/>
              <w:rPr>
                <w:sz w:val="20"/>
                <w:szCs w:val="20"/>
                <w:color w:val="auto"/>
              </w:rPr>
            </w:pPr>
            <w:r>
              <w:rPr>
                <w:rFonts w:ascii="Arial" w:cs="Arial" w:eastAsia="Arial" w:hAnsi="Arial"/>
                <w:sz w:val="20"/>
                <w:szCs w:val="20"/>
                <w:b w:val="1"/>
                <w:bCs w:val="1"/>
                <w:i w:val="1"/>
                <w:iCs w:val="1"/>
                <w:color w:val="auto"/>
              </w:rPr>
              <w:t>Page</w:t>
            </w:r>
          </w:p>
        </w:tc>
        <w:tc>
          <w:tcPr>
            <w:tcW w:w="0" w:type="dxa"/>
            <w:vAlign w:val="bottom"/>
          </w:tcPr>
          <w:p>
            <w:pPr>
              <w:spacing w:after="0"/>
              <w:rPr>
                <w:sz w:val="1"/>
                <w:szCs w:val="1"/>
                <w:color w:val="auto"/>
              </w:rPr>
            </w:pPr>
          </w:p>
        </w:tc>
      </w:tr>
      <w:tr>
        <w:trPr>
          <w:trHeight w:val="229"/>
        </w:trPr>
        <w:tc>
          <w:tcPr>
            <w:tcW w:w="134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2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9180" w:type="dxa"/>
            <w:vAlign w:val="bottom"/>
            <w:gridSpan w:val="2"/>
          </w:tcPr>
          <w:p>
            <w:pPr>
              <w:spacing w:after="0"/>
              <w:rPr>
                <w:sz w:val="20"/>
                <w:szCs w:val="20"/>
                <w:color w:val="auto"/>
              </w:rPr>
            </w:pPr>
            <w:r>
              <w:rPr>
                <w:rFonts w:ascii="Arial" w:cs="Arial" w:eastAsia="Arial" w:hAnsi="Arial"/>
                <w:sz w:val="20"/>
                <w:szCs w:val="20"/>
                <w:color w:val="auto"/>
              </w:rPr>
              <w:t>ARTICLE I - CORPORATE OFFICES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317"/>
        </w:trPr>
        <w:tc>
          <w:tcPr>
            <w:tcW w:w="1340" w:type="dxa"/>
            <w:vAlign w:val="bottom"/>
          </w:tcPr>
          <w:p>
            <w:pPr>
              <w:ind w:left="640"/>
              <w:spacing w:after="0"/>
              <w:rPr>
                <w:sz w:val="20"/>
                <w:szCs w:val="20"/>
                <w:color w:val="auto"/>
              </w:rPr>
            </w:pPr>
            <w:r>
              <w:rPr>
                <w:rFonts w:ascii="Arial" w:cs="Arial" w:eastAsia="Arial" w:hAnsi="Arial"/>
                <w:sz w:val="20"/>
                <w:szCs w:val="20"/>
                <w:color w:val="auto"/>
              </w:rPr>
              <w:t>1.1</w:t>
            </w:r>
          </w:p>
        </w:tc>
        <w:tc>
          <w:tcPr>
            <w:tcW w:w="7840" w:type="dxa"/>
            <w:vAlign w:val="bottom"/>
          </w:tcPr>
          <w:p>
            <w:pPr>
              <w:ind w:left="340"/>
              <w:spacing w:after="0"/>
              <w:rPr>
                <w:sz w:val="20"/>
                <w:szCs w:val="20"/>
                <w:color w:val="auto"/>
              </w:rPr>
            </w:pPr>
            <w:r>
              <w:rPr>
                <w:rFonts w:ascii="Arial" w:cs="Arial" w:eastAsia="Arial" w:hAnsi="Arial"/>
                <w:sz w:val="20"/>
                <w:szCs w:val="20"/>
                <w:color w:val="auto"/>
              </w:rPr>
              <w:t>REGISTERED OFFICE</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0"/>
        </w:trPr>
        <w:tc>
          <w:tcPr>
            <w:tcW w:w="1340" w:type="dxa"/>
            <w:vAlign w:val="bottom"/>
          </w:tcPr>
          <w:p>
            <w:pPr>
              <w:ind w:left="640"/>
              <w:spacing w:after="0"/>
              <w:rPr>
                <w:sz w:val="20"/>
                <w:szCs w:val="20"/>
                <w:color w:val="auto"/>
              </w:rPr>
            </w:pPr>
            <w:r>
              <w:rPr>
                <w:rFonts w:ascii="Arial" w:cs="Arial" w:eastAsia="Arial" w:hAnsi="Arial"/>
                <w:sz w:val="20"/>
                <w:szCs w:val="20"/>
                <w:color w:val="auto"/>
              </w:rPr>
              <w:t>1.2</w:t>
            </w:r>
          </w:p>
        </w:tc>
        <w:tc>
          <w:tcPr>
            <w:tcW w:w="7840" w:type="dxa"/>
            <w:vAlign w:val="bottom"/>
          </w:tcPr>
          <w:p>
            <w:pPr>
              <w:ind w:left="340"/>
              <w:spacing w:after="0"/>
              <w:rPr>
                <w:sz w:val="20"/>
                <w:szCs w:val="20"/>
                <w:color w:val="auto"/>
              </w:rPr>
            </w:pPr>
            <w:r>
              <w:rPr>
                <w:rFonts w:ascii="Arial" w:cs="Arial" w:eastAsia="Arial" w:hAnsi="Arial"/>
                <w:sz w:val="20"/>
                <w:szCs w:val="20"/>
                <w:color w:val="auto"/>
              </w:rPr>
              <w:t>OTHER OFFICES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338"/>
        </w:trPr>
        <w:tc>
          <w:tcPr>
            <w:tcW w:w="9180" w:type="dxa"/>
            <w:vAlign w:val="bottom"/>
            <w:gridSpan w:val="2"/>
          </w:tcPr>
          <w:p>
            <w:pPr>
              <w:spacing w:after="0"/>
              <w:rPr>
                <w:sz w:val="20"/>
                <w:szCs w:val="20"/>
                <w:color w:val="auto"/>
              </w:rPr>
            </w:pPr>
            <w:r>
              <w:rPr>
                <w:rFonts w:ascii="Arial" w:cs="Arial" w:eastAsia="Arial" w:hAnsi="Arial"/>
                <w:sz w:val="20"/>
                <w:szCs w:val="20"/>
                <w:color w:val="auto"/>
              </w:rPr>
              <w:t>ARTICLE II - MEETINGS OF STOCKHOLDERS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317"/>
        </w:trPr>
        <w:tc>
          <w:tcPr>
            <w:tcW w:w="1340" w:type="dxa"/>
            <w:vAlign w:val="bottom"/>
          </w:tcPr>
          <w:p>
            <w:pPr>
              <w:ind w:left="640"/>
              <w:spacing w:after="0"/>
              <w:rPr>
                <w:sz w:val="20"/>
                <w:szCs w:val="20"/>
                <w:color w:val="auto"/>
              </w:rPr>
            </w:pPr>
            <w:r>
              <w:rPr>
                <w:rFonts w:ascii="Arial" w:cs="Arial" w:eastAsia="Arial" w:hAnsi="Arial"/>
                <w:sz w:val="20"/>
                <w:szCs w:val="20"/>
                <w:color w:val="auto"/>
              </w:rPr>
              <w:t>2.1</w:t>
            </w:r>
          </w:p>
        </w:tc>
        <w:tc>
          <w:tcPr>
            <w:tcW w:w="7840" w:type="dxa"/>
            <w:vAlign w:val="bottom"/>
          </w:tcPr>
          <w:p>
            <w:pPr>
              <w:ind w:left="340"/>
              <w:spacing w:after="0"/>
              <w:rPr>
                <w:sz w:val="20"/>
                <w:szCs w:val="20"/>
                <w:color w:val="auto"/>
              </w:rPr>
            </w:pPr>
            <w:r>
              <w:rPr>
                <w:rFonts w:ascii="Arial" w:cs="Arial" w:eastAsia="Arial" w:hAnsi="Arial"/>
                <w:sz w:val="20"/>
                <w:szCs w:val="20"/>
                <w:color w:val="auto"/>
              </w:rPr>
              <w:t>PLACE OF MEETINGS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color w:val="auto"/>
              </w:rPr>
              <w:t>2.2</w:t>
            </w:r>
          </w:p>
        </w:tc>
        <w:tc>
          <w:tcPr>
            <w:tcW w:w="7840" w:type="dxa"/>
            <w:vAlign w:val="bottom"/>
          </w:tcPr>
          <w:p>
            <w:pPr>
              <w:ind w:left="340"/>
              <w:spacing w:after="0"/>
              <w:rPr>
                <w:sz w:val="20"/>
                <w:szCs w:val="20"/>
                <w:color w:val="auto"/>
              </w:rPr>
            </w:pPr>
            <w:r>
              <w:rPr>
                <w:rFonts w:ascii="Arial" w:cs="Arial" w:eastAsia="Arial" w:hAnsi="Arial"/>
                <w:sz w:val="20"/>
                <w:szCs w:val="20"/>
                <w:color w:val="auto"/>
              </w:rPr>
              <w:t>ANNUAL MEETING</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2.3</w:t>
            </w:r>
          </w:p>
        </w:tc>
        <w:tc>
          <w:tcPr>
            <w:tcW w:w="7840" w:type="dxa"/>
            <w:vAlign w:val="bottom"/>
          </w:tcPr>
          <w:p>
            <w:pPr>
              <w:ind w:left="340"/>
              <w:spacing w:after="0"/>
              <w:rPr>
                <w:sz w:val="20"/>
                <w:szCs w:val="20"/>
                <w:color w:val="auto"/>
              </w:rPr>
            </w:pPr>
            <w:r>
              <w:rPr>
                <w:rFonts w:ascii="Arial" w:cs="Arial" w:eastAsia="Arial" w:hAnsi="Arial"/>
                <w:sz w:val="20"/>
                <w:szCs w:val="20"/>
                <w:color w:val="auto"/>
              </w:rPr>
              <w:t>SPECIAL MEETING</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color w:val="auto"/>
              </w:rPr>
              <w:t>2.4</w:t>
            </w:r>
          </w:p>
        </w:tc>
        <w:tc>
          <w:tcPr>
            <w:tcW w:w="7840" w:type="dxa"/>
            <w:vAlign w:val="bottom"/>
          </w:tcPr>
          <w:p>
            <w:pPr>
              <w:ind w:left="340"/>
              <w:spacing w:after="0"/>
              <w:rPr>
                <w:sz w:val="20"/>
                <w:szCs w:val="20"/>
                <w:color w:val="auto"/>
              </w:rPr>
            </w:pPr>
            <w:r>
              <w:rPr>
                <w:rFonts w:ascii="Arial" w:cs="Arial" w:eastAsia="Arial" w:hAnsi="Arial"/>
                <w:sz w:val="20"/>
                <w:szCs w:val="20"/>
                <w:color w:val="auto"/>
              </w:rPr>
              <w:t>ADVANCE NOTICE PROCEDURES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2.5</w:t>
            </w:r>
          </w:p>
        </w:tc>
        <w:tc>
          <w:tcPr>
            <w:tcW w:w="7840" w:type="dxa"/>
            <w:vAlign w:val="bottom"/>
          </w:tcPr>
          <w:p>
            <w:pPr>
              <w:ind w:left="340"/>
              <w:spacing w:after="0"/>
              <w:rPr>
                <w:sz w:val="20"/>
                <w:szCs w:val="20"/>
                <w:color w:val="auto"/>
              </w:rPr>
            </w:pPr>
            <w:r>
              <w:rPr>
                <w:rFonts w:ascii="Arial" w:cs="Arial" w:eastAsia="Arial" w:hAnsi="Arial"/>
                <w:sz w:val="20"/>
                <w:szCs w:val="20"/>
                <w:color w:val="auto"/>
              </w:rPr>
              <w:t>NOTICE OF STOCKHOLDERS’ MEETINGS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color w:val="auto"/>
              </w:rPr>
              <w:t>2.6</w:t>
            </w:r>
          </w:p>
        </w:tc>
        <w:tc>
          <w:tcPr>
            <w:tcW w:w="7840" w:type="dxa"/>
            <w:vAlign w:val="bottom"/>
          </w:tcPr>
          <w:p>
            <w:pPr>
              <w:ind w:left="340"/>
              <w:spacing w:after="0"/>
              <w:rPr>
                <w:sz w:val="20"/>
                <w:szCs w:val="20"/>
                <w:color w:val="auto"/>
              </w:rPr>
            </w:pPr>
            <w:r>
              <w:rPr>
                <w:rFonts w:ascii="Arial" w:cs="Arial" w:eastAsia="Arial" w:hAnsi="Arial"/>
                <w:sz w:val="20"/>
                <w:szCs w:val="20"/>
                <w:color w:val="auto"/>
              </w:rPr>
              <w:t>QUORUM</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color w:val="auto"/>
              </w:rPr>
              <w:t>2.7</w:t>
            </w:r>
          </w:p>
        </w:tc>
        <w:tc>
          <w:tcPr>
            <w:tcW w:w="7840" w:type="dxa"/>
            <w:vAlign w:val="bottom"/>
          </w:tcPr>
          <w:p>
            <w:pPr>
              <w:ind w:left="340"/>
              <w:spacing w:after="0"/>
              <w:rPr>
                <w:sz w:val="20"/>
                <w:szCs w:val="20"/>
                <w:color w:val="auto"/>
              </w:rPr>
            </w:pPr>
            <w:r>
              <w:rPr>
                <w:rFonts w:ascii="Arial" w:cs="Arial" w:eastAsia="Arial" w:hAnsi="Arial"/>
                <w:sz w:val="20"/>
                <w:szCs w:val="20"/>
                <w:color w:val="auto"/>
              </w:rPr>
              <w:t>ADJOURNED MEETING; NOTICE</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2.8</w:t>
            </w:r>
          </w:p>
        </w:tc>
        <w:tc>
          <w:tcPr>
            <w:tcW w:w="7840" w:type="dxa"/>
            <w:vAlign w:val="bottom"/>
          </w:tcPr>
          <w:p>
            <w:pPr>
              <w:ind w:left="340"/>
              <w:spacing w:after="0"/>
              <w:rPr>
                <w:sz w:val="20"/>
                <w:szCs w:val="20"/>
                <w:color w:val="auto"/>
              </w:rPr>
            </w:pPr>
            <w:r>
              <w:rPr>
                <w:rFonts w:ascii="Arial" w:cs="Arial" w:eastAsia="Arial" w:hAnsi="Arial"/>
                <w:sz w:val="20"/>
                <w:szCs w:val="20"/>
                <w:color w:val="auto"/>
              </w:rPr>
              <w:t>CONDUCT OF BUSINESS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color w:val="auto"/>
              </w:rPr>
              <w:t>2.9</w:t>
            </w:r>
          </w:p>
        </w:tc>
        <w:tc>
          <w:tcPr>
            <w:tcW w:w="7840" w:type="dxa"/>
            <w:vAlign w:val="bottom"/>
          </w:tcPr>
          <w:p>
            <w:pPr>
              <w:ind w:left="340"/>
              <w:spacing w:after="0"/>
              <w:rPr>
                <w:sz w:val="20"/>
                <w:szCs w:val="20"/>
                <w:color w:val="auto"/>
              </w:rPr>
            </w:pPr>
            <w:r>
              <w:rPr>
                <w:rFonts w:ascii="Arial" w:cs="Arial" w:eastAsia="Arial" w:hAnsi="Arial"/>
                <w:sz w:val="20"/>
                <w:szCs w:val="20"/>
                <w:color w:val="auto"/>
              </w:rPr>
              <w:t>VOTING</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color w:val="auto"/>
              </w:rPr>
              <w:t>2.10</w:t>
            </w:r>
          </w:p>
        </w:tc>
        <w:tc>
          <w:tcPr>
            <w:tcW w:w="7840" w:type="dxa"/>
            <w:vAlign w:val="bottom"/>
          </w:tcPr>
          <w:p>
            <w:pPr>
              <w:ind w:left="340"/>
              <w:spacing w:after="0"/>
              <w:rPr>
                <w:sz w:val="20"/>
                <w:szCs w:val="20"/>
                <w:color w:val="auto"/>
              </w:rPr>
            </w:pPr>
            <w:r>
              <w:rPr>
                <w:rFonts w:ascii="Arial" w:cs="Arial" w:eastAsia="Arial" w:hAnsi="Arial"/>
                <w:sz w:val="20"/>
                <w:szCs w:val="20"/>
                <w:color w:val="auto"/>
              </w:rPr>
              <w:t>STOCKHOLDER ACTION BY WRITTEN CONSENT WITHOUT A MEETING</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2.11</w:t>
            </w:r>
          </w:p>
        </w:tc>
        <w:tc>
          <w:tcPr>
            <w:tcW w:w="7840" w:type="dxa"/>
            <w:vAlign w:val="bottom"/>
          </w:tcPr>
          <w:p>
            <w:pPr>
              <w:ind w:left="340"/>
              <w:spacing w:after="0"/>
              <w:rPr>
                <w:sz w:val="20"/>
                <w:szCs w:val="20"/>
                <w:color w:val="auto"/>
              </w:rPr>
            </w:pPr>
            <w:r>
              <w:rPr>
                <w:rFonts w:ascii="Arial" w:cs="Arial" w:eastAsia="Arial" w:hAnsi="Arial"/>
                <w:sz w:val="20"/>
                <w:szCs w:val="20"/>
                <w:color w:val="auto"/>
              </w:rPr>
              <w:t>RECORD DATES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color w:val="auto"/>
              </w:rPr>
              <w:t>2.12</w:t>
            </w:r>
          </w:p>
        </w:tc>
        <w:tc>
          <w:tcPr>
            <w:tcW w:w="7840" w:type="dxa"/>
            <w:vAlign w:val="bottom"/>
          </w:tcPr>
          <w:p>
            <w:pPr>
              <w:ind w:left="340"/>
              <w:spacing w:after="0"/>
              <w:rPr>
                <w:sz w:val="20"/>
                <w:szCs w:val="20"/>
                <w:color w:val="auto"/>
              </w:rPr>
            </w:pPr>
            <w:r>
              <w:rPr>
                <w:rFonts w:ascii="Arial" w:cs="Arial" w:eastAsia="Arial" w:hAnsi="Arial"/>
                <w:sz w:val="20"/>
                <w:szCs w:val="20"/>
                <w:color w:val="auto"/>
              </w:rPr>
              <w:t>PROXIES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2.13</w:t>
            </w:r>
          </w:p>
        </w:tc>
        <w:tc>
          <w:tcPr>
            <w:tcW w:w="7840" w:type="dxa"/>
            <w:vAlign w:val="bottom"/>
          </w:tcPr>
          <w:p>
            <w:pPr>
              <w:ind w:left="340"/>
              <w:spacing w:after="0"/>
              <w:rPr>
                <w:sz w:val="20"/>
                <w:szCs w:val="20"/>
                <w:color w:val="auto"/>
              </w:rPr>
            </w:pPr>
            <w:r>
              <w:rPr>
                <w:rFonts w:ascii="Arial" w:cs="Arial" w:eastAsia="Arial" w:hAnsi="Arial"/>
                <w:sz w:val="20"/>
                <w:szCs w:val="20"/>
                <w:color w:val="auto"/>
              </w:rPr>
              <w:t>LIST OF STOCKHOLDERS ENTITLED TO VOTE</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50"/>
        </w:trPr>
        <w:tc>
          <w:tcPr>
            <w:tcW w:w="1340" w:type="dxa"/>
            <w:vAlign w:val="bottom"/>
          </w:tcPr>
          <w:p>
            <w:pPr>
              <w:ind w:left="640"/>
              <w:spacing w:after="0"/>
              <w:rPr>
                <w:sz w:val="20"/>
                <w:szCs w:val="20"/>
                <w:color w:val="auto"/>
              </w:rPr>
            </w:pPr>
            <w:r>
              <w:rPr>
                <w:rFonts w:ascii="Arial" w:cs="Arial" w:eastAsia="Arial" w:hAnsi="Arial"/>
                <w:sz w:val="20"/>
                <w:szCs w:val="20"/>
                <w:color w:val="auto"/>
              </w:rPr>
              <w:t>2.14</w:t>
            </w:r>
          </w:p>
        </w:tc>
        <w:tc>
          <w:tcPr>
            <w:tcW w:w="7840" w:type="dxa"/>
            <w:vAlign w:val="bottom"/>
          </w:tcPr>
          <w:p>
            <w:pPr>
              <w:ind w:left="340"/>
              <w:spacing w:after="0"/>
              <w:rPr>
                <w:sz w:val="20"/>
                <w:szCs w:val="20"/>
                <w:color w:val="auto"/>
              </w:rPr>
            </w:pPr>
            <w:r>
              <w:rPr>
                <w:rFonts w:ascii="Arial" w:cs="Arial" w:eastAsia="Arial" w:hAnsi="Arial"/>
                <w:sz w:val="20"/>
                <w:szCs w:val="20"/>
                <w:color w:val="auto"/>
              </w:rPr>
              <w:t>INSPECTORS OF ELECTION</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337"/>
        </w:trPr>
        <w:tc>
          <w:tcPr>
            <w:tcW w:w="9180" w:type="dxa"/>
            <w:vAlign w:val="bottom"/>
            <w:gridSpan w:val="2"/>
          </w:tcPr>
          <w:p>
            <w:pPr>
              <w:spacing w:after="0"/>
              <w:rPr>
                <w:sz w:val="20"/>
                <w:szCs w:val="20"/>
                <w:color w:val="auto"/>
              </w:rPr>
            </w:pPr>
            <w:r>
              <w:rPr>
                <w:rFonts w:ascii="Arial" w:cs="Arial" w:eastAsia="Arial" w:hAnsi="Arial"/>
                <w:sz w:val="20"/>
                <w:szCs w:val="20"/>
                <w:color w:val="auto"/>
              </w:rPr>
              <w:t>ARTICLE III - DIRECTORS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317"/>
        </w:trPr>
        <w:tc>
          <w:tcPr>
            <w:tcW w:w="1340" w:type="dxa"/>
            <w:vAlign w:val="bottom"/>
          </w:tcPr>
          <w:p>
            <w:pPr>
              <w:ind w:left="640"/>
              <w:spacing w:after="0"/>
              <w:rPr>
                <w:sz w:val="20"/>
                <w:szCs w:val="20"/>
                <w:color w:val="auto"/>
              </w:rPr>
            </w:pPr>
            <w:r>
              <w:rPr>
                <w:rFonts w:ascii="Arial" w:cs="Arial" w:eastAsia="Arial" w:hAnsi="Arial"/>
                <w:sz w:val="20"/>
                <w:szCs w:val="20"/>
                <w:color w:val="auto"/>
              </w:rPr>
              <w:t>3.1</w:t>
            </w:r>
          </w:p>
        </w:tc>
        <w:tc>
          <w:tcPr>
            <w:tcW w:w="7840" w:type="dxa"/>
            <w:vAlign w:val="bottom"/>
          </w:tcPr>
          <w:p>
            <w:pPr>
              <w:ind w:left="340"/>
              <w:spacing w:after="0"/>
              <w:rPr>
                <w:sz w:val="20"/>
                <w:szCs w:val="20"/>
                <w:color w:val="auto"/>
              </w:rPr>
            </w:pPr>
            <w:r>
              <w:rPr>
                <w:rFonts w:ascii="Arial" w:cs="Arial" w:eastAsia="Arial" w:hAnsi="Arial"/>
                <w:sz w:val="20"/>
                <w:szCs w:val="20"/>
                <w:color w:val="auto"/>
              </w:rPr>
              <w:t>POWERS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color w:val="auto"/>
              </w:rPr>
              <w:t>3.2</w:t>
            </w:r>
          </w:p>
        </w:tc>
        <w:tc>
          <w:tcPr>
            <w:tcW w:w="7840" w:type="dxa"/>
            <w:vAlign w:val="bottom"/>
          </w:tcPr>
          <w:p>
            <w:pPr>
              <w:ind w:left="340"/>
              <w:spacing w:after="0"/>
              <w:rPr>
                <w:sz w:val="20"/>
                <w:szCs w:val="20"/>
                <w:color w:val="auto"/>
              </w:rPr>
            </w:pPr>
            <w:r>
              <w:rPr>
                <w:rFonts w:ascii="Arial" w:cs="Arial" w:eastAsia="Arial" w:hAnsi="Arial"/>
                <w:sz w:val="20"/>
                <w:szCs w:val="20"/>
                <w:color w:val="auto"/>
              </w:rPr>
              <w:t>NUMBER OF DIRECTORS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3.3</w:t>
            </w:r>
          </w:p>
        </w:tc>
        <w:tc>
          <w:tcPr>
            <w:tcW w:w="7840" w:type="dxa"/>
            <w:vAlign w:val="bottom"/>
          </w:tcPr>
          <w:p>
            <w:pPr>
              <w:ind w:left="340"/>
              <w:spacing w:after="0"/>
              <w:rPr>
                <w:sz w:val="20"/>
                <w:szCs w:val="20"/>
                <w:color w:val="auto"/>
              </w:rPr>
            </w:pPr>
            <w:r>
              <w:rPr>
                <w:rFonts w:ascii="Arial" w:cs="Arial" w:eastAsia="Arial" w:hAnsi="Arial"/>
                <w:sz w:val="20"/>
                <w:szCs w:val="20"/>
                <w:color w:val="auto"/>
              </w:rPr>
              <w:t>ELECTION, QUALIFICATION AND TERM OF OFFICE OF DIRECTORS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3.4</w:t>
            </w:r>
          </w:p>
        </w:tc>
        <w:tc>
          <w:tcPr>
            <w:tcW w:w="7840" w:type="dxa"/>
            <w:vAlign w:val="bottom"/>
          </w:tcPr>
          <w:p>
            <w:pPr>
              <w:ind w:left="340"/>
              <w:spacing w:after="0"/>
              <w:rPr>
                <w:sz w:val="20"/>
                <w:szCs w:val="20"/>
                <w:color w:val="auto"/>
              </w:rPr>
            </w:pPr>
            <w:r>
              <w:rPr>
                <w:rFonts w:ascii="Arial" w:cs="Arial" w:eastAsia="Arial" w:hAnsi="Arial"/>
                <w:sz w:val="20"/>
                <w:szCs w:val="20"/>
                <w:color w:val="auto"/>
              </w:rPr>
              <w:t>RESIGNATION AND VACANCIES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3.5</w:t>
            </w:r>
          </w:p>
        </w:tc>
        <w:tc>
          <w:tcPr>
            <w:tcW w:w="7840" w:type="dxa"/>
            <w:vAlign w:val="bottom"/>
          </w:tcPr>
          <w:p>
            <w:pPr>
              <w:ind w:left="340"/>
              <w:spacing w:after="0"/>
              <w:rPr>
                <w:sz w:val="20"/>
                <w:szCs w:val="20"/>
                <w:color w:val="auto"/>
              </w:rPr>
            </w:pPr>
            <w:r>
              <w:rPr>
                <w:rFonts w:ascii="Arial" w:cs="Arial" w:eastAsia="Arial" w:hAnsi="Arial"/>
                <w:sz w:val="20"/>
                <w:szCs w:val="20"/>
                <w:color w:val="auto"/>
              </w:rPr>
              <w:t>PLACE OF MEETINGS; MEETINGS BY TELEPHONE</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3.6</w:t>
            </w:r>
          </w:p>
        </w:tc>
        <w:tc>
          <w:tcPr>
            <w:tcW w:w="7840" w:type="dxa"/>
            <w:vAlign w:val="bottom"/>
          </w:tcPr>
          <w:p>
            <w:pPr>
              <w:ind w:left="340"/>
              <w:spacing w:after="0"/>
              <w:rPr>
                <w:sz w:val="20"/>
                <w:szCs w:val="20"/>
                <w:color w:val="auto"/>
              </w:rPr>
            </w:pPr>
            <w:r>
              <w:rPr>
                <w:rFonts w:ascii="Arial" w:cs="Arial" w:eastAsia="Arial" w:hAnsi="Arial"/>
                <w:sz w:val="20"/>
                <w:szCs w:val="20"/>
                <w:color w:val="auto"/>
              </w:rPr>
              <w:t>REGULAR MEETINGS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color w:val="auto"/>
              </w:rPr>
              <w:t>3.7</w:t>
            </w:r>
          </w:p>
        </w:tc>
        <w:tc>
          <w:tcPr>
            <w:tcW w:w="7840" w:type="dxa"/>
            <w:vAlign w:val="bottom"/>
          </w:tcPr>
          <w:p>
            <w:pPr>
              <w:ind w:left="340"/>
              <w:spacing w:after="0"/>
              <w:rPr>
                <w:sz w:val="20"/>
                <w:szCs w:val="20"/>
                <w:color w:val="auto"/>
              </w:rPr>
            </w:pPr>
            <w:r>
              <w:rPr>
                <w:rFonts w:ascii="Arial" w:cs="Arial" w:eastAsia="Arial" w:hAnsi="Arial"/>
                <w:sz w:val="20"/>
                <w:szCs w:val="20"/>
                <w:color w:val="auto"/>
              </w:rPr>
              <w:t>SPECIAL MEETINGS; NOTICE</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3.8</w:t>
            </w:r>
          </w:p>
        </w:tc>
        <w:tc>
          <w:tcPr>
            <w:tcW w:w="7840" w:type="dxa"/>
            <w:vAlign w:val="bottom"/>
          </w:tcPr>
          <w:p>
            <w:pPr>
              <w:ind w:left="340"/>
              <w:spacing w:after="0"/>
              <w:rPr>
                <w:sz w:val="20"/>
                <w:szCs w:val="20"/>
                <w:color w:val="auto"/>
              </w:rPr>
            </w:pPr>
            <w:r>
              <w:rPr>
                <w:rFonts w:ascii="Arial" w:cs="Arial" w:eastAsia="Arial" w:hAnsi="Arial"/>
                <w:sz w:val="20"/>
                <w:szCs w:val="20"/>
                <w:color w:val="auto"/>
              </w:rPr>
              <w:t>QUORUM; VOTING</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3.9</w:t>
            </w:r>
          </w:p>
        </w:tc>
        <w:tc>
          <w:tcPr>
            <w:tcW w:w="7840" w:type="dxa"/>
            <w:vAlign w:val="bottom"/>
          </w:tcPr>
          <w:p>
            <w:pPr>
              <w:ind w:left="340"/>
              <w:spacing w:after="0"/>
              <w:rPr>
                <w:sz w:val="20"/>
                <w:szCs w:val="20"/>
                <w:color w:val="auto"/>
              </w:rPr>
            </w:pPr>
            <w:r>
              <w:rPr>
                <w:rFonts w:ascii="Arial" w:cs="Arial" w:eastAsia="Arial" w:hAnsi="Arial"/>
                <w:sz w:val="20"/>
                <w:szCs w:val="20"/>
                <w:color w:val="auto"/>
              </w:rPr>
              <w:t>BOARD ACTION BY WRITTEN CONSENT WITHOUT A MEETING</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3.10</w:t>
            </w:r>
          </w:p>
        </w:tc>
        <w:tc>
          <w:tcPr>
            <w:tcW w:w="7840" w:type="dxa"/>
            <w:vAlign w:val="bottom"/>
          </w:tcPr>
          <w:p>
            <w:pPr>
              <w:ind w:left="340"/>
              <w:spacing w:after="0"/>
              <w:rPr>
                <w:sz w:val="20"/>
                <w:szCs w:val="20"/>
                <w:color w:val="auto"/>
              </w:rPr>
            </w:pPr>
            <w:r>
              <w:rPr>
                <w:rFonts w:ascii="Arial" w:cs="Arial" w:eastAsia="Arial" w:hAnsi="Arial"/>
                <w:sz w:val="20"/>
                <w:szCs w:val="20"/>
                <w:color w:val="auto"/>
              </w:rPr>
              <w:t>FEES AND COMPENSATION OF DIRECTORS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50"/>
        </w:trPr>
        <w:tc>
          <w:tcPr>
            <w:tcW w:w="1340" w:type="dxa"/>
            <w:vAlign w:val="bottom"/>
          </w:tcPr>
          <w:p>
            <w:pPr>
              <w:ind w:left="640"/>
              <w:spacing w:after="0"/>
              <w:rPr>
                <w:sz w:val="20"/>
                <w:szCs w:val="20"/>
                <w:color w:val="auto"/>
              </w:rPr>
            </w:pPr>
            <w:r>
              <w:rPr>
                <w:rFonts w:ascii="Arial" w:cs="Arial" w:eastAsia="Arial" w:hAnsi="Arial"/>
                <w:sz w:val="20"/>
                <w:szCs w:val="20"/>
                <w:color w:val="auto"/>
              </w:rPr>
              <w:t>3.11</w:t>
            </w:r>
          </w:p>
        </w:tc>
        <w:tc>
          <w:tcPr>
            <w:tcW w:w="7840" w:type="dxa"/>
            <w:vAlign w:val="bottom"/>
          </w:tcPr>
          <w:p>
            <w:pPr>
              <w:ind w:left="340"/>
              <w:spacing w:after="0"/>
              <w:rPr>
                <w:sz w:val="20"/>
                <w:szCs w:val="20"/>
                <w:color w:val="auto"/>
              </w:rPr>
            </w:pPr>
            <w:r>
              <w:rPr>
                <w:rFonts w:ascii="Arial" w:cs="Arial" w:eastAsia="Arial" w:hAnsi="Arial"/>
                <w:sz w:val="20"/>
                <w:szCs w:val="20"/>
                <w:color w:val="auto"/>
              </w:rPr>
              <w:t>REMOVAL OF DIRECTORS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337"/>
        </w:trPr>
        <w:tc>
          <w:tcPr>
            <w:tcW w:w="9180" w:type="dxa"/>
            <w:vAlign w:val="bottom"/>
            <w:gridSpan w:val="2"/>
          </w:tcPr>
          <w:p>
            <w:pPr>
              <w:spacing w:after="0"/>
              <w:rPr>
                <w:sz w:val="20"/>
                <w:szCs w:val="20"/>
                <w:color w:val="auto"/>
              </w:rPr>
            </w:pPr>
            <w:r>
              <w:rPr>
                <w:rFonts w:ascii="Arial" w:cs="Arial" w:eastAsia="Arial" w:hAnsi="Arial"/>
                <w:sz w:val="20"/>
                <w:szCs w:val="20"/>
                <w:color w:val="auto"/>
              </w:rPr>
              <w:t>ARTICLE IV - COMMITTEES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317"/>
        </w:trPr>
        <w:tc>
          <w:tcPr>
            <w:tcW w:w="1340" w:type="dxa"/>
            <w:vAlign w:val="bottom"/>
          </w:tcPr>
          <w:p>
            <w:pPr>
              <w:ind w:left="640"/>
              <w:spacing w:after="0"/>
              <w:rPr>
                <w:sz w:val="20"/>
                <w:szCs w:val="20"/>
                <w:color w:val="auto"/>
              </w:rPr>
            </w:pPr>
            <w:r>
              <w:rPr>
                <w:rFonts w:ascii="Arial" w:cs="Arial" w:eastAsia="Arial" w:hAnsi="Arial"/>
                <w:sz w:val="20"/>
                <w:szCs w:val="20"/>
                <w:color w:val="auto"/>
              </w:rPr>
              <w:t>4.1</w:t>
            </w:r>
          </w:p>
        </w:tc>
        <w:tc>
          <w:tcPr>
            <w:tcW w:w="7840" w:type="dxa"/>
            <w:vAlign w:val="bottom"/>
          </w:tcPr>
          <w:p>
            <w:pPr>
              <w:ind w:left="340"/>
              <w:spacing w:after="0"/>
              <w:rPr>
                <w:sz w:val="20"/>
                <w:szCs w:val="20"/>
                <w:color w:val="auto"/>
              </w:rPr>
            </w:pPr>
            <w:r>
              <w:rPr>
                <w:rFonts w:ascii="Arial" w:cs="Arial" w:eastAsia="Arial" w:hAnsi="Arial"/>
                <w:sz w:val="20"/>
                <w:szCs w:val="20"/>
                <w:color w:val="auto"/>
              </w:rPr>
              <w:t>COMMITTEES OF DIRECTORS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4.2</w:t>
            </w:r>
          </w:p>
        </w:tc>
        <w:tc>
          <w:tcPr>
            <w:tcW w:w="7840" w:type="dxa"/>
            <w:vAlign w:val="bottom"/>
          </w:tcPr>
          <w:p>
            <w:pPr>
              <w:ind w:left="340"/>
              <w:spacing w:after="0"/>
              <w:rPr>
                <w:sz w:val="20"/>
                <w:szCs w:val="20"/>
                <w:color w:val="auto"/>
              </w:rPr>
            </w:pPr>
            <w:r>
              <w:rPr>
                <w:rFonts w:ascii="Arial" w:cs="Arial" w:eastAsia="Arial" w:hAnsi="Arial"/>
                <w:sz w:val="20"/>
                <w:szCs w:val="20"/>
                <w:color w:val="auto"/>
              </w:rPr>
              <w:t>COMMITTEE MINUTES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4.3</w:t>
            </w:r>
          </w:p>
        </w:tc>
        <w:tc>
          <w:tcPr>
            <w:tcW w:w="7840" w:type="dxa"/>
            <w:vAlign w:val="bottom"/>
          </w:tcPr>
          <w:p>
            <w:pPr>
              <w:ind w:left="340"/>
              <w:spacing w:after="0"/>
              <w:rPr>
                <w:sz w:val="20"/>
                <w:szCs w:val="20"/>
                <w:color w:val="auto"/>
              </w:rPr>
            </w:pPr>
            <w:r>
              <w:rPr>
                <w:rFonts w:ascii="Arial" w:cs="Arial" w:eastAsia="Arial" w:hAnsi="Arial"/>
                <w:sz w:val="20"/>
                <w:szCs w:val="20"/>
                <w:color w:val="auto"/>
              </w:rPr>
              <w:t>MEETINGS AND ACTION OF COMMITTEES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50"/>
        </w:trPr>
        <w:tc>
          <w:tcPr>
            <w:tcW w:w="1340" w:type="dxa"/>
            <w:vAlign w:val="bottom"/>
          </w:tcPr>
          <w:p>
            <w:pPr>
              <w:ind w:left="640"/>
              <w:spacing w:after="0"/>
              <w:rPr>
                <w:sz w:val="20"/>
                <w:szCs w:val="20"/>
                <w:color w:val="auto"/>
              </w:rPr>
            </w:pPr>
            <w:r>
              <w:rPr>
                <w:rFonts w:ascii="Arial" w:cs="Arial" w:eastAsia="Arial" w:hAnsi="Arial"/>
                <w:sz w:val="20"/>
                <w:szCs w:val="20"/>
                <w:color w:val="auto"/>
              </w:rPr>
              <w:t>4.4</w:t>
            </w:r>
          </w:p>
        </w:tc>
        <w:tc>
          <w:tcPr>
            <w:tcW w:w="7840" w:type="dxa"/>
            <w:vAlign w:val="bottom"/>
          </w:tcPr>
          <w:p>
            <w:pPr>
              <w:ind w:left="340"/>
              <w:spacing w:after="0"/>
              <w:rPr>
                <w:sz w:val="20"/>
                <w:szCs w:val="20"/>
                <w:color w:val="auto"/>
              </w:rPr>
            </w:pPr>
            <w:r>
              <w:rPr>
                <w:rFonts w:ascii="Arial" w:cs="Arial" w:eastAsia="Arial" w:hAnsi="Arial"/>
                <w:sz w:val="20"/>
                <w:szCs w:val="20"/>
                <w:color w:val="auto"/>
              </w:rPr>
              <w:t>SUBCOMMITTEES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338"/>
        </w:trPr>
        <w:tc>
          <w:tcPr>
            <w:tcW w:w="9180" w:type="dxa"/>
            <w:vAlign w:val="bottom"/>
            <w:gridSpan w:val="2"/>
          </w:tcPr>
          <w:p>
            <w:pPr>
              <w:spacing w:after="0"/>
              <w:rPr>
                <w:sz w:val="20"/>
                <w:szCs w:val="20"/>
                <w:color w:val="auto"/>
              </w:rPr>
            </w:pPr>
            <w:r>
              <w:rPr>
                <w:rFonts w:ascii="Arial" w:cs="Arial" w:eastAsia="Arial" w:hAnsi="Arial"/>
                <w:sz w:val="20"/>
                <w:szCs w:val="20"/>
                <w:color w:val="auto"/>
              </w:rPr>
              <w:t>ARTICLE V - OFFICERS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317"/>
        </w:trPr>
        <w:tc>
          <w:tcPr>
            <w:tcW w:w="1340" w:type="dxa"/>
            <w:vAlign w:val="bottom"/>
          </w:tcPr>
          <w:p>
            <w:pPr>
              <w:ind w:left="640"/>
              <w:spacing w:after="0"/>
              <w:rPr>
                <w:sz w:val="20"/>
                <w:szCs w:val="20"/>
                <w:color w:val="auto"/>
              </w:rPr>
            </w:pPr>
            <w:r>
              <w:rPr>
                <w:rFonts w:ascii="Arial" w:cs="Arial" w:eastAsia="Arial" w:hAnsi="Arial"/>
                <w:sz w:val="20"/>
                <w:szCs w:val="20"/>
                <w:color w:val="auto"/>
              </w:rPr>
              <w:t>5.1</w:t>
            </w:r>
          </w:p>
        </w:tc>
        <w:tc>
          <w:tcPr>
            <w:tcW w:w="7840" w:type="dxa"/>
            <w:vAlign w:val="bottom"/>
          </w:tcPr>
          <w:p>
            <w:pPr>
              <w:ind w:left="340"/>
              <w:spacing w:after="0"/>
              <w:rPr>
                <w:sz w:val="20"/>
                <w:szCs w:val="20"/>
                <w:color w:val="auto"/>
              </w:rPr>
            </w:pPr>
            <w:r>
              <w:rPr>
                <w:rFonts w:ascii="Arial" w:cs="Arial" w:eastAsia="Arial" w:hAnsi="Arial"/>
                <w:sz w:val="20"/>
                <w:szCs w:val="20"/>
                <w:color w:val="auto"/>
              </w:rPr>
              <w:t>OFFICERS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5.2</w:t>
            </w:r>
          </w:p>
        </w:tc>
        <w:tc>
          <w:tcPr>
            <w:tcW w:w="7840" w:type="dxa"/>
            <w:vAlign w:val="bottom"/>
          </w:tcPr>
          <w:p>
            <w:pPr>
              <w:ind w:left="340"/>
              <w:spacing w:after="0"/>
              <w:rPr>
                <w:sz w:val="20"/>
                <w:szCs w:val="20"/>
                <w:color w:val="auto"/>
              </w:rPr>
            </w:pPr>
            <w:r>
              <w:rPr>
                <w:rFonts w:ascii="Arial" w:cs="Arial" w:eastAsia="Arial" w:hAnsi="Arial"/>
                <w:sz w:val="20"/>
                <w:szCs w:val="20"/>
                <w:color w:val="auto"/>
              </w:rPr>
              <w:t>APPOINTMENT OF OFFICERS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5.3</w:t>
            </w:r>
          </w:p>
        </w:tc>
        <w:tc>
          <w:tcPr>
            <w:tcW w:w="7840" w:type="dxa"/>
            <w:vAlign w:val="bottom"/>
          </w:tcPr>
          <w:p>
            <w:pPr>
              <w:ind w:left="340"/>
              <w:spacing w:after="0"/>
              <w:rPr>
                <w:sz w:val="20"/>
                <w:szCs w:val="20"/>
                <w:color w:val="auto"/>
              </w:rPr>
            </w:pPr>
            <w:r>
              <w:rPr>
                <w:rFonts w:ascii="Arial" w:cs="Arial" w:eastAsia="Arial" w:hAnsi="Arial"/>
                <w:sz w:val="20"/>
                <w:szCs w:val="20"/>
                <w:color w:val="auto"/>
              </w:rPr>
              <w:t>SUBORDINATE OFFICERS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5.4</w:t>
            </w:r>
          </w:p>
        </w:tc>
        <w:tc>
          <w:tcPr>
            <w:tcW w:w="7840" w:type="dxa"/>
            <w:vAlign w:val="bottom"/>
          </w:tcPr>
          <w:p>
            <w:pPr>
              <w:ind w:left="340"/>
              <w:spacing w:after="0"/>
              <w:rPr>
                <w:sz w:val="20"/>
                <w:szCs w:val="20"/>
                <w:color w:val="auto"/>
              </w:rPr>
            </w:pPr>
            <w:r>
              <w:rPr>
                <w:rFonts w:ascii="Arial" w:cs="Arial" w:eastAsia="Arial" w:hAnsi="Arial"/>
                <w:sz w:val="20"/>
                <w:szCs w:val="20"/>
                <w:color w:val="auto"/>
              </w:rPr>
              <w:t>REMOVAL AND RESIGNATION OF OFFICERS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color w:val="auto"/>
              </w:rPr>
              <w:t>5.5</w:t>
            </w:r>
          </w:p>
        </w:tc>
        <w:tc>
          <w:tcPr>
            <w:tcW w:w="7840" w:type="dxa"/>
            <w:vAlign w:val="bottom"/>
          </w:tcPr>
          <w:p>
            <w:pPr>
              <w:ind w:left="340"/>
              <w:spacing w:after="0"/>
              <w:rPr>
                <w:sz w:val="20"/>
                <w:szCs w:val="20"/>
                <w:color w:val="auto"/>
              </w:rPr>
            </w:pPr>
            <w:r>
              <w:rPr>
                <w:rFonts w:ascii="Arial" w:cs="Arial" w:eastAsia="Arial" w:hAnsi="Arial"/>
                <w:sz w:val="20"/>
                <w:szCs w:val="20"/>
                <w:color w:val="auto"/>
              </w:rPr>
              <w:t>VACANCIES IN OFFICES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50"/>
        </w:trPr>
        <w:tc>
          <w:tcPr>
            <w:tcW w:w="1340" w:type="dxa"/>
            <w:vAlign w:val="bottom"/>
          </w:tcPr>
          <w:p>
            <w:pPr>
              <w:ind w:left="640"/>
              <w:spacing w:after="0"/>
              <w:rPr>
                <w:sz w:val="20"/>
                <w:szCs w:val="20"/>
                <w:color w:val="auto"/>
              </w:rPr>
            </w:pPr>
            <w:r>
              <w:rPr>
                <w:rFonts w:ascii="Arial" w:cs="Arial" w:eastAsia="Arial" w:hAnsi="Arial"/>
                <w:sz w:val="20"/>
                <w:szCs w:val="20"/>
                <w:color w:val="auto"/>
              </w:rPr>
              <w:t>5.6</w:t>
            </w:r>
          </w:p>
        </w:tc>
        <w:tc>
          <w:tcPr>
            <w:tcW w:w="7840" w:type="dxa"/>
            <w:vAlign w:val="bottom"/>
          </w:tcPr>
          <w:p>
            <w:pPr>
              <w:ind w:left="340"/>
              <w:spacing w:after="0"/>
              <w:rPr>
                <w:sz w:val="20"/>
                <w:szCs w:val="20"/>
                <w:color w:val="auto"/>
              </w:rPr>
            </w:pPr>
            <w:r>
              <w:rPr>
                <w:rFonts w:ascii="Arial" w:cs="Arial" w:eastAsia="Arial" w:hAnsi="Arial"/>
                <w:sz w:val="20"/>
                <w:szCs w:val="20"/>
                <w:color w:val="auto"/>
              </w:rPr>
              <w:t>REPRESENTATION OF SECURITIES OF OTHER ENTITIES</w:t>
            </w:r>
          </w:p>
        </w:tc>
        <w:tc>
          <w:tcPr>
            <w:tcW w:w="2040" w:type="dxa"/>
            <w:vAlign w:val="bottom"/>
          </w:tcPr>
          <w:p>
            <w:pPr>
              <w:jc w:val="right"/>
              <w:ind w:right="821"/>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19"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20"/>
          <w:szCs w:val="20"/>
          <w:b w:val="1"/>
          <w:bCs w:val="1"/>
          <w:color w:val="auto"/>
        </w:rPr>
        <w:t>TABLE OF CONTENTS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(continued)</w:t>
      </w:r>
    </w:p>
    <w:tbl>
      <w:tblPr>
        <w:tblLayout w:type="fixed"/>
        <w:tblInd w:w="0" w:type="dxa"/>
        <w:tblCellMar>
          <w:top w:w="0" w:type="dxa"/>
          <w:left w:w="0" w:type="dxa"/>
          <w:bottom w:w="0" w:type="dxa"/>
          <w:right w:w="0" w:type="dxa"/>
        </w:tblCellMar>
      </w:tblPr>
      <w:tr>
        <w:trPr>
          <w:trHeight w:val="250"/>
        </w:trPr>
        <w:tc>
          <w:tcPr>
            <w:tcW w:w="1340" w:type="dxa"/>
            <w:vAlign w:val="bottom"/>
          </w:tcPr>
          <w:p>
            <w:pPr>
              <w:spacing w:after="0"/>
              <w:rPr>
                <w:sz w:val="21"/>
                <w:szCs w:val="21"/>
                <w:color w:val="auto"/>
              </w:rPr>
            </w:pPr>
          </w:p>
        </w:tc>
        <w:tc>
          <w:tcPr>
            <w:tcW w:w="86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Page</w:t>
            </w:r>
          </w:p>
        </w:tc>
      </w:tr>
      <w:tr>
        <w:trPr>
          <w:trHeight w:val="416"/>
        </w:trPr>
        <w:tc>
          <w:tcPr>
            <w:tcW w:w="1340" w:type="dxa"/>
            <w:vAlign w:val="bottom"/>
          </w:tcPr>
          <w:p>
            <w:pPr>
              <w:ind w:left="640"/>
              <w:spacing w:after="0"/>
              <w:rPr>
                <w:sz w:val="20"/>
                <w:szCs w:val="20"/>
                <w:color w:val="auto"/>
              </w:rPr>
            </w:pPr>
            <w:r>
              <w:rPr>
                <w:rFonts w:ascii="Arial" w:cs="Arial" w:eastAsia="Arial" w:hAnsi="Arial"/>
                <w:sz w:val="20"/>
                <w:szCs w:val="20"/>
                <w:color w:val="auto"/>
              </w:rPr>
              <w:t>5.7</w:t>
            </w:r>
          </w:p>
        </w:tc>
        <w:tc>
          <w:tcPr>
            <w:tcW w:w="8600" w:type="dxa"/>
            <w:vAlign w:val="bottom"/>
          </w:tcPr>
          <w:p>
            <w:pPr>
              <w:ind w:left="340"/>
              <w:spacing w:after="0"/>
              <w:rPr>
                <w:sz w:val="20"/>
                <w:szCs w:val="20"/>
                <w:color w:val="auto"/>
              </w:rPr>
            </w:pPr>
            <w:r>
              <w:rPr>
                <w:rFonts w:ascii="Arial" w:cs="Arial" w:eastAsia="Arial" w:hAnsi="Arial"/>
                <w:sz w:val="20"/>
                <w:szCs w:val="20"/>
                <w:color w:val="auto"/>
              </w:rPr>
              <w:t>AUTHORITY AND DUTIES OF OFFICERS</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18</w:t>
            </w:r>
          </w:p>
        </w:tc>
      </w:tr>
      <w:tr>
        <w:trPr>
          <w:trHeight w:val="338"/>
        </w:trPr>
        <w:tc>
          <w:tcPr>
            <w:tcW w:w="9940" w:type="dxa"/>
            <w:vAlign w:val="bottom"/>
            <w:gridSpan w:val="2"/>
          </w:tcPr>
          <w:p>
            <w:pPr>
              <w:spacing w:after="0"/>
              <w:rPr>
                <w:sz w:val="20"/>
                <w:szCs w:val="20"/>
                <w:color w:val="auto"/>
              </w:rPr>
            </w:pPr>
            <w:r>
              <w:rPr>
                <w:rFonts w:ascii="Arial" w:cs="Arial" w:eastAsia="Arial" w:hAnsi="Arial"/>
                <w:sz w:val="20"/>
                <w:szCs w:val="20"/>
                <w:color w:val="auto"/>
              </w:rPr>
              <w:t>ARTICLE VI - STOCK</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18</w:t>
            </w:r>
          </w:p>
        </w:tc>
      </w:tr>
      <w:tr>
        <w:trPr>
          <w:trHeight w:val="317"/>
        </w:trPr>
        <w:tc>
          <w:tcPr>
            <w:tcW w:w="1340" w:type="dxa"/>
            <w:vAlign w:val="bottom"/>
          </w:tcPr>
          <w:p>
            <w:pPr>
              <w:ind w:left="640"/>
              <w:spacing w:after="0"/>
              <w:rPr>
                <w:sz w:val="20"/>
                <w:szCs w:val="20"/>
                <w:color w:val="auto"/>
              </w:rPr>
            </w:pPr>
            <w:r>
              <w:rPr>
                <w:rFonts w:ascii="Arial" w:cs="Arial" w:eastAsia="Arial" w:hAnsi="Arial"/>
                <w:sz w:val="20"/>
                <w:szCs w:val="20"/>
                <w:color w:val="auto"/>
              </w:rPr>
              <w:t>6.1</w:t>
            </w:r>
          </w:p>
        </w:tc>
        <w:tc>
          <w:tcPr>
            <w:tcW w:w="8600" w:type="dxa"/>
            <w:vAlign w:val="bottom"/>
          </w:tcPr>
          <w:p>
            <w:pPr>
              <w:ind w:left="340"/>
              <w:spacing w:after="0"/>
              <w:rPr>
                <w:sz w:val="20"/>
                <w:szCs w:val="20"/>
                <w:color w:val="auto"/>
              </w:rPr>
            </w:pPr>
            <w:r>
              <w:rPr>
                <w:rFonts w:ascii="Arial" w:cs="Arial" w:eastAsia="Arial" w:hAnsi="Arial"/>
                <w:sz w:val="20"/>
                <w:szCs w:val="20"/>
                <w:color w:val="auto"/>
              </w:rPr>
              <w:t>STOCK CERTIFICATES; PARTLY PAID SHARES</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18</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color w:val="auto"/>
              </w:rPr>
              <w:t>6.2</w:t>
            </w:r>
          </w:p>
        </w:tc>
        <w:tc>
          <w:tcPr>
            <w:tcW w:w="8600" w:type="dxa"/>
            <w:vAlign w:val="bottom"/>
          </w:tcPr>
          <w:p>
            <w:pPr>
              <w:ind w:left="340"/>
              <w:spacing w:after="0"/>
              <w:rPr>
                <w:sz w:val="20"/>
                <w:szCs w:val="20"/>
                <w:color w:val="auto"/>
              </w:rPr>
            </w:pPr>
            <w:r>
              <w:rPr>
                <w:rFonts w:ascii="Arial" w:cs="Arial" w:eastAsia="Arial" w:hAnsi="Arial"/>
                <w:sz w:val="20"/>
                <w:szCs w:val="20"/>
                <w:color w:val="auto"/>
              </w:rPr>
              <w:t>SPECIAL DESIGNATION ON CERTIFICATES</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19</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color w:val="auto"/>
              </w:rPr>
              <w:t>6.3</w:t>
            </w:r>
          </w:p>
        </w:tc>
        <w:tc>
          <w:tcPr>
            <w:tcW w:w="8600" w:type="dxa"/>
            <w:vAlign w:val="bottom"/>
          </w:tcPr>
          <w:p>
            <w:pPr>
              <w:ind w:left="340"/>
              <w:spacing w:after="0"/>
              <w:rPr>
                <w:sz w:val="20"/>
                <w:szCs w:val="20"/>
                <w:color w:val="auto"/>
              </w:rPr>
            </w:pPr>
            <w:r>
              <w:rPr>
                <w:rFonts w:ascii="Arial" w:cs="Arial" w:eastAsia="Arial" w:hAnsi="Arial"/>
                <w:sz w:val="20"/>
                <w:szCs w:val="20"/>
                <w:color w:val="auto"/>
              </w:rPr>
              <w:t>LOST CERTIFICATES</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19</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6.4</w:t>
            </w:r>
          </w:p>
        </w:tc>
        <w:tc>
          <w:tcPr>
            <w:tcW w:w="8600" w:type="dxa"/>
            <w:vAlign w:val="bottom"/>
          </w:tcPr>
          <w:p>
            <w:pPr>
              <w:ind w:left="340"/>
              <w:spacing w:after="0"/>
              <w:rPr>
                <w:sz w:val="20"/>
                <w:szCs w:val="20"/>
                <w:color w:val="auto"/>
              </w:rPr>
            </w:pPr>
            <w:r>
              <w:rPr>
                <w:rFonts w:ascii="Arial" w:cs="Arial" w:eastAsia="Arial" w:hAnsi="Arial"/>
                <w:sz w:val="20"/>
                <w:szCs w:val="20"/>
                <w:color w:val="auto"/>
              </w:rPr>
              <w:t>DIVIDENDS</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20</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color w:val="auto"/>
              </w:rPr>
              <w:t>6.5</w:t>
            </w:r>
          </w:p>
        </w:tc>
        <w:tc>
          <w:tcPr>
            <w:tcW w:w="8600" w:type="dxa"/>
            <w:vAlign w:val="bottom"/>
          </w:tcPr>
          <w:p>
            <w:pPr>
              <w:ind w:left="340"/>
              <w:spacing w:after="0"/>
              <w:rPr>
                <w:sz w:val="20"/>
                <w:szCs w:val="20"/>
                <w:color w:val="auto"/>
              </w:rPr>
            </w:pPr>
            <w:r>
              <w:rPr>
                <w:rFonts w:ascii="Arial" w:cs="Arial" w:eastAsia="Arial" w:hAnsi="Arial"/>
                <w:sz w:val="20"/>
                <w:szCs w:val="20"/>
                <w:color w:val="auto"/>
              </w:rPr>
              <w:t>TRANSFER OF STOCK</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20</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color w:val="auto"/>
              </w:rPr>
              <w:t>6.6</w:t>
            </w:r>
          </w:p>
        </w:tc>
        <w:tc>
          <w:tcPr>
            <w:tcW w:w="8600" w:type="dxa"/>
            <w:vAlign w:val="bottom"/>
          </w:tcPr>
          <w:p>
            <w:pPr>
              <w:ind w:left="340"/>
              <w:spacing w:after="0"/>
              <w:rPr>
                <w:sz w:val="20"/>
                <w:szCs w:val="20"/>
                <w:color w:val="auto"/>
              </w:rPr>
            </w:pPr>
            <w:r>
              <w:rPr>
                <w:rFonts w:ascii="Arial" w:cs="Arial" w:eastAsia="Arial" w:hAnsi="Arial"/>
                <w:sz w:val="20"/>
                <w:szCs w:val="20"/>
                <w:color w:val="auto"/>
              </w:rPr>
              <w:t>STOCK TRANSFER AGREEMENTS</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20</w:t>
            </w:r>
          </w:p>
        </w:tc>
      </w:tr>
      <w:tr>
        <w:trPr>
          <w:trHeight w:val="250"/>
        </w:trPr>
        <w:tc>
          <w:tcPr>
            <w:tcW w:w="1340" w:type="dxa"/>
            <w:vAlign w:val="bottom"/>
          </w:tcPr>
          <w:p>
            <w:pPr>
              <w:ind w:left="640"/>
              <w:spacing w:after="0"/>
              <w:rPr>
                <w:sz w:val="20"/>
                <w:szCs w:val="20"/>
                <w:color w:val="auto"/>
              </w:rPr>
            </w:pPr>
            <w:r>
              <w:rPr>
                <w:rFonts w:ascii="Arial" w:cs="Arial" w:eastAsia="Arial" w:hAnsi="Arial"/>
                <w:sz w:val="20"/>
                <w:szCs w:val="20"/>
                <w:color w:val="auto"/>
              </w:rPr>
              <w:t>6.7</w:t>
            </w:r>
          </w:p>
        </w:tc>
        <w:tc>
          <w:tcPr>
            <w:tcW w:w="8600" w:type="dxa"/>
            <w:vAlign w:val="bottom"/>
          </w:tcPr>
          <w:p>
            <w:pPr>
              <w:ind w:left="340"/>
              <w:spacing w:after="0"/>
              <w:rPr>
                <w:sz w:val="20"/>
                <w:szCs w:val="20"/>
                <w:color w:val="auto"/>
              </w:rPr>
            </w:pPr>
            <w:r>
              <w:rPr>
                <w:rFonts w:ascii="Arial" w:cs="Arial" w:eastAsia="Arial" w:hAnsi="Arial"/>
                <w:sz w:val="20"/>
                <w:szCs w:val="20"/>
                <w:color w:val="auto"/>
              </w:rPr>
              <w:t>REGISTERED STOCKHOLDERS</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20</w:t>
            </w:r>
          </w:p>
        </w:tc>
      </w:tr>
      <w:tr>
        <w:trPr>
          <w:trHeight w:val="338"/>
        </w:trPr>
        <w:tc>
          <w:tcPr>
            <w:tcW w:w="9940" w:type="dxa"/>
            <w:vAlign w:val="bottom"/>
            <w:gridSpan w:val="2"/>
          </w:tcPr>
          <w:p>
            <w:pPr>
              <w:spacing w:after="0"/>
              <w:rPr>
                <w:sz w:val="20"/>
                <w:szCs w:val="20"/>
                <w:color w:val="auto"/>
              </w:rPr>
            </w:pPr>
            <w:r>
              <w:rPr>
                <w:rFonts w:ascii="Arial" w:cs="Arial" w:eastAsia="Arial" w:hAnsi="Arial"/>
                <w:sz w:val="20"/>
                <w:szCs w:val="20"/>
                <w:color w:val="auto"/>
              </w:rPr>
              <w:t>ARTICLE VII - MANNER OF GIVING NOTICE AND WAIVER</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20</w:t>
            </w:r>
          </w:p>
        </w:tc>
      </w:tr>
      <w:tr>
        <w:trPr>
          <w:trHeight w:val="317"/>
        </w:trPr>
        <w:tc>
          <w:tcPr>
            <w:tcW w:w="1340" w:type="dxa"/>
            <w:vAlign w:val="bottom"/>
          </w:tcPr>
          <w:p>
            <w:pPr>
              <w:ind w:left="640"/>
              <w:spacing w:after="0"/>
              <w:rPr>
                <w:sz w:val="20"/>
                <w:szCs w:val="20"/>
                <w:color w:val="auto"/>
              </w:rPr>
            </w:pPr>
            <w:r>
              <w:rPr>
                <w:rFonts w:ascii="Arial" w:cs="Arial" w:eastAsia="Arial" w:hAnsi="Arial"/>
                <w:sz w:val="20"/>
                <w:szCs w:val="20"/>
                <w:color w:val="auto"/>
              </w:rPr>
              <w:t>7.1</w:t>
            </w:r>
          </w:p>
        </w:tc>
        <w:tc>
          <w:tcPr>
            <w:tcW w:w="8600" w:type="dxa"/>
            <w:vAlign w:val="bottom"/>
          </w:tcPr>
          <w:p>
            <w:pPr>
              <w:ind w:left="340"/>
              <w:spacing w:after="0"/>
              <w:rPr>
                <w:sz w:val="20"/>
                <w:szCs w:val="20"/>
                <w:color w:val="auto"/>
              </w:rPr>
            </w:pPr>
            <w:r>
              <w:rPr>
                <w:rFonts w:ascii="Arial" w:cs="Arial" w:eastAsia="Arial" w:hAnsi="Arial"/>
                <w:sz w:val="20"/>
                <w:szCs w:val="20"/>
                <w:color w:val="auto"/>
              </w:rPr>
              <w:t>NOTICE OF STOCKHOLDERS’ MEETINGS</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20</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color w:val="auto"/>
              </w:rPr>
              <w:t>7.2</w:t>
            </w:r>
          </w:p>
        </w:tc>
        <w:tc>
          <w:tcPr>
            <w:tcW w:w="8600" w:type="dxa"/>
            <w:vAlign w:val="bottom"/>
          </w:tcPr>
          <w:p>
            <w:pPr>
              <w:ind w:left="340"/>
              <w:spacing w:after="0"/>
              <w:rPr>
                <w:sz w:val="20"/>
                <w:szCs w:val="20"/>
                <w:color w:val="auto"/>
              </w:rPr>
            </w:pPr>
            <w:r>
              <w:rPr>
                <w:rFonts w:ascii="Arial" w:cs="Arial" w:eastAsia="Arial" w:hAnsi="Arial"/>
                <w:sz w:val="20"/>
                <w:szCs w:val="20"/>
                <w:color w:val="auto"/>
              </w:rPr>
              <w:t>NOTICE TO STOCKHOLDERS SHARING AN ADDRESS</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20</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7.3</w:t>
            </w:r>
          </w:p>
        </w:tc>
        <w:tc>
          <w:tcPr>
            <w:tcW w:w="8600" w:type="dxa"/>
            <w:vAlign w:val="bottom"/>
          </w:tcPr>
          <w:p>
            <w:pPr>
              <w:ind w:left="340"/>
              <w:spacing w:after="0"/>
              <w:rPr>
                <w:sz w:val="20"/>
                <w:szCs w:val="20"/>
                <w:color w:val="auto"/>
              </w:rPr>
            </w:pPr>
            <w:r>
              <w:rPr>
                <w:rFonts w:ascii="Arial" w:cs="Arial" w:eastAsia="Arial" w:hAnsi="Arial"/>
                <w:sz w:val="20"/>
                <w:szCs w:val="20"/>
                <w:color w:val="auto"/>
              </w:rPr>
              <w:t>NOTICE TO PERSON WITH WHOM COMMUNICATION IS UNLAWFUL</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21</w:t>
            </w:r>
          </w:p>
        </w:tc>
      </w:tr>
      <w:tr>
        <w:trPr>
          <w:trHeight w:val="250"/>
        </w:trPr>
        <w:tc>
          <w:tcPr>
            <w:tcW w:w="1340" w:type="dxa"/>
            <w:vAlign w:val="bottom"/>
          </w:tcPr>
          <w:p>
            <w:pPr>
              <w:ind w:left="640"/>
              <w:spacing w:after="0"/>
              <w:rPr>
                <w:sz w:val="20"/>
                <w:szCs w:val="20"/>
                <w:color w:val="auto"/>
              </w:rPr>
            </w:pPr>
            <w:r>
              <w:rPr>
                <w:rFonts w:ascii="Arial" w:cs="Arial" w:eastAsia="Arial" w:hAnsi="Arial"/>
                <w:sz w:val="20"/>
                <w:szCs w:val="20"/>
                <w:color w:val="auto"/>
              </w:rPr>
              <w:t>7.4</w:t>
            </w:r>
          </w:p>
        </w:tc>
        <w:tc>
          <w:tcPr>
            <w:tcW w:w="8600" w:type="dxa"/>
            <w:vAlign w:val="bottom"/>
          </w:tcPr>
          <w:p>
            <w:pPr>
              <w:ind w:left="340"/>
              <w:spacing w:after="0"/>
              <w:rPr>
                <w:sz w:val="20"/>
                <w:szCs w:val="20"/>
                <w:color w:val="auto"/>
              </w:rPr>
            </w:pPr>
            <w:r>
              <w:rPr>
                <w:rFonts w:ascii="Arial" w:cs="Arial" w:eastAsia="Arial" w:hAnsi="Arial"/>
                <w:sz w:val="20"/>
                <w:szCs w:val="20"/>
                <w:color w:val="auto"/>
              </w:rPr>
              <w:t>WAIVER OF NOTICE</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21</w:t>
            </w:r>
          </w:p>
        </w:tc>
      </w:tr>
      <w:tr>
        <w:trPr>
          <w:trHeight w:val="338"/>
        </w:trPr>
        <w:tc>
          <w:tcPr>
            <w:tcW w:w="9940" w:type="dxa"/>
            <w:vAlign w:val="bottom"/>
            <w:gridSpan w:val="2"/>
          </w:tcPr>
          <w:p>
            <w:pPr>
              <w:spacing w:after="0"/>
              <w:rPr>
                <w:sz w:val="20"/>
                <w:szCs w:val="20"/>
                <w:color w:val="auto"/>
              </w:rPr>
            </w:pPr>
            <w:r>
              <w:rPr>
                <w:rFonts w:ascii="Arial" w:cs="Arial" w:eastAsia="Arial" w:hAnsi="Arial"/>
                <w:sz w:val="20"/>
                <w:szCs w:val="20"/>
                <w:color w:val="auto"/>
              </w:rPr>
              <w:t>ARTICLE VIII - INDEMNIFICATION</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21</w:t>
            </w:r>
          </w:p>
        </w:tc>
      </w:tr>
      <w:tr>
        <w:trPr>
          <w:trHeight w:val="317"/>
        </w:trPr>
        <w:tc>
          <w:tcPr>
            <w:tcW w:w="1340" w:type="dxa"/>
            <w:vAlign w:val="bottom"/>
          </w:tcPr>
          <w:p>
            <w:pPr>
              <w:ind w:left="640"/>
              <w:spacing w:after="0"/>
              <w:rPr>
                <w:sz w:val="20"/>
                <w:szCs w:val="20"/>
                <w:color w:val="auto"/>
              </w:rPr>
            </w:pPr>
            <w:r>
              <w:rPr>
                <w:rFonts w:ascii="Arial" w:cs="Arial" w:eastAsia="Arial" w:hAnsi="Arial"/>
                <w:sz w:val="20"/>
                <w:szCs w:val="20"/>
                <w:color w:val="auto"/>
              </w:rPr>
              <w:t>8.1</w:t>
            </w:r>
          </w:p>
        </w:tc>
        <w:tc>
          <w:tcPr>
            <w:tcW w:w="8600" w:type="dxa"/>
            <w:vAlign w:val="bottom"/>
          </w:tcPr>
          <w:p>
            <w:pPr>
              <w:ind w:left="340"/>
              <w:spacing w:after="0"/>
              <w:rPr>
                <w:sz w:val="20"/>
                <w:szCs w:val="20"/>
                <w:color w:val="auto"/>
              </w:rPr>
            </w:pPr>
            <w:r>
              <w:rPr>
                <w:rFonts w:ascii="Arial" w:cs="Arial" w:eastAsia="Arial" w:hAnsi="Arial"/>
                <w:sz w:val="20"/>
                <w:szCs w:val="20"/>
                <w:color w:val="auto"/>
              </w:rPr>
              <w:t>INDEMNIFICATION OF DIRECTORS AND OFFICERS IN THIRD PARTY PROCEEDINGS</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21</w:t>
            </w:r>
          </w:p>
        </w:tc>
      </w:tr>
      <w:tr>
        <w:trPr>
          <w:trHeight w:val="203"/>
        </w:trPr>
        <w:tc>
          <w:tcPr>
            <w:tcW w:w="1340" w:type="dxa"/>
            <w:vAlign w:val="bottom"/>
          </w:tcPr>
          <w:p>
            <w:pPr>
              <w:ind w:left="640"/>
              <w:spacing w:after="0" w:line="203" w:lineRule="exact"/>
              <w:rPr>
                <w:sz w:val="20"/>
                <w:szCs w:val="20"/>
                <w:color w:val="auto"/>
              </w:rPr>
            </w:pPr>
            <w:r>
              <w:rPr>
                <w:rFonts w:ascii="Arial" w:cs="Arial" w:eastAsia="Arial" w:hAnsi="Arial"/>
                <w:sz w:val="20"/>
                <w:szCs w:val="20"/>
                <w:color w:val="auto"/>
              </w:rPr>
              <w:t>8.2</w:t>
            </w:r>
          </w:p>
        </w:tc>
        <w:tc>
          <w:tcPr>
            <w:tcW w:w="8600" w:type="dxa"/>
            <w:vAlign w:val="bottom"/>
          </w:tcPr>
          <w:p>
            <w:pPr>
              <w:ind w:left="340"/>
              <w:spacing w:after="0" w:line="203" w:lineRule="exact"/>
              <w:rPr>
                <w:sz w:val="20"/>
                <w:szCs w:val="20"/>
                <w:color w:val="auto"/>
              </w:rPr>
            </w:pPr>
            <w:r>
              <w:rPr>
                <w:rFonts w:ascii="Arial" w:cs="Arial" w:eastAsia="Arial" w:hAnsi="Arial"/>
                <w:sz w:val="20"/>
                <w:szCs w:val="20"/>
                <w:color w:val="auto"/>
                <w:w w:val="97"/>
              </w:rPr>
              <w:t>INDEMNIFICATION OF DIRECTORS AND OFFICERS IN ACTIONS BY OR IN THE RIGHT OF</w:t>
            </w:r>
          </w:p>
        </w:tc>
        <w:tc>
          <w:tcPr>
            <w:tcW w:w="1280" w:type="dxa"/>
            <w:vAlign w:val="bottom"/>
          </w:tcPr>
          <w:p>
            <w:pPr>
              <w:spacing w:after="0"/>
              <w:rPr>
                <w:sz w:val="17"/>
                <w:szCs w:val="17"/>
                <w:color w:val="auto"/>
              </w:rPr>
            </w:pPr>
          </w:p>
        </w:tc>
      </w:tr>
      <w:tr>
        <w:trPr>
          <w:trHeight w:val="243"/>
        </w:trPr>
        <w:tc>
          <w:tcPr>
            <w:tcW w:w="1340" w:type="dxa"/>
            <w:vAlign w:val="bottom"/>
          </w:tcPr>
          <w:p>
            <w:pPr>
              <w:spacing w:after="0"/>
              <w:rPr>
                <w:sz w:val="21"/>
                <w:szCs w:val="21"/>
                <w:color w:val="auto"/>
              </w:rPr>
            </w:pPr>
          </w:p>
        </w:tc>
        <w:tc>
          <w:tcPr>
            <w:tcW w:w="8600" w:type="dxa"/>
            <w:vAlign w:val="bottom"/>
          </w:tcPr>
          <w:p>
            <w:pPr>
              <w:ind w:left="340"/>
              <w:spacing w:after="0"/>
              <w:rPr>
                <w:sz w:val="20"/>
                <w:szCs w:val="20"/>
                <w:color w:val="auto"/>
              </w:rPr>
            </w:pPr>
            <w:r>
              <w:rPr>
                <w:rFonts w:ascii="Arial" w:cs="Arial" w:eastAsia="Arial" w:hAnsi="Arial"/>
                <w:sz w:val="20"/>
                <w:szCs w:val="20"/>
                <w:color w:val="auto"/>
              </w:rPr>
              <w:t>THE COMPANY</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22</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8.3</w:t>
            </w:r>
          </w:p>
        </w:tc>
        <w:tc>
          <w:tcPr>
            <w:tcW w:w="8600" w:type="dxa"/>
            <w:vAlign w:val="bottom"/>
          </w:tcPr>
          <w:p>
            <w:pPr>
              <w:ind w:left="340"/>
              <w:spacing w:after="0"/>
              <w:rPr>
                <w:sz w:val="20"/>
                <w:szCs w:val="20"/>
                <w:color w:val="auto"/>
              </w:rPr>
            </w:pPr>
            <w:r>
              <w:rPr>
                <w:rFonts w:ascii="Arial" w:cs="Arial" w:eastAsia="Arial" w:hAnsi="Arial"/>
                <w:sz w:val="20"/>
                <w:szCs w:val="20"/>
                <w:color w:val="auto"/>
              </w:rPr>
              <w:t>SUCCESSFUL DEFENSE</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22</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color w:val="auto"/>
              </w:rPr>
              <w:t>8.4</w:t>
            </w:r>
          </w:p>
        </w:tc>
        <w:tc>
          <w:tcPr>
            <w:tcW w:w="8600" w:type="dxa"/>
            <w:vAlign w:val="bottom"/>
          </w:tcPr>
          <w:p>
            <w:pPr>
              <w:ind w:left="340"/>
              <w:spacing w:after="0"/>
              <w:rPr>
                <w:sz w:val="20"/>
                <w:szCs w:val="20"/>
                <w:color w:val="auto"/>
              </w:rPr>
            </w:pPr>
            <w:r>
              <w:rPr>
                <w:rFonts w:ascii="Arial" w:cs="Arial" w:eastAsia="Arial" w:hAnsi="Arial"/>
                <w:sz w:val="20"/>
                <w:szCs w:val="20"/>
                <w:color w:val="auto"/>
              </w:rPr>
              <w:t>INDEMNIFICATION OF OTHERS</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22</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8.5</w:t>
            </w:r>
          </w:p>
        </w:tc>
        <w:tc>
          <w:tcPr>
            <w:tcW w:w="8600" w:type="dxa"/>
            <w:vAlign w:val="bottom"/>
          </w:tcPr>
          <w:p>
            <w:pPr>
              <w:ind w:left="340"/>
              <w:spacing w:after="0"/>
              <w:rPr>
                <w:sz w:val="20"/>
                <w:szCs w:val="20"/>
                <w:color w:val="auto"/>
              </w:rPr>
            </w:pPr>
            <w:r>
              <w:rPr>
                <w:rFonts w:ascii="Arial" w:cs="Arial" w:eastAsia="Arial" w:hAnsi="Arial"/>
                <w:sz w:val="20"/>
                <w:szCs w:val="20"/>
                <w:color w:val="auto"/>
              </w:rPr>
              <w:t>ADVANCED PAYMENT OF EXPENSES</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22</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color w:val="auto"/>
              </w:rPr>
              <w:t>8.6</w:t>
            </w:r>
          </w:p>
        </w:tc>
        <w:tc>
          <w:tcPr>
            <w:tcW w:w="8600" w:type="dxa"/>
            <w:vAlign w:val="bottom"/>
          </w:tcPr>
          <w:p>
            <w:pPr>
              <w:ind w:left="340"/>
              <w:spacing w:after="0"/>
              <w:rPr>
                <w:sz w:val="20"/>
                <w:szCs w:val="20"/>
                <w:color w:val="auto"/>
              </w:rPr>
            </w:pPr>
            <w:r>
              <w:rPr>
                <w:rFonts w:ascii="Arial" w:cs="Arial" w:eastAsia="Arial" w:hAnsi="Arial"/>
                <w:sz w:val="20"/>
                <w:szCs w:val="20"/>
                <w:color w:val="auto"/>
              </w:rPr>
              <w:t>LIMITATION ON INDEMNIFICATION</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23</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8.7</w:t>
            </w:r>
          </w:p>
        </w:tc>
        <w:tc>
          <w:tcPr>
            <w:tcW w:w="8600" w:type="dxa"/>
            <w:vAlign w:val="bottom"/>
          </w:tcPr>
          <w:p>
            <w:pPr>
              <w:ind w:left="340"/>
              <w:spacing w:after="0"/>
              <w:rPr>
                <w:sz w:val="20"/>
                <w:szCs w:val="20"/>
                <w:color w:val="auto"/>
              </w:rPr>
            </w:pPr>
            <w:r>
              <w:rPr>
                <w:rFonts w:ascii="Arial" w:cs="Arial" w:eastAsia="Arial" w:hAnsi="Arial"/>
                <w:sz w:val="20"/>
                <w:szCs w:val="20"/>
                <w:color w:val="auto"/>
              </w:rPr>
              <w:t>DETERMINATION; CLAIM</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24</w:t>
            </w:r>
          </w:p>
        </w:tc>
      </w:tr>
      <w:tr>
        <w:trPr>
          <w:trHeight w:val="229"/>
        </w:trPr>
        <w:tc>
          <w:tcPr>
            <w:tcW w:w="1340" w:type="dxa"/>
            <w:vAlign w:val="bottom"/>
          </w:tcPr>
          <w:p>
            <w:pPr>
              <w:ind w:left="640"/>
              <w:spacing w:after="0"/>
              <w:rPr>
                <w:sz w:val="20"/>
                <w:szCs w:val="20"/>
                <w:color w:val="auto"/>
              </w:rPr>
            </w:pPr>
            <w:r>
              <w:rPr>
                <w:rFonts w:ascii="Arial" w:cs="Arial" w:eastAsia="Arial" w:hAnsi="Arial"/>
                <w:sz w:val="20"/>
                <w:szCs w:val="20"/>
                <w:color w:val="auto"/>
              </w:rPr>
              <w:t>8.8</w:t>
            </w:r>
          </w:p>
        </w:tc>
        <w:tc>
          <w:tcPr>
            <w:tcW w:w="8600" w:type="dxa"/>
            <w:vAlign w:val="bottom"/>
          </w:tcPr>
          <w:p>
            <w:pPr>
              <w:ind w:left="340"/>
              <w:spacing w:after="0"/>
              <w:rPr>
                <w:sz w:val="20"/>
                <w:szCs w:val="20"/>
                <w:color w:val="auto"/>
              </w:rPr>
            </w:pPr>
            <w:r>
              <w:rPr>
                <w:rFonts w:ascii="Arial" w:cs="Arial" w:eastAsia="Arial" w:hAnsi="Arial"/>
                <w:sz w:val="20"/>
                <w:szCs w:val="20"/>
                <w:color w:val="auto"/>
              </w:rPr>
              <w:t>NON-EXCLUSIVITY OF RIGHTS</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24</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8.9</w:t>
            </w:r>
          </w:p>
        </w:tc>
        <w:tc>
          <w:tcPr>
            <w:tcW w:w="8600" w:type="dxa"/>
            <w:vAlign w:val="bottom"/>
          </w:tcPr>
          <w:p>
            <w:pPr>
              <w:ind w:left="340"/>
              <w:spacing w:after="0"/>
              <w:rPr>
                <w:sz w:val="20"/>
                <w:szCs w:val="20"/>
                <w:color w:val="auto"/>
              </w:rPr>
            </w:pPr>
            <w:r>
              <w:rPr>
                <w:rFonts w:ascii="Arial" w:cs="Arial" w:eastAsia="Arial" w:hAnsi="Arial"/>
                <w:sz w:val="20"/>
                <w:szCs w:val="20"/>
                <w:color w:val="auto"/>
              </w:rPr>
              <w:t>INSURANCE</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24</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8.10</w:t>
            </w:r>
          </w:p>
        </w:tc>
        <w:tc>
          <w:tcPr>
            <w:tcW w:w="8600" w:type="dxa"/>
            <w:vAlign w:val="bottom"/>
          </w:tcPr>
          <w:p>
            <w:pPr>
              <w:ind w:left="340"/>
              <w:spacing w:after="0"/>
              <w:rPr>
                <w:sz w:val="20"/>
                <w:szCs w:val="20"/>
                <w:color w:val="auto"/>
              </w:rPr>
            </w:pPr>
            <w:r>
              <w:rPr>
                <w:rFonts w:ascii="Arial" w:cs="Arial" w:eastAsia="Arial" w:hAnsi="Arial"/>
                <w:sz w:val="20"/>
                <w:szCs w:val="20"/>
                <w:color w:val="auto"/>
              </w:rPr>
              <w:t>SURVIVAL</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24</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8.11</w:t>
            </w:r>
          </w:p>
        </w:tc>
        <w:tc>
          <w:tcPr>
            <w:tcW w:w="8600" w:type="dxa"/>
            <w:vAlign w:val="bottom"/>
          </w:tcPr>
          <w:p>
            <w:pPr>
              <w:ind w:left="340"/>
              <w:spacing w:after="0"/>
              <w:rPr>
                <w:sz w:val="20"/>
                <w:szCs w:val="20"/>
                <w:color w:val="auto"/>
              </w:rPr>
            </w:pPr>
            <w:r>
              <w:rPr>
                <w:rFonts w:ascii="Arial" w:cs="Arial" w:eastAsia="Arial" w:hAnsi="Arial"/>
                <w:sz w:val="20"/>
                <w:szCs w:val="20"/>
                <w:color w:val="auto"/>
              </w:rPr>
              <w:t>EFFECT OF REPEAL OR MODIFICATION</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24</w:t>
            </w:r>
          </w:p>
        </w:tc>
      </w:tr>
      <w:tr>
        <w:trPr>
          <w:trHeight w:val="250"/>
        </w:trPr>
        <w:tc>
          <w:tcPr>
            <w:tcW w:w="1340" w:type="dxa"/>
            <w:vAlign w:val="bottom"/>
          </w:tcPr>
          <w:p>
            <w:pPr>
              <w:ind w:left="640"/>
              <w:spacing w:after="0"/>
              <w:rPr>
                <w:sz w:val="20"/>
                <w:szCs w:val="20"/>
                <w:color w:val="auto"/>
              </w:rPr>
            </w:pPr>
            <w:r>
              <w:rPr>
                <w:rFonts w:ascii="Arial" w:cs="Arial" w:eastAsia="Arial" w:hAnsi="Arial"/>
                <w:sz w:val="20"/>
                <w:szCs w:val="20"/>
                <w:color w:val="auto"/>
              </w:rPr>
              <w:t>8.12</w:t>
            </w:r>
          </w:p>
        </w:tc>
        <w:tc>
          <w:tcPr>
            <w:tcW w:w="8600" w:type="dxa"/>
            <w:vAlign w:val="bottom"/>
          </w:tcPr>
          <w:p>
            <w:pPr>
              <w:ind w:left="340"/>
              <w:spacing w:after="0"/>
              <w:rPr>
                <w:sz w:val="20"/>
                <w:szCs w:val="20"/>
                <w:color w:val="auto"/>
              </w:rPr>
            </w:pPr>
            <w:r>
              <w:rPr>
                <w:rFonts w:ascii="Arial" w:cs="Arial" w:eastAsia="Arial" w:hAnsi="Arial"/>
                <w:sz w:val="20"/>
                <w:szCs w:val="20"/>
                <w:color w:val="auto"/>
              </w:rPr>
              <w:t>CERTAIN DEFINITIONS</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25</w:t>
            </w:r>
          </w:p>
        </w:tc>
      </w:tr>
      <w:tr>
        <w:trPr>
          <w:trHeight w:val="338"/>
        </w:trPr>
        <w:tc>
          <w:tcPr>
            <w:tcW w:w="9940" w:type="dxa"/>
            <w:vAlign w:val="bottom"/>
            <w:gridSpan w:val="2"/>
          </w:tcPr>
          <w:p>
            <w:pPr>
              <w:spacing w:after="0"/>
              <w:rPr>
                <w:sz w:val="20"/>
                <w:szCs w:val="20"/>
                <w:color w:val="auto"/>
              </w:rPr>
            </w:pPr>
            <w:r>
              <w:rPr>
                <w:rFonts w:ascii="Arial" w:cs="Arial" w:eastAsia="Arial" w:hAnsi="Arial"/>
                <w:sz w:val="20"/>
                <w:szCs w:val="20"/>
                <w:color w:val="auto"/>
              </w:rPr>
              <w:t>ARTICLE IX - GENERAL MATTERS</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25</w:t>
            </w:r>
          </w:p>
        </w:tc>
      </w:tr>
      <w:tr>
        <w:trPr>
          <w:trHeight w:val="317"/>
        </w:trPr>
        <w:tc>
          <w:tcPr>
            <w:tcW w:w="1340" w:type="dxa"/>
            <w:vAlign w:val="bottom"/>
          </w:tcPr>
          <w:p>
            <w:pPr>
              <w:ind w:left="640"/>
              <w:spacing w:after="0"/>
              <w:rPr>
                <w:sz w:val="20"/>
                <w:szCs w:val="20"/>
                <w:color w:val="auto"/>
              </w:rPr>
            </w:pPr>
            <w:r>
              <w:rPr>
                <w:rFonts w:ascii="Arial" w:cs="Arial" w:eastAsia="Arial" w:hAnsi="Arial"/>
                <w:sz w:val="20"/>
                <w:szCs w:val="20"/>
                <w:color w:val="auto"/>
              </w:rPr>
              <w:t>9.1</w:t>
            </w:r>
          </w:p>
        </w:tc>
        <w:tc>
          <w:tcPr>
            <w:tcW w:w="8600" w:type="dxa"/>
            <w:vAlign w:val="bottom"/>
          </w:tcPr>
          <w:p>
            <w:pPr>
              <w:ind w:left="340"/>
              <w:spacing w:after="0"/>
              <w:rPr>
                <w:sz w:val="20"/>
                <w:szCs w:val="20"/>
                <w:color w:val="auto"/>
              </w:rPr>
            </w:pPr>
            <w:r>
              <w:rPr>
                <w:rFonts w:ascii="Arial" w:cs="Arial" w:eastAsia="Arial" w:hAnsi="Arial"/>
                <w:sz w:val="20"/>
                <w:szCs w:val="20"/>
                <w:color w:val="auto"/>
              </w:rPr>
              <w:t>EXECUTION OF CORPORATE CONTRACTS AND INSTRUMENTS</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25</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9.2</w:t>
            </w:r>
          </w:p>
        </w:tc>
        <w:tc>
          <w:tcPr>
            <w:tcW w:w="8600" w:type="dxa"/>
            <w:vAlign w:val="bottom"/>
          </w:tcPr>
          <w:p>
            <w:pPr>
              <w:ind w:left="340"/>
              <w:spacing w:after="0"/>
              <w:rPr>
                <w:sz w:val="20"/>
                <w:szCs w:val="20"/>
                <w:color w:val="auto"/>
              </w:rPr>
            </w:pPr>
            <w:r>
              <w:rPr>
                <w:rFonts w:ascii="Arial" w:cs="Arial" w:eastAsia="Arial" w:hAnsi="Arial"/>
                <w:sz w:val="20"/>
                <w:szCs w:val="20"/>
                <w:color w:val="auto"/>
              </w:rPr>
              <w:t>FISCAL YEAR</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25</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9.3</w:t>
            </w:r>
          </w:p>
        </w:tc>
        <w:tc>
          <w:tcPr>
            <w:tcW w:w="8600" w:type="dxa"/>
            <w:vAlign w:val="bottom"/>
          </w:tcPr>
          <w:p>
            <w:pPr>
              <w:ind w:left="340"/>
              <w:spacing w:after="0"/>
              <w:rPr>
                <w:sz w:val="20"/>
                <w:szCs w:val="20"/>
                <w:color w:val="auto"/>
              </w:rPr>
            </w:pPr>
            <w:r>
              <w:rPr>
                <w:rFonts w:ascii="Arial" w:cs="Arial" w:eastAsia="Arial" w:hAnsi="Arial"/>
                <w:sz w:val="20"/>
                <w:szCs w:val="20"/>
                <w:color w:val="auto"/>
              </w:rPr>
              <w:t>SEAL</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25</w:t>
            </w:r>
          </w:p>
        </w:tc>
      </w:tr>
      <w:tr>
        <w:trPr>
          <w:trHeight w:val="230"/>
        </w:trPr>
        <w:tc>
          <w:tcPr>
            <w:tcW w:w="1340" w:type="dxa"/>
            <w:vAlign w:val="bottom"/>
          </w:tcPr>
          <w:p>
            <w:pPr>
              <w:ind w:left="640"/>
              <w:spacing w:after="0"/>
              <w:rPr>
                <w:sz w:val="20"/>
                <w:szCs w:val="20"/>
                <w:color w:val="auto"/>
              </w:rPr>
            </w:pPr>
            <w:r>
              <w:rPr>
                <w:rFonts w:ascii="Arial" w:cs="Arial" w:eastAsia="Arial" w:hAnsi="Arial"/>
                <w:sz w:val="20"/>
                <w:szCs w:val="20"/>
                <w:color w:val="auto"/>
              </w:rPr>
              <w:t>9.4</w:t>
            </w:r>
          </w:p>
        </w:tc>
        <w:tc>
          <w:tcPr>
            <w:tcW w:w="8600" w:type="dxa"/>
            <w:vAlign w:val="bottom"/>
          </w:tcPr>
          <w:p>
            <w:pPr>
              <w:ind w:left="340"/>
              <w:spacing w:after="0"/>
              <w:rPr>
                <w:sz w:val="20"/>
                <w:szCs w:val="20"/>
                <w:color w:val="auto"/>
              </w:rPr>
            </w:pPr>
            <w:r>
              <w:rPr>
                <w:rFonts w:ascii="Arial" w:cs="Arial" w:eastAsia="Arial" w:hAnsi="Arial"/>
                <w:sz w:val="20"/>
                <w:szCs w:val="20"/>
                <w:color w:val="auto"/>
              </w:rPr>
              <w:t>CONSTRUCTION; DEFINITIONS</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26</w:t>
            </w:r>
          </w:p>
        </w:tc>
      </w:tr>
      <w:tr>
        <w:trPr>
          <w:trHeight w:val="250"/>
        </w:trPr>
        <w:tc>
          <w:tcPr>
            <w:tcW w:w="1340" w:type="dxa"/>
            <w:vAlign w:val="bottom"/>
          </w:tcPr>
          <w:p>
            <w:pPr>
              <w:ind w:left="640"/>
              <w:spacing w:after="0"/>
              <w:rPr>
                <w:sz w:val="20"/>
                <w:szCs w:val="20"/>
                <w:color w:val="auto"/>
              </w:rPr>
            </w:pPr>
            <w:r>
              <w:rPr>
                <w:rFonts w:ascii="Arial" w:cs="Arial" w:eastAsia="Arial" w:hAnsi="Arial"/>
                <w:sz w:val="20"/>
                <w:szCs w:val="20"/>
                <w:color w:val="auto"/>
              </w:rPr>
              <w:t>9.5</w:t>
            </w:r>
          </w:p>
        </w:tc>
        <w:tc>
          <w:tcPr>
            <w:tcW w:w="8600" w:type="dxa"/>
            <w:vAlign w:val="bottom"/>
          </w:tcPr>
          <w:p>
            <w:pPr>
              <w:ind w:left="340"/>
              <w:spacing w:after="0"/>
              <w:rPr>
                <w:sz w:val="20"/>
                <w:szCs w:val="20"/>
                <w:color w:val="auto"/>
              </w:rPr>
            </w:pPr>
            <w:r>
              <w:rPr>
                <w:rFonts w:ascii="Arial" w:cs="Arial" w:eastAsia="Arial" w:hAnsi="Arial"/>
                <w:sz w:val="20"/>
                <w:szCs w:val="20"/>
                <w:color w:val="auto"/>
              </w:rPr>
              <w:t>FORUM SELECTION</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26</w:t>
            </w:r>
          </w:p>
        </w:tc>
      </w:tr>
      <w:tr>
        <w:trPr>
          <w:trHeight w:val="338"/>
        </w:trPr>
        <w:tc>
          <w:tcPr>
            <w:tcW w:w="9940" w:type="dxa"/>
            <w:vAlign w:val="bottom"/>
            <w:gridSpan w:val="2"/>
          </w:tcPr>
          <w:p>
            <w:pPr>
              <w:spacing w:after="0"/>
              <w:rPr>
                <w:sz w:val="20"/>
                <w:szCs w:val="20"/>
                <w:color w:val="auto"/>
              </w:rPr>
            </w:pPr>
            <w:r>
              <w:rPr>
                <w:rFonts w:ascii="Arial" w:cs="Arial" w:eastAsia="Arial" w:hAnsi="Arial"/>
                <w:sz w:val="20"/>
                <w:szCs w:val="20"/>
                <w:color w:val="auto"/>
              </w:rPr>
              <w:t>ARTICLE X - AMENDMENTS</w:t>
            </w:r>
          </w:p>
        </w:tc>
        <w:tc>
          <w:tcPr>
            <w:tcW w:w="1280" w:type="dxa"/>
            <w:vAlign w:val="bottom"/>
          </w:tcPr>
          <w:p>
            <w:pPr>
              <w:jc w:val="right"/>
              <w:ind w:right="821"/>
              <w:spacing w:after="0"/>
              <w:rPr>
                <w:sz w:val="20"/>
                <w:szCs w:val="20"/>
                <w:color w:val="auto"/>
              </w:rPr>
            </w:pPr>
            <w:r>
              <w:rPr>
                <w:rFonts w:ascii="Arial" w:cs="Arial" w:eastAsia="Arial" w:hAnsi="Arial"/>
                <w:sz w:val="20"/>
                <w:szCs w:val="20"/>
                <w:color w:val="auto"/>
              </w:rPr>
              <w:t>26</w:t>
            </w:r>
          </w:p>
        </w:tc>
      </w:tr>
    </w:tbl>
    <w:p>
      <w:pPr>
        <w:spacing w:after="0" w:line="200" w:lineRule="exact"/>
        <w:rPr>
          <w:sz w:val="20"/>
          <w:szCs w:val="20"/>
          <w:color w:val="auto"/>
        </w:rPr>
      </w:pPr>
    </w:p>
    <w:p>
      <w:pPr>
        <w:spacing w:after="0" w:line="292" w:lineRule="exact"/>
        <w:rPr>
          <w:sz w:val="20"/>
          <w:szCs w:val="20"/>
          <w:color w:val="auto"/>
        </w:rPr>
      </w:pPr>
    </w:p>
    <w:p>
      <w:pPr>
        <w:ind w:left="380"/>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BYLAWS OF ATHIRA PHARMA,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 - CORPORATE OFFICES</w:t>
      </w:r>
    </w:p>
    <w:p>
      <w:pPr>
        <w:spacing w:after="0" w:line="22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1.1  REGISTERED OFFICE</w:t>
      </w:r>
    </w:p>
    <w:p>
      <w:pPr>
        <w:spacing w:after="0" w:line="210"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The registered office of Athira Pharma, Inc. (the “</w:t>
      </w:r>
      <w:r>
        <w:rPr>
          <w:rFonts w:ascii="Arial" w:cs="Arial" w:eastAsia="Arial" w:hAnsi="Arial"/>
          <w:sz w:val="20"/>
          <w:szCs w:val="20"/>
          <w:b w:val="1"/>
          <w:bCs w:val="1"/>
          <w:color w:val="auto"/>
        </w:rPr>
        <w:t>Company</w:t>
      </w:r>
      <w:r>
        <w:rPr>
          <w:rFonts w:ascii="Arial" w:cs="Arial" w:eastAsia="Arial" w:hAnsi="Arial"/>
          <w:sz w:val="20"/>
          <w:szCs w:val="20"/>
          <w:color w:val="auto"/>
        </w:rPr>
        <w:t>”) shall be fixed in the Company’s certificate of incorporation, as the same may be amended from time to time.</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1.2  OTHER OFFICES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The Company may at any time establish other offices.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 - MEETINGS OF STOCKHOLDERS</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2.1  PLACE OF MEETINGS</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9"/>
          <w:szCs w:val="19"/>
          <w:color w:val="auto"/>
        </w:rPr>
        <w:t>Meetings of stockholders shall be held at a place, if any, within or outside the State of Delaware, determined by the board of directors of the Company (the “</w:t>
      </w:r>
      <w:r>
        <w:rPr>
          <w:rFonts w:ascii="Arial" w:cs="Arial" w:eastAsia="Arial" w:hAnsi="Arial"/>
          <w:sz w:val="19"/>
          <w:szCs w:val="19"/>
          <w:b w:val="1"/>
          <w:bCs w:val="1"/>
          <w:color w:val="auto"/>
        </w:rPr>
        <w:t>Board of Directors</w:t>
      </w:r>
      <w:r>
        <w:rPr>
          <w:rFonts w:ascii="Arial" w:cs="Arial" w:eastAsia="Arial" w:hAnsi="Arial"/>
          <w:sz w:val="19"/>
          <w:szCs w:val="19"/>
          <w:color w:val="auto"/>
        </w:rPr>
        <w:t>”). The Board of Directors may, in its sole discretion, determine that a meeting of stockholders shall not be held at any place, but may instead be held solely by means of remote communication as authorized by Section 211(a)(2) of the Delaware General Corporation Law or any successor legislation (the “</w:t>
      </w:r>
      <w:r>
        <w:rPr>
          <w:rFonts w:ascii="Arial" w:cs="Arial" w:eastAsia="Arial" w:hAnsi="Arial"/>
          <w:sz w:val="19"/>
          <w:szCs w:val="19"/>
          <w:b w:val="1"/>
          <w:bCs w:val="1"/>
          <w:color w:val="auto"/>
        </w:rPr>
        <w:t>DGCL</w:t>
      </w:r>
      <w:r>
        <w:rPr>
          <w:rFonts w:ascii="Arial" w:cs="Arial" w:eastAsia="Arial" w:hAnsi="Arial"/>
          <w:sz w:val="19"/>
          <w:szCs w:val="19"/>
          <w:color w:val="auto"/>
        </w:rPr>
        <w:t>”). In the absence of any such designation or determination, stockholders’ meetings shall be held at the Company’s principal executive office.</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2.2  ANNUAL MEETING</w:t>
      </w:r>
    </w:p>
    <w:p>
      <w:pPr>
        <w:spacing w:after="0" w:line="21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9"/>
          <w:szCs w:val="19"/>
          <w:color w:val="auto"/>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the purposes of these bylaws, the term “</w:t>
      </w:r>
      <w:r>
        <w:rPr>
          <w:rFonts w:ascii="Arial" w:cs="Arial" w:eastAsia="Arial" w:hAnsi="Arial"/>
          <w:sz w:val="19"/>
          <w:szCs w:val="19"/>
          <w:b w:val="1"/>
          <w:bCs w:val="1"/>
          <w:color w:val="auto"/>
        </w:rPr>
        <w:t>Whole Board</w:t>
      </w:r>
      <w:r>
        <w:rPr>
          <w:rFonts w:ascii="Arial" w:cs="Arial" w:eastAsia="Arial" w:hAnsi="Arial"/>
          <w:sz w:val="19"/>
          <w:szCs w:val="19"/>
          <w:color w:val="auto"/>
        </w:rPr>
        <w:t>” shall mean the total number of authorized directorships whether or not there exist any vacancies or other unfilled seats in previously authorized directorships.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2.3  SPECIAL MEETING</w:t>
      </w:r>
    </w:p>
    <w:p>
      <w:pPr>
        <w:spacing w:after="0" w:line="216" w:lineRule="exact"/>
        <w:rPr>
          <w:sz w:val="20"/>
          <w:szCs w:val="20"/>
          <w:color w:val="auto"/>
        </w:rPr>
      </w:pPr>
    </w:p>
    <w:p>
      <w:pPr>
        <w:jc w:val="both"/>
        <w:ind w:firstLine="1505"/>
        <w:spacing w:after="0" w:line="252" w:lineRule="auto"/>
        <w:tabs>
          <w:tab w:leader="none" w:pos="1893" w:val="left"/>
        </w:tabs>
        <w:numPr>
          <w:ilvl w:val="0"/>
          <w:numId w:val="2"/>
        </w:numPr>
        <w:rPr>
          <w:rFonts w:ascii="Arial" w:cs="Arial" w:eastAsia="Arial" w:hAnsi="Arial"/>
          <w:sz w:val="19"/>
          <w:szCs w:val="19"/>
          <w:color w:val="auto"/>
        </w:rPr>
      </w:pPr>
      <w:r>
        <w:rPr>
          <w:rFonts w:ascii="Arial" w:cs="Arial" w:eastAsia="Arial" w:hAnsi="Arial"/>
          <w:sz w:val="19"/>
          <w:szCs w:val="19"/>
          <w:color w:val="auto"/>
        </w:rPr>
        <w:t>A special meeting of the stockholders, other than as required by statute, may be called at any time by (i) the Board of Directors acting pursuant to a resolution adopted by a majority of the Whole Board, (ii) the chairperson of the Board of Directors, (iii) the chief executive officer or (iv) the president, but a special meeting may not be called by any other person or persons and any power of stockholders to call a special meeting of stockholders is specifically denied.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3" w:lineRule="exact"/>
        <w:rPr>
          <w:rFonts w:ascii="Arial" w:cs="Arial" w:eastAsia="Arial" w:hAnsi="Arial"/>
          <w:sz w:val="19"/>
          <w:szCs w:val="19"/>
          <w:color w:val="auto"/>
        </w:rPr>
      </w:pPr>
    </w:p>
    <w:p>
      <w:pPr>
        <w:ind w:left="5580" w:hanging="121"/>
        <w:spacing w:after="0"/>
        <w:tabs>
          <w:tab w:leader="none" w:pos="5580" w:val="left"/>
        </w:tabs>
        <w:numPr>
          <w:ilvl w:val="1"/>
          <w:numId w:val="2"/>
        </w:numPr>
        <w:rPr>
          <w:rFonts w:ascii="Arial" w:cs="Arial" w:eastAsia="Arial" w:hAnsi="Arial"/>
          <w:sz w:val="20"/>
          <w:szCs w:val="20"/>
          <w:color w:val="auto"/>
        </w:rPr>
      </w:pPr>
      <w:r>
        <w:rPr>
          <w:rFonts w:ascii="Arial" w:cs="Arial" w:eastAsia="Arial" w:hAnsi="Arial"/>
          <w:sz w:val="20"/>
          <w:szCs w:val="20"/>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 w:name="page8"/>
    <w:bookmarkEnd w:id="7"/>
    <w:p>
      <w:pPr>
        <w:jc w:val="both"/>
        <w:ind w:left="-760" w:firstLine="1505"/>
        <w:spacing w:after="0" w:line="328" w:lineRule="auto"/>
        <w:tabs>
          <w:tab w:leader="none" w:pos="1133"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notice of a special meeting shall include the purpose for which the meeting is called. Only such business shall be conducted at a special meeting of stockholders as shall have been brought before the meeting by or at the direction of a majority of the Whole Board, the chairperson of the Board of Directors, the chief executive officer or the president. Nothing contained in this Section 2.3(b) shall be construed as limiting, fixing or affecting the time when a meeting of stockholders called by action of the Board of Directors may be held.</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2.4  ADVANCE NOTICE PROCEDURES</w:t>
      </w:r>
    </w:p>
    <w:p>
      <w:pPr>
        <w:spacing w:after="0" w:line="216" w:lineRule="exact"/>
        <w:rPr>
          <w:sz w:val="20"/>
          <w:szCs w:val="20"/>
          <w:color w:val="auto"/>
        </w:rPr>
      </w:pPr>
    </w:p>
    <w:p>
      <w:pPr>
        <w:ind w:left="1140" w:hanging="395"/>
        <w:spacing w:after="0"/>
        <w:tabs>
          <w:tab w:leader="none" w:pos="1140" w:val="left"/>
        </w:tabs>
        <w:numPr>
          <w:ilvl w:val="0"/>
          <w:numId w:val="4"/>
        </w:numPr>
        <w:rPr>
          <w:rFonts w:ascii="Arial" w:cs="Arial" w:eastAsia="Arial" w:hAnsi="Arial"/>
          <w:sz w:val="20"/>
          <w:szCs w:val="20"/>
          <w:color w:val="auto"/>
        </w:rPr>
      </w:pPr>
      <w:r>
        <w:rPr>
          <w:rFonts w:ascii="Arial" w:cs="Arial" w:eastAsia="Arial" w:hAnsi="Arial"/>
          <w:sz w:val="20"/>
          <w:szCs w:val="20"/>
          <w:i w:val="1"/>
          <w:iCs w:val="1"/>
          <w:color w:val="auto"/>
        </w:rPr>
        <w:t>Annual Meetings of Stockholders.</w:t>
      </w:r>
    </w:p>
    <w:p>
      <w:pPr>
        <w:spacing w:after="0" w:line="202" w:lineRule="exact"/>
        <w:rPr>
          <w:rFonts w:ascii="Arial" w:cs="Arial" w:eastAsia="Arial" w:hAnsi="Arial"/>
          <w:sz w:val="20"/>
          <w:szCs w:val="20"/>
          <w:color w:val="auto"/>
        </w:rPr>
      </w:pPr>
    </w:p>
    <w:p>
      <w:pPr>
        <w:jc w:val="both"/>
        <w:ind w:left="-760" w:firstLine="2254"/>
        <w:spacing w:after="0" w:line="254" w:lineRule="auto"/>
        <w:tabs>
          <w:tab w:leader="none" w:pos="1882" w:val="left"/>
        </w:tabs>
        <w:numPr>
          <w:ilvl w:val="1"/>
          <w:numId w:val="4"/>
        </w:numPr>
        <w:rPr>
          <w:rFonts w:ascii="Arial" w:cs="Arial" w:eastAsia="Arial" w:hAnsi="Arial"/>
          <w:sz w:val="19"/>
          <w:szCs w:val="19"/>
          <w:color w:val="auto"/>
        </w:rPr>
      </w:pPr>
      <w:r>
        <w:rPr>
          <w:rFonts w:ascii="Arial" w:cs="Arial" w:eastAsia="Arial" w:hAnsi="Arial"/>
          <w:sz w:val="19"/>
          <w:szCs w:val="19"/>
          <w:color w:val="auto"/>
        </w:rPr>
        <w:t>Nominations of persons for election to the Board of Directors or the proposal of other business to be transacted by the stockholders at an annual meeting of stockholders may be made only (1) pursuant to the Company’s notice of meeting (or any supplement thereto); (2) by or at the direction of the Board of Directors, or any committee thereof that has been formally delegated authority to nominate such persons or propose such business pursuant to a resolution adopted by a majority of the Whole Board; (3) as may be provided in the certificate of designations for any class or series of preferred stock; or (4) by any stockholder of the Company who (A) is a stockholder of record at the time of giving of the notice contemplated by Section 2.4(a)(ii);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this Section 2.4(a).</w:t>
      </w:r>
    </w:p>
    <w:p>
      <w:pPr>
        <w:spacing w:after="0" w:line="186" w:lineRule="exact"/>
        <w:rPr>
          <w:rFonts w:ascii="Arial" w:cs="Arial" w:eastAsia="Arial" w:hAnsi="Arial"/>
          <w:sz w:val="19"/>
          <w:szCs w:val="19"/>
          <w:color w:val="auto"/>
        </w:rPr>
      </w:pPr>
    </w:p>
    <w:p>
      <w:pPr>
        <w:jc w:val="both"/>
        <w:ind w:left="-760" w:firstLine="2254"/>
        <w:spacing w:after="0" w:line="264" w:lineRule="auto"/>
        <w:tabs>
          <w:tab w:leader="none" w:pos="1882"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 nominations or other business to be properly brought before an annual meeting of stockholders by a stockholder pursuant to clause (4) of Section 2.4(a)(i), the stockholder must have given timely notice in writing to the secretary of the Company (the “</w:t>
      </w:r>
      <w:r>
        <w:rPr>
          <w:rFonts w:ascii="Arial" w:cs="Arial" w:eastAsia="Arial" w:hAnsi="Arial"/>
          <w:sz w:val="18"/>
          <w:szCs w:val="18"/>
          <w:b w:val="1"/>
          <w:bCs w:val="1"/>
          <w:color w:val="auto"/>
        </w:rPr>
        <w:t>Secretary</w:t>
      </w:r>
      <w:r>
        <w:rPr>
          <w:rFonts w:ascii="Arial" w:cs="Arial" w:eastAsia="Arial" w:hAnsi="Arial"/>
          <w:sz w:val="18"/>
          <w:szCs w:val="18"/>
          <w:color w:val="auto"/>
        </w:rPr>
        <w:t>”) and any such nomination or proposed business must constitute a proper matter for stockholder action. To be timely, a stockholder’s notice must be received by the Secretary at the principal executive offices of the Company no earlier than 8:00 a.m., Eastern time, on the 120th day and no later than 5:00 p.m., Eastern time, on the 90th day prior to the day of the first anniversary of the preceding year’s annual meeting of stockholders as first specified in the Company’s notice of such annual meeting (without regard to any adjournment, rescheduling, postponement or other delay of such annual meeting occurring after such notice was first sent). However, if no annual meeting of stockholders was held in the preceding year, or if the date of the annual meeting for the current year has been changed by more than 25 days from the first anniversary of the preceding year’s annual meeting, then to be timely such notice must be received by the Secretary at the principal executive offices of the Company no earlier than 8:00 a.m., Eastern time, on the 120th day prior to the day of the annual meeting and no later than 5:00 p.m., Eastern time, on the later of the 90th day prior to the day of the annual meeting and, if the first public announcement of the date of such annual meeting is less than 100 days prior to the date of such annual meeting, the 10th day following the day on which public announcement of the date of the annual meeting was first made by the Company. In no event will the adjournment, rescheduling, postponement or other delay of any annual meeting, or any announcement thereof, commence a new time period (or extend any time period) for the giving of a stockholder’s notice as described above. In no event may a stockholder provide notice with respect to a greater number of director candidates than there are director seats subject to election by stockholders at the annual meeting. If the number of directors to be elected to the Board of Directors is increased and there is no public announcement naming all of the nominees for director or specifying the size of the increased Board of Directors at least 10 days before the last day that a stockholder may deliver a notice of nomination pursuant to the foregoing provisions, then a stockholder’s notice required by this Section 2.4(a)(ii) will also be considered timely, but only with respect to any nominees for any new positions created by such increase, if it is received by the Secretary at the principal executive offices of the Company no later than 5:00 p.m., Eastern time, on the 10th day following the day on which such public announcement is first made. “</w:t>
      </w:r>
      <w:r>
        <w:rPr>
          <w:rFonts w:ascii="Arial" w:cs="Arial" w:eastAsia="Arial" w:hAnsi="Arial"/>
          <w:sz w:val="18"/>
          <w:szCs w:val="18"/>
          <w:b w:val="1"/>
          <w:bCs w:val="1"/>
          <w:color w:val="auto"/>
        </w:rPr>
        <w:t>Public</w:t>
      </w:r>
    </w:p>
    <w:p>
      <w:pPr>
        <w:spacing w:after="0" w:line="15" w:lineRule="exact"/>
        <w:rPr>
          <w:rFonts w:ascii="Arial" w:cs="Arial" w:eastAsia="Arial" w:hAnsi="Arial"/>
          <w:sz w:val="18"/>
          <w:szCs w:val="18"/>
          <w:color w:val="auto"/>
        </w:rPr>
      </w:pPr>
    </w:p>
    <w:p>
      <w:pPr>
        <w:ind w:left="4820" w:hanging="121"/>
        <w:spacing w:after="0"/>
        <w:tabs>
          <w:tab w:leader="none" w:pos="4820" w:val="left"/>
        </w:tabs>
        <w:numPr>
          <w:ilvl w:val="2"/>
          <w:numId w:val="4"/>
        </w:numPr>
        <w:rPr>
          <w:rFonts w:ascii="Arial" w:cs="Arial" w:eastAsia="Arial" w:hAnsi="Arial"/>
          <w:sz w:val="20"/>
          <w:szCs w:val="20"/>
          <w:color w:val="auto"/>
        </w:rPr>
      </w:pPr>
      <w:r>
        <w:rPr>
          <w:rFonts w:ascii="Arial" w:cs="Arial" w:eastAsia="Arial" w:hAnsi="Arial"/>
          <w:sz w:val="20"/>
          <w:szCs w:val="20"/>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47625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41" w:right="339" w:bottom="1440" w:gutter="0" w:footer="0" w:header="0"/>
        </w:sectPr>
      </w:pPr>
    </w:p>
    <w:bookmarkStart w:id="8" w:name="page9"/>
    <w:bookmarkEnd w:id="8"/>
    <w:p>
      <w:pPr>
        <w:jc w:val="both"/>
        <w:spacing w:after="0" w:line="246" w:lineRule="auto"/>
        <w:rPr>
          <w:sz w:val="20"/>
          <w:szCs w:val="20"/>
          <w:color w:val="auto"/>
        </w:rPr>
      </w:pPr>
      <w:r>
        <w:rPr>
          <w:rFonts w:ascii="Arial" w:cs="Arial" w:eastAsia="Arial" w:hAnsi="Arial"/>
          <w:sz w:val="20"/>
          <w:szCs w:val="20"/>
          <w:b w:val="1"/>
          <w:bCs w:val="1"/>
          <w:color w:val="auto"/>
        </w:rPr>
        <w:t>announcement</w:t>
      </w:r>
      <w:r>
        <w:rPr>
          <w:rFonts w:ascii="Arial" w:cs="Arial" w:eastAsia="Arial" w:hAnsi="Arial"/>
          <w:sz w:val="20"/>
          <w:szCs w:val="20"/>
          <w:color w:val="auto"/>
        </w:rPr>
        <w:t>” means disclosure in a press release reported by a national news service or in a document publicly filed by the Company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Securities and Exchange Commission (the “</w:t>
      </w:r>
      <w:r>
        <w:rPr>
          <w:rFonts w:ascii="Arial" w:cs="Arial" w:eastAsia="Arial" w:hAnsi="Arial"/>
          <w:sz w:val="20"/>
          <w:szCs w:val="20"/>
          <w:b w:val="1"/>
          <w:bCs w:val="1"/>
          <w:color w:val="auto"/>
        </w:rPr>
        <w:t>SEC</w:t>
      </w:r>
      <w:r>
        <w:rPr>
          <w:rFonts w:ascii="Arial" w:cs="Arial" w:eastAsia="Arial" w:hAnsi="Arial"/>
          <w:sz w:val="20"/>
          <w:szCs w:val="20"/>
          <w:color w:val="auto"/>
        </w:rPr>
        <w:t>”) pursuant to Section 13, Section 14 or Section 15(d) of the Securities Exchange Act of 1934 (as amended and inclusive of rules and regulations thereunder, the “</w:t>
      </w:r>
      <w:r>
        <w:rPr>
          <w:rFonts w:ascii="Arial" w:cs="Arial" w:eastAsia="Arial" w:hAnsi="Arial"/>
          <w:sz w:val="20"/>
          <w:szCs w:val="20"/>
          <w:b w:val="1"/>
          <w:bCs w:val="1"/>
          <w:color w:val="auto"/>
        </w:rPr>
        <w:t>1934 Act</w:t>
      </w:r>
      <w:r>
        <w:rPr>
          <w:rFonts w:ascii="Arial" w:cs="Arial" w:eastAsia="Arial" w:hAnsi="Arial"/>
          <w:sz w:val="20"/>
          <w:szCs w:val="20"/>
          <w:color w:val="auto"/>
        </w:rPr>
        <w:t>”) or by such other means as is reasonably designed to inform the public or stockholders of the Company in general of such information, including, without limitation, posting on the Company’s investor relations website.</w:t>
      </w:r>
    </w:p>
    <w:p>
      <w:pPr>
        <w:spacing w:after="0" w:line="191" w:lineRule="exact"/>
        <w:rPr>
          <w:sz w:val="20"/>
          <w:szCs w:val="20"/>
          <w:color w:val="auto"/>
        </w:rPr>
      </w:pPr>
    </w:p>
    <w:p>
      <w:pPr>
        <w:ind w:left="2660" w:hanging="406"/>
        <w:spacing w:after="0"/>
        <w:tabs>
          <w:tab w:leader="none" w:pos="2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A stockholder’s notice to the Secretary must set forth:</w:t>
      </w:r>
    </w:p>
    <w:p>
      <w:pPr>
        <w:spacing w:after="0" w:line="202" w:lineRule="exact"/>
        <w:rPr>
          <w:rFonts w:ascii="Arial" w:cs="Arial" w:eastAsia="Arial" w:hAnsi="Arial"/>
          <w:sz w:val="20"/>
          <w:szCs w:val="20"/>
          <w:color w:val="auto"/>
        </w:rPr>
      </w:pPr>
    </w:p>
    <w:p>
      <w:pPr>
        <w:ind w:left="3400" w:hanging="397"/>
        <w:spacing w:after="0"/>
        <w:tabs>
          <w:tab w:leader="none" w:pos="3400" w:val="left"/>
        </w:tabs>
        <w:numPr>
          <w:ilvl w:val="1"/>
          <w:numId w:val="5"/>
        </w:numPr>
        <w:rPr>
          <w:rFonts w:ascii="Arial" w:cs="Arial" w:eastAsia="Arial" w:hAnsi="Arial"/>
          <w:sz w:val="20"/>
          <w:szCs w:val="20"/>
          <w:color w:val="auto"/>
        </w:rPr>
      </w:pPr>
      <w:r>
        <w:rPr>
          <w:rFonts w:ascii="Arial" w:cs="Arial" w:eastAsia="Arial" w:hAnsi="Arial"/>
          <w:sz w:val="20"/>
          <w:szCs w:val="20"/>
          <w:color w:val="auto"/>
        </w:rPr>
        <w:t>as to each person whom the stockholder proposes to nominate for election as a director:</w:t>
      </w:r>
    </w:p>
    <w:p>
      <w:pPr>
        <w:spacing w:after="0" w:line="215" w:lineRule="exact"/>
        <w:rPr>
          <w:rFonts w:ascii="Arial" w:cs="Arial" w:eastAsia="Arial" w:hAnsi="Arial"/>
          <w:sz w:val="20"/>
          <w:szCs w:val="20"/>
          <w:color w:val="auto"/>
        </w:rPr>
      </w:pPr>
    </w:p>
    <w:p>
      <w:pPr>
        <w:ind w:left="4140" w:hanging="388"/>
        <w:spacing w:after="0"/>
        <w:tabs>
          <w:tab w:leader="none" w:pos="4140" w:val="left"/>
        </w:tabs>
        <w:numPr>
          <w:ilvl w:val="2"/>
          <w:numId w:val="5"/>
        </w:numPr>
        <w:rPr>
          <w:rFonts w:ascii="Arial" w:cs="Arial" w:eastAsia="Arial" w:hAnsi="Arial"/>
          <w:sz w:val="16"/>
          <w:szCs w:val="16"/>
          <w:color w:val="auto"/>
        </w:rPr>
      </w:pPr>
      <w:r>
        <w:rPr>
          <w:rFonts w:ascii="Arial" w:cs="Arial" w:eastAsia="Arial" w:hAnsi="Arial"/>
          <w:sz w:val="16"/>
          <w:szCs w:val="16"/>
          <w:color w:val="auto"/>
        </w:rPr>
        <w:t>such person’s name, age, business address, residence address and principal occupation or</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employment;</w:t>
      </w:r>
    </w:p>
    <w:p>
      <w:pPr>
        <w:spacing w:after="0" w:line="200" w:lineRule="exact"/>
        <w:rPr>
          <w:sz w:val="20"/>
          <w:szCs w:val="20"/>
          <w:color w:val="auto"/>
        </w:rPr>
      </w:pPr>
    </w:p>
    <w:p>
      <w:pPr>
        <w:jc w:val="both"/>
        <w:ind w:firstLine="3752"/>
        <w:spacing w:after="0" w:line="274" w:lineRule="auto"/>
        <w:tabs>
          <w:tab w:leader="none" w:pos="4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class and number of shares of the Company that are held of record or are beneficially owned by such person and any Derivative Instruments (as defined below) held or beneficially owned by such person, including the full notion amount of any securities that, directly or indirectly, underlie any Derivative Instrument; and (ii) other agreement, arrangement or understanding that has been made the effect or intent of which is to create or mitigate loss to, manage risk or benefit of share price changes for, or increase or decrease the voting power of such person with respect to the Company’s securities;</w:t>
      </w:r>
    </w:p>
    <w:p>
      <w:pPr>
        <w:spacing w:after="0" w:line="168" w:lineRule="exact"/>
        <w:rPr>
          <w:rFonts w:ascii="Arial" w:cs="Arial" w:eastAsia="Arial" w:hAnsi="Arial"/>
          <w:sz w:val="18"/>
          <w:szCs w:val="18"/>
          <w:color w:val="auto"/>
        </w:rPr>
      </w:pPr>
    </w:p>
    <w:p>
      <w:pPr>
        <w:ind w:left="4140" w:hanging="388"/>
        <w:spacing w:after="0"/>
        <w:tabs>
          <w:tab w:leader="none" w:pos="4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information relating to such person that is required to be disclosed in connection with</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solicitations of proxies for the contested election of directors, or is otherwise required, in each case pursuant to Section 14 of the 1934 Act;</w:t>
      </w:r>
    </w:p>
    <w:p>
      <w:pPr>
        <w:spacing w:after="0" w:line="222" w:lineRule="exact"/>
        <w:rPr>
          <w:rFonts w:ascii="Arial" w:cs="Arial" w:eastAsia="Arial" w:hAnsi="Arial"/>
          <w:sz w:val="18"/>
          <w:szCs w:val="18"/>
          <w:color w:val="auto"/>
        </w:rPr>
      </w:pPr>
    </w:p>
    <w:p>
      <w:pPr>
        <w:jc w:val="both"/>
        <w:ind w:firstLine="3752"/>
        <w:spacing w:after="0" w:line="250" w:lineRule="auto"/>
        <w:tabs>
          <w:tab w:leader="none" w:pos="4140" w:val="left"/>
        </w:tabs>
        <w:numPr>
          <w:ilvl w:val="1"/>
          <w:numId w:val="6"/>
        </w:numPr>
        <w:rPr>
          <w:rFonts w:ascii="Arial" w:cs="Arial" w:eastAsia="Arial" w:hAnsi="Arial"/>
          <w:sz w:val="20"/>
          <w:szCs w:val="20"/>
          <w:color w:val="auto"/>
        </w:rPr>
      </w:pPr>
      <w:r>
        <w:rPr>
          <w:rFonts w:ascii="Arial" w:cs="Arial" w:eastAsia="Arial" w:hAnsi="Arial"/>
          <w:sz w:val="20"/>
          <w:szCs w:val="20"/>
          <w:color w:val="auto"/>
        </w:rPr>
        <w:t>such person’s written consent (x) to being named as a nominee of such stockholder, (y) to being named in the Company’s form of proxy pursuant to Rule 14a-19 under the 1934 Act and (z) and to serving as a director of the Company if elected;</w:t>
      </w:r>
    </w:p>
    <w:p>
      <w:pPr>
        <w:spacing w:after="0" w:line="172" w:lineRule="exact"/>
        <w:rPr>
          <w:rFonts w:ascii="Arial" w:cs="Arial" w:eastAsia="Arial" w:hAnsi="Arial"/>
          <w:sz w:val="20"/>
          <w:szCs w:val="20"/>
          <w:color w:val="auto"/>
        </w:rPr>
      </w:pPr>
    </w:p>
    <w:p>
      <w:pPr>
        <w:ind w:firstLine="3752"/>
        <w:spacing w:after="0" w:line="244" w:lineRule="auto"/>
        <w:tabs>
          <w:tab w:leader="none" w:pos="4140" w:val="left"/>
        </w:tabs>
        <w:numPr>
          <w:ilvl w:val="1"/>
          <w:numId w:val="6"/>
        </w:numPr>
        <w:rPr>
          <w:rFonts w:ascii="Arial" w:cs="Arial" w:eastAsia="Arial" w:hAnsi="Arial"/>
          <w:sz w:val="20"/>
          <w:szCs w:val="20"/>
          <w:color w:val="auto"/>
        </w:rPr>
      </w:pPr>
      <w:r>
        <w:rPr>
          <w:rFonts w:ascii="Arial" w:cs="Arial" w:eastAsia="Arial" w:hAnsi="Arial"/>
          <w:sz w:val="20"/>
          <w:szCs w:val="20"/>
          <w:color w:val="auto"/>
        </w:rPr>
        <w:t>any direct or indirect compensatory, payment, indemnification or other financial agreement, arrangement or understanding that such person has, or has had within the past three years, with any person or entity other than the Company (including, without limitation, the amount of any payment or payments received or receivable thereunder), in each case in connection with candidacy or service as a director of the Company (such agreement, arrangement or understanding, a “</w:t>
      </w:r>
      <w:r>
        <w:rPr>
          <w:rFonts w:ascii="Arial" w:cs="Arial" w:eastAsia="Arial" w:hAnsi="Arial"/>
          <w:sz w:val="20"/>
          <w:szCs w:val="20"/>
          <w:b w:val="1"/>
          <w:bCs w:val="1"/>
          <w:color w:val="auto"/>
        </w:rPr>
        <w:t>Third-Party</w:t>
      </w:r>
      <w:r>
        <w:rPr>
          <w:rFonts w:ascii="Arial" w:cs="Arial" w:eastAsia="Arial" w:hAnsi="Arial"/>
          <w:sz w:val="20"/>
          <w:szCs w:val="20"/>
          <w:color w:val="auto"/>
        </w:rPr>
        <w:t xml:space="preserve"> </w:t>
      </w:r>
      <w:r>
        <w:rPr>
          <w:rFonts w:ascii="Arial" w:cs="Arial" w:eastAsia="Arial" w:hAnsi="Arial"/>
          <w:sz w:val="20"/>
          <w:szCs w:val="20"/>
          <w:b w:val="1"/>
          <w:bCs w:val="1"/>
          <w:color w:val="auto"/>
        </w:rPr>
        <w:t>Compensation Arrangement</w:t>
      </w:r>
      <w:r>
        <w:rPr>
          <w:rFonts w:ascii="Arial" w:cs="Arial" w:eastAsia="Arial" w:hAnsi="Arial"/>
          <w:sz w:val="20"/>
          <w:szCs w:val="20"/>
          <w:color w:val="auto"/>
        </w:rPr>
        <w:t>”); and</w:t>
      </w:r>
    </w:p>
    <w:p>
      <w:pPr>
        <w:spacing w:after="0" w:line="194" w:lineRule="exact"/>
        <w:rPr>
          <w:rFonts w:ascii="Arial" w:cs="Arial" w:eastAsia="Arial" w:hAnsi="Arial"/>
          <w:sz w:val="20"/>
          <w:szCs w:val="20"/>
          <w:color w:val="auto"/>
        </w:rPr>
      </w:pPr>
    </w:p>
    <w:p>
      <w:pPr>
        <w:jc w:val="both"/>
        <w:ind w:firstLine="3752"/>
        <w:spacing w:after="0"/>
        <w:tabs>
          <w:tab w:leader="none" w:pos="4140" w:val="left"/>
        </w:tabs>
        <w:numPr>
          <w:ilvl w:val="1"/>
          <w:numId w:val="6"/>
        </w:numPr>
        <w:rPr>
          <w:rFonts w:ascii="Arial" w:cs="Arial" w:eastAsia="Arial" w:hAnsi="Arial"/>
          <w:sz w:val="20"/>
          <w:szCs w:val="20"/>
          <w:color w:val="auto"/>
        </w:rPr>
      </w:pPr>
      <w:r>
        <w:rPr>
          <w:rFonts w:ascii="Arial" w:cs="Arial" w:eastAsia="Arial" w:hAnsi="Arial"/>
          <w:sz w:val="20"/>
          <w:szCs w:val="20"/>
          <w:color w:val="auto"/>
        </w:rPr>
        <w:t>a description of any other material relationships between such person and such person’s respective affiliates and associates, or others acting in concert with them, on the one hand, and such stockholder giving the notice and the beneficial owner, if any, on whose behalf the nomination is made, and their respective affiliates and associates, or others acting in concert with them, on the other hand, including, without limitation, all information that would be required to be disclosed pursuant to Item 404 under Regulation S-K if such stockholder, beneficial owner, affiliate or associate were the “registrant” for purposes of such rule and such person were a director or executive officer of such registrant;</w:t>
      </w:r>
    </w:p>
    <w:p>
      <w:pPr>
        <w:spacing w:after="0" w:line="199" w:lineRule="exact"/>
        <w:rPr>
          <w:rFonts w:ascii="Arial" w:cs="Arial" w:eastAsia="Arial" w:hAnsi="Arial"/>
          <w:sz w:val="20"/>
          <w:szCs w:val="20"/>
          <w:color w:val="auto"/>
        </w:rPr>
      </w:pPr>
    </w:p>
    <w:p>
      <w:pPr>
        <w:ind w:left="3400" w:hanging="397"/>
        <w:spacing w:after="0"/>
        <w:tabs>
          <w:tab w:leader="none" w:pos="3400" w:val="left"/>
        </w:tabs>
        <w:numPr>
          <w:ilvl w:val="0"/>
          <w:numId w:val="7"/>
        </w:numPr>
        <w:rPr>
          <w:rFonts w:ascii="Arial" w:cs="Arial" w:eastAsia="Arial" w:hAnsi="Arial"/>
          <w:sz w:val="19"/>
          <w:szCs w:val="19"/>
          <w:color w:val="auto"/>
        </w:rPr>
      </w:pPr>
      <w:r>
        <w:rPr>
          <w:rFonts w:ascii="Arial" w:cs="Arial" w:eastAsia="Arial" w:hAnsi="Arial"/>
          <w:sz w:val="19"/>
          <w:szCs w:val="19"/>
          <w:color w:val="auto"/>
        </w:rPr>
        <w:t>as to any other business that the stockholder proposes to bring before the annual meeting:</w:t>
      </w:r>
    </w:p>
    <w:p>
      <w:pPr>
        <w:spacing w:after="0" w:line="213" w:lineRule="exact"/>
        <w:rPr>
          <w:rFonts w:ascii="Arial" w:cs="Arial" w:eastAsia="Arial" w:hAnsi="Arial"/>
          <w:sz w:val="19"/>
          <w:szCs w:val="19"/>
          <w:color w:val="auto"/>
        </w:rPr>
      </w:pPr>
    </w:p>
    <w:p>
      <w:pPr>
        <w:ind w:left="4140" w:hanging="388"/>
        <w:spacing w:after="0"/>
        <w:tabs>
          <w:tab w:leader="none" w:pos="4140" w:val="left"/>
        </w:tabs>
        <w:numPr>
          <w:ilvl w:val="1"/>
          <w:numId w:val="7"/>
        </w:numPr>
        <w:rPr>
          <w:rFonts w:ascii="Arial" w:cs="Arial" w:eastAsia="Arial" w:hAnsi="Arial"/>
          <w:sz w:val="19"/>
          <w:szCs w:val="19"/>
          <w:color w:val="auto"/>
        </w:rPr>
      </w:pPr>
      <w:r>
        <w:rPr>
          <w:rFonts w:ascii="Arial" w:cs="Arial" w:eastAsia="Arial" w:hAnsi="Arial"/>
          <w:sz w:val="19"/>
          <w:szCs w:val="19"/>
          <w:color w:val="auto"/>
        </w:rPr>
        <w:t>a brief description of the business desired to be brought before the annual meeting;</w:t>
      </w:r>
    </w:p>
    <w:p>
      <w:pPr>
        <w:spacing w:after="0" w:line="27" w:lineRule="exact"/>
        <w:rPr>
          <w:rFonts w:ascii="Arial" w:cs="Arial" w:eastAsia="Arial" w:hAnsi="Arial"/>
          <w:sz w:val="19"/>
          <w:szCs w:val="19"/>
          <w:color w:val="auto"/>
        </w:rPr>
      </w:pPr>
    </w:p>
    <w:p>
      <w:pPr>
        <w:ind w:left="5580" w:hanging="121"/>
        <w:spacing w:after="0"/>
        <w:tabs>
          <w:tab w:leader="none" w:pos="5580" w:val="left"/>
        </w:tabs>
        <w:numPr>
          <w:ilvl w:val="2"/>
          <w:numId w:val="7"/>
        </w:numPr>
        <w:rPr>
          <w:rFonts w:ascii="Arial" w:cs="Arial" w:eastAsia="Arial" w:hAnsi="Arial"/>
          <w:sz w:val="20"/>
          <w:szCs w:val="20"/>
          <w:color w:val="auto"/>
        </w:rPr>
      </w:pPr>
      <w:r>
        <w:rPr>
          <w:rFonts w:ascii="Arial" w:cs="Arial" w:eastAsia="Arial" w:hAnsi="Arial"/>
          <w:sz w:val="20"/>
          <w:szCs w:val="20"/>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9" w:name="page10"/>
    <w:bookmarkEnd w:id="9"/>
    <w:p>
      <w:pPr>
        <w:ind w:right="20" w:firstLine="3752"/>
        <w:spacing w:after="0" w:line="260" w:lineRule="auto"/>
        <w:tabs>
          <w:tab w:leader="none" w:pos="4140" w:val="left"/>
        </w:tabs>
        <w:numPr>
          <w:ilvl w:val="1"/>
          <w:numId w:val="8"/>
        </w:numPr>
        <w:rPr>
          <w:rFonts w:ascii="Arial" w:cs="Arial" w:eastAsia="Arial" w:hAnsi="Arial"/>
          <w:sz w:val="20"/>
          <w:szCs w:val="20"/>
          <w:color w:val="auto"/>
        </w:rPr>
      </w:pPr>
      <w:r>
        <w:rPr>
          <w:rFonts w:ascii="Arial" w:cs="Arial" w:eastAsia="Arial" w:hAnsi="Arial"/>
          <w:sz w:val="20"/>
          <w:szCs w:val="20"/>
          <w:color w:val="auto"/>
        </w:rPr>
        <w:t>the text of the proposal or business (including the text of any resolutions proposed for consideration and, if applicable, the text of any proposed amendment to these bylaws);</w:t>
      </w:r>
    </w:p>
    <w:p>
      <w:pPr>
        <w:spacing w:after="0" w:line="176" w:lineRule="exact"/>
        <w:rPr>
          <w:rFonts w:ascii="Arial" w:cs="Arial" w:eastAsia="Arial" w:hAnsi="Arial"/>
          <w:sz w:val="20"/>
          <w:szCs w:val="20"/>
          <w:color w:val="auto"/>
        </w:rPr>
      </w:pPr>
    </w:p>
    <w:p>
      <w:pPr>
        <w:ind w:left="4140" w:hanging="388"/>
        <w:spacing w:after="0"/>
        <w:tabs>
          <w:tab w:leader="none" w:pos="4140" w:val="left"/>
        </w:tabs>
        <w:numPr>
          <w:ilvl w:val="1"/>
          <w:numId w:val="8"/>
        </w:numPr>
        <w:rPr>
          <w:rFonts w:ascii="Arial" w:cs="Arial" w:eastAsia="Arial" w:hAnsi="Arial"/>
          <w:sz w:val="20"/>
          <w:szCs w:val="20"/>
          <w:color w:val="auto"/>
        </w:rPr>
      </w:pPr>
      <w:r>
        <w:rPr>
          <w:rFonts w:ascii="Arial" w:cs="Arial" w:eastAsia="Arial" w:hAnsi="Arial"/>
          <w:sz w:val="20"/>
          <w:szCs w:val="20"/>
          <w:color w:val="auto"/>
        </w:rPr>
        <w:t>the reasons for conducting such business at the annual meeting;</w:t>
      </w:r>
    </w:p>
    <w:p>
      <w:pPr>
        <w:spacing w:after="0" w:line="215" w:lineRule="exact"/>
        <w:rPr>
          <w:rFonts w:ascii="Arial" w:cs="Arial" w:eastAsia="Arial" w:hAnsi="Arial"/>
          <w:sz w:val="20"/>
          <w:szCs w:val="20"/>
          <w:color w:val="auto"/>
        </w:rPr>
      </w:pPr>
    </w:p>
    <w:p>
      <w:pPr>
        <w:jc w:val="both"/>
        <w:ind w:firstLine="3752"/>
        <w:spacing w:after="0" w:line="250" w:lineRule="auto"/>
        <w:tabs>
          <w:tab w:leader="none" w:pos="4140" w:val="left"/>
        </w:tabs>
        <w:numPr>
          <w:ilvl w:val="1"/>
          <w:numId w:val="8"/>
        </w:numPr>
        <w:rPr>
          <w:rFonts w:ascii="Arial" w:cs="Arial" w:eastAsia="Arial" w:hAnsi="Arial"/>
          <w:sz w:val="20"/>
          <w:szCs w:val="20"/>
          <w:color w:val="auto"/>
        </w:rPr>
      </w:pPr>
      <w:r>
        <w:rPr>
          <w:rFonts w:ascii="Arial" w:cs="Arial" w:eastAsia="Arial" w:hAnsi="Arial"/>
          <w:sz w:val="20"/>
          <w:szCs w:val="20"/>
          <w:color w:val="auto"/>
        </w:rPr>
        <w:t>any material interest in such business of such stockholder giving the notice and the beneficial owner, if any, on whose behalf the proposal is made, and their respective affiliates and associates, or others acting in concert with them; and</w:t>
      </w:r>
    </w:p>
    <w:p>
      <w:pPr>
        <w:spacing w:after="0" w:line="172" w:lineRule="exact"/>
        <w:rPr>
          <w:rFonts w:ascii="Arial" w:cs="Arial" w:eastAsia="Arial" w:hAnsi="Arial"/>
          <w:sz w:val="20"/>
          <w:szCs w:val="20"/>
          <w:color w:val="auto"/>
        </w:rPr>
      </w:pPr>
    </w:p>
    <w:p>
      <w:pPr>
        <w:jc w:val="both"/>
        <w:ind w:firstLine="3752"/>
        <w:spacing w:after="0" w:line="291" w:lineRule="auto"/>
        <w:tabs>
          <w:tab w:leader="none" w:pos="4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agreements, arrangements and understandings between such stockholder and the beneficial owner, if any, on whose behalf the proposal is made, and their respective affiliates or associates or others acting in concert with them, and any other persons (including their names) in connection with the proposal of such business by such stockholder; and</w:t>
      </w:r>
    </w:p>
    <w:p>
      <w:pPr>
        <w:spacing w:after="0" w:line="151" w:lineRule="exact"/>
        <w:rPr>
          <w:rFonts w:ascii="Arial" w:cs="Arial" w:eastAsia="Arial" w:hAnsi="Arial"/>
          <w:sz w:val="18"/>
          <w:szCs w:val="18"/>
          <w:color w:val="auto"/>
        </w:rPr>
      </w:pPr>
    </w:p>
    <w:p>
      <w:pPr>
        <w:ind w:left="3400" w:hanging="397"/>
        <w:spacing w:after="0"/>
        <w:tabs>
          <w:tab w:leader="none" w:pos="3400" w:val="left"/>
        </w:tabs>
        <w:numPr>
          <w:ilvl w:val="0"/>
          <w:numId w:val="9"/>
        </w:numPr>
        <w:rPr>
          <w:rFonts w:ascii="Arial" w:cs="Arial" w:eastAsia="Arial" w:hAnsi="Arial"/>
          <w:sz w:val="19"/>
          <w:szCs w:val="19"/>
          <w:color w:val="auto"/>
        </w:rPr>
      </w:pPr>
      <w:r>
        <w:rPr>
          <w:rFonts w:ascii="Arial" w:cs="Arial" w:eastAsia="Arial" w:hAnsi="Arial"/>
          <w:sz w:val="19"/>
          <w:szCs w:val="19"/>
          <w:color w:val="auto"/>
        </w:rPr>
        <w:t>as to the stockholder giving the notice and the beneficial owner, if any, on whose behalf the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nomination or proposal is made:</w:t>
      </w:r>
    </w:p>
    <w:p>
      <w:pPr>
        <w:spacing w:after="0" w:line="199" w:lineRule="exact"/>
        <w:rPr>
          <w:rFonts w:ascii="Arial" w:cs="Arial" w:eastAsia="Arial" w:hAnsi="Arial"/>
          <w:sz w:val="19"/>
          <w:szCs w:val="19"/>
          <w:color w:val="auto"/>
        </w:rPr>
      </w:pPr>
    </w:p>
    <w:p>
      <w:pPr>
        <w:ind w:left="4140" w:hanging="388"/>
        <w:spacing w:after="0"/>
        <w:tabs>
          <w:tab w:leader="none" w:pos="4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the Company’s books), of</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such beneficial owner, and of their respective affiliates or associates or others acting in concert with them;</w:t>
      </w:r>
    </w:p>
    <w:p>
      <w:pPr>
        <w:spacing w:after="0" w:line="199" w:lineRule="exact"/>
        <w:rPr>
          <w:rFonts w:ascii="Arial" w:cs="Arial" w:eastAsia="Arial" w:hAnsi="Arial"/>
          <w:sz w:val="18"/>
          <w:szCs w:val="18"/>
          <w:color w:val="auto"/>
        </w:rPr>
      </w:pPr>
    </w:p>
    <w:p>
      <w:pPr>
        <w:jc w:val="both"/>
        <w:ind w:firstLine="3752"/>
        <w:spacing w:after="0" w:line="250" w:lineRule="auto"/>
        <w:tabs>
          <w:tab w:leader="none" w:pos="4140" w:val="left"/>
        </w:tabs>
        <w:numPr>
          <w:ilvl w:val="1"/>
          <w:numId w:val="9"/>
        </w:numPr>
        <w:rPr>
          <w:rFonts w:ascii="Arial" w:cs="Arial" w:eastAsia="Arial" w:hAnsi="Arial"/>
          <w:sz w:val="20"/>
          <w:szCs w:val="20"/>
          <w:color w:val="auto"/>
        </w:rPr>
      </w:pPr>
      <w:r>
        <w:rPr>
          <w:rFonts w:ascii="Arial" w:cs="Arial" w:eastAsia="Arial" w:hAnsi="Arial"/>
          <w:sz w:val="20"/>
          <w:szCs w:val="20"/>
          <w:color w:val="auto"/>
        </w:rPr>
        <w:t>for each class or series, the number of shares of stock of the Company that are, directly or indirectly, held of record or are beneficially owned by such stockholder, such beneficial owner or their respective affiliates or associates or others acting in concert with them;</w:t>
      </w:r>
    </w:p>
    <w:p>
      <w:pPr>
        <w:spacing w:after="0" w:line="185" w:lineRule="exact"/>
        <w:rPr>
          <w:rFonts w:ascii="Arial" w:cs="Arial" w:eastAsia="Arial" w:hAnsi="Arial"/>
          <w:sz w:val="20"/>
          <w:szCs w:val="20"/>
          <w:color w:val="auto"/>
        </w:rPr>
      </w:pPr>
    </w:p>
    <w:p>
      <w:pPr>
        <w:jc w:val="both"/>
        <w:ind w:firstLine="3752"/>
        <w:spacing w:after="0" w:line="250" w:lineRule="auto"/>
        <w:tabs>
          <w:tab w:leader="none" w:pos="4140" w:val="left"/>
        </w:tabs>
        <w:numPr>
          <w:ilvl w:val="1"/>
          <w:numId w:val="9"/>
        </w:numPr>
        <w:rPr>
          <w:rFonts w:ascii="Arial" w:cs="Arial" w:eastAsia="Arial" w:hAnsi="Arial"/>
          <w:sz w:val="20"/>
          <w:szCs w:val="20"/>
          <w:color w:val="auto"/>
        </w:rPr>
      </w:pPr>
      <w:r>
        <w:rPr>
          <w:rFonts w:ascii="Arial" w:cs="Arial" w:eastAsia="Arial" w:hAnsi="Arial"/>
          <w:sz w:val="20"/>
          <w:szCs w:val="20"/>
          <w:color w:val="auto"/>
        </w:rPr>
        <w:t>any agreement, arrangement or understanding between such stockholder, such beneficial owner or their respective affiliates or associates or others acting in concert with them, and any other person or persons (including, in each case, their names) in connection with the proposal of such nomination or other business;</w:t>
      </w:r>
    </w:p>
    <w:p>
      <w:pPr>
        <w:spacing w:after="0" w:line="172" w:lineRule="exact"/>
        <w:rPr>
          <w:rFonts w:ascii="Arial" w:cs="Arial" w:eastAsia="Arial" w:hAnsi="Arial"/>
          <w:sz w:val="20"/>
          <w:szCs w:val="20"/>
          <w:color w:val="auto"/>
        </w:rPr>
      </w:pPr>
    </w:p>
    <w:p>
      <w:pPr>
        <w:jc w:val="both"/>
        <w:ind w:firstLine="3752"/>
        <w:spacing w:after="0" w:line="254" w:lineRule="auto"/>
        <w:tabs>
          <w:tab w:leader="none" w:pos="4140" w:val="left"/>
        </w:tabs>
        <w:numPr>
          <w:ilvl w:val="1"/>
          <w:numId w:val="9"/>
        </w:numPr>
        <w:rPr>
          <w:rFonts w:ascii="Arial" w:cs="Arial" w:eastAsia="Arial" w:hAnsi="Arial"/>
          <w:sz w:val="19"/>
          <w:szCs w:val="19"/>
          <w:color w:val="auto"/>
        </w:rPr>
      </w:pPr>
      <w:r>
        <w:rPr>
          <w:rFonts w:ascii="Arial" w:cs="Arial" w:eastAsia="Arial" w:hAnsi="Arial"/>
          <w:sz w:val="19"/>
          <w:szCs w:val="19"/>
          <w:color w:val="auto"/>
        </w:rPr>
        <w:t>any (i)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such beneficial owner or their respective affiliates or associates or others acting in concert with them with respect to the Company’s securities (any of the foregoing, a “</w:t>
      </w:r>
      <w:r>
        <w:rPr>
          <w:rFonts w:ascii="Arial" w:cs="Arial" w:eastAsia="Arial" w:hAnsi="Arial"/>
          <w:sz w:val="19"/>
          <w:szCs w:val="19"/>
          <w:b w:val="1"/>
          <w:bCs w:val="1"/>
          <w:color w:val="auto"/>
        </w:rPr>
        <w:t>Derivative Instrument</w:t>
      </w:r>
      <w:r>
        <w:rPr>
          <w:rFonts w:ascii="Arial" w:cs="Arial" w:eastAsia="Arial" w:hAnsi="Arial"/>
          <w:sz w:val="19"/>
          <w:szCs w:val="19"/>
          <w:color w:val="auto"/>
        </w:rPr>
        <w:t>”) including the full notional amount of any securities that, directly of indirectly, underlie any Derivative Instrument; and (ii) other agreement, arrangement or understanding that has been made the effect or intent of which is to create or mitigate loss to, manage risk or benefit of share price changes for, or increase or decrease the voting power of, such stockholder, such beneficial owner or their respective affiliates or associates or others acting in concert with them, with respect to the Company’s securities;</w:t>
      </w:r>
    </w:p>
    <w:p>
      <w:pPr>
        <w:spacing w:after="0" w:line="186" w:lineRule="exact"/>
        <w:rPr>
          <w:rFonts w:ascii="Arial" w:cs="Arial" w:eastAsia="Arial" w:hAnsi="Arial"/>
          <w:sz w:val="19"/>
          <w:szCs w:val="19"/>
          <w:color w:val="auto"/>
        </w:rPr>
      </w:pPr>
    </w:p>
    <w:p>
      <w:pPr>
        <w:jc w:val="both"/>
        <w:ind w:firstLine="3752"/>
        <w:spacing w:after="0"/>
        <w:tabs>
          <w:tab w:leader="none" w:pos="4140" w:val="left"/>
        </w:tabs>
        <w:numPr>
          <w:ilvl w:val="1"/>
          <w:numId w:val="9"/>
        </w:numPr>
        <w:rPr>
          <w:rFonts w:ascii="Arial" w:cs="Arial" w:eastAsia="Arial" w:hAnsi="Arial"/>
          <w:sz w:val="20"/>
          <w:szCs w:val="20"/>
          <w:color w:val="auto"/>
        </w:rPr>
      </w:pPr>
      <w:r>
        <w:rPr>
          <w:rFonts w:ascii="Arial" w:cs="Arial" w:eastAsia="Arial" w:hAnsi="Arial"/>
          <w:sz w:val="20"/>
          <w:szCs w:val="20"/>
          <w:color w:val="auto"/>
        </w:rPr>
        <w:t>any proxy, contract, arrangement, understanding or relationship pursuant to which such stockholder, such beneficial owner or their respective affiliates or associates or others acting in concert with them has a right to vote any shares of any security of the Company;</w:t>
      </w:r>
    </w:p>
    <w:p>
      <w:pPr>
        <w:spacing w:after="0" w:line="1" w:lineRule="exact"/>
        <w:rPr>
          <w:rFonts w:ascii="Arial" w:cs="Arial" w:eastAsia="Arial" w:hAnsi="Arial"/>
          <w:sz w:val="20"/>
          <w:szCs w:val="20"/>
          <w:color w:val="auto"/>
        </w:rPr>
      </w:pPr>
    </w:p>
    <w:p>
      <w:pPr>
        <w:ind w:left="5580" w:hanging="121"/>
        <w:spacing w:after="0"/>
        <w:tabs>
          <w:tab w:leader="none" w:pos="5580" w:val="left"/>
        </w:tabs>
        <w:numPr>
          <w:ilvl w:val="2"/>
          <w:numId w:val="9"/>
        </w:numPr>
        <w:rPr>
          <w:rFonts w:ascii="Arial" w:cs="Arial" w:eastAsia="Arial" w:hAnsi="Arial"/>
          <w:sz w:val="20"/>
          <w:szCs w:val="20"/>
          <w:color w:val="auto"/>
        </w:rPr>
      </w:pPr>
      <w:r>
        <w:rPr>
          <w:rFonts w:ascii="Arial" w:cs="Arial" w:eastAsia="Arial" w:hAnsi="Arial"/>
          <w:sz w:val="20"/>
          <w:szCs w:val="20"/>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0" w:name="page11"/>
    <w:bookmarkEnd w:id="10"/>
    <w:p>
      <w:pPr>
        <w:jc w:val="both"/>
        <w:ind w:left="-1120" w:right="20" w:firstLine="3752"/>
        <w:spacing w:after="0" w:line="250" w:lineRule="auto"/>
        <w:tabs>
          <w:tab w:leader="none" w:pos="3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any rights to dividends on the Company’s securities owned beneficially by such stockholder, such beneficial owner or their respective affiliates or associates or others acting in concert with them, that are separated or separable from the underlying security;</w:t>
      </w:r>
    </w:p>
    <w:p>
      <w:pPr>
        <w:spacing w:after="0" w:line="185" w:lineRule="exact"/>
        <w:rPr>
          <w:rFonts w:ascii="Arial" w:cs="Arial" w:eastAsia="Arial" w:hAnsi="Arial"/>
          <w:sz w:val="20"/>
          <w:szCs w:val="20"/>
          <w:color w:val="auto"/>
        </w:rPr>
      </w:pPr>
    </w:p>
    <w:p>
      <w:pPr>
        <w:jc w:val="both"/>
        <w:ind w:left="-1120" w:firstLine="3752"/>
        <w:spacing w:after="0" w:line="241" w:lineRule="auto"/>
        <w:tabs>
          <w:tab w:leader="none" w:pos="3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any proportionate interest in the Company’s securities or Derivative Instruments held, directly or indirectly, by a general or limited partnership in which such stockholder, such beneficial owner or their respective affiliates or associates or others acting in concert with them, is a general partner or, directly or indirectly, beneficially owns an interest in a general partner of such general or limited partnership;</w:t>
      </w:r>
    </w:p>
    <w:p>
      <w:pPr>
        <w:spacing w:after="0" w:line="196" w:lineRule="exact"/>
        <w:rPr>
          <w:rFonts w:ascii="Arial" w:cs="Arial" w:eastAsia="Arial" w:hAnsi="Arial"/>
          <w:sz w:val="20"/>
          <w:szCs w:val="20"/>
          <w:color w:val="auto"/>
        </w:rPr>
      </w:pPr>
    </w:p>
    <w:p>
      <w:pPr>
        <w:jc w:val="both"/>
        <w:ind w:left="-1120" w:firstLine="3752"/>
        <w:spacing w:after="0" w:line="246" w:lineRule="auto"/>
        <w:tabs>
          <w:tab w:leader="none" w:pos="3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any performance-related fees (other than an asset-based fee) that such stockholder, such beneficial owner or their respective affiliates or associates or others acting in concert with them, is entitled to based on any increase or decrease in the value of the Company’s securities or Derivative Instruments, including, without limitation, any such interests held by members of the immediate family of such persons sharing the same household;</w:t>
      </w:r>
    </w:p>
    <w:p>
      <w:pPr>
        <w:spacing w:after="0" w:line="191" w:lineRule="exact"/>
        <w:rPr>
          <w:rFonts w:ascii="Arial" w:cs="Arial" w:eastAsia="Arial" w:hAnsi="Arial"/>
          <w:sz w:val="20"/>
          <w:szCs w:val="20"/>
          <w:color w:val="auto"/>
        </w:rPr>
      </w:pPr>
    </w:p>
    <w:p>
      <w:pPr>
        <w:jc w:val="both"/>
        <w:ind w:left="-1120" w:firstLine="3752"/>
        <w:spacing w:after="0" w:line="243" w:lineRule="auto"/>
        <w:tabs>
          <w:tab w:leader="none" w:pos="3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any significant equity interests or any Derivative Instruments in any principal competitor of the Company that are held by such stockholder, such beneficial owner or their respective affiliates or associates or others acting in concert with them;</w:t>
      </w:r>
    </w:p>
    <w:p>
      <w:pPr>
        <w:spacing w:after="0" w:line="192" w:lineRule="exact"/>
        <w:rPr>
          <w:rFonts w:ascii="Arial" w:cs="Arial" w:eastAsia="Arial" w:hAnsi="Arial"/>
          <w:sz w:val="20"/>
          <w:szCs w:val="20"/>
          <w:color w:val="auto"/>
        </w:rPr>
      </w:pPr>
    </w:p>
    <w:p>
      <w:pPr>
        <w:jc w:val="both"/>
        <w:ind w:left="-1120" w:firstLine="3752"/>
        <w:spacing w:after="0" w:line="246" w:lineRule="auto"/>
        <w:tabs>
          <w:tab w:leader="none" w:pos="3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any direct or indirect interest of such stockholder, such beneficial owner or their respective affiliates or associates or others acting in concert with them, in any contract with the Company, any affiliate of the Company or any principal competitor of the Company (in each case, including, without limitation, any employment agreement, collective bargaining agreement or consulting agreement);</w:t>
      </w:r>
    </w:p>
    <w:p>
      <w:pPr>
        <w:spacing w:after="0" w:line="191" w:lineRule="exact"/>
        <w:rPr>
          <w:rFonts w:ascii="Arial" w:cs="Arial" w:eastAsia="Arial" w:hAnsi="Arial"/>
          <w:sz w:val="20"/>
          <w:szCs w:val="20"/>
          <w:color w:val="auto"/>
        </w:rPr>
      </w:pPr>
    </w:p>
    <w:p>
      <w:pPr>
        <w:jc w:val="both"/>
        <w:ind w:left="-1120" w:firstLine="3752"/>
        <w:spacing w:after="0" w:line="243" w:lineRule="auto"/>
        <w:tabs>
          <w:tab w:leader="none" w:pos="3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any material pending or threatened legal proceeding in which such stockholder, such beneficial owner or their respective affiliates or associates or others acting in concert with them is a party or material participant involving the Company or any of its officers, directors or affiliates;</w:t>
      </w:r>
    </w:p>
    <w:p>
      <w:pPr>
        <w:spacing w:after="0" w:line="192" w:lineRule="exact"/>
        <w:rPr>
          <w:rFonts w:ascii="Arial" w:cs="Arial" w:eastAsia="Arial" w:hAnsi="Arial"/>
          <w:sz w:val="20"/>
          <w:szCs w:val="20"/>
          <w:color w:val="auto"/>
        </w:rPr>
      </w:pPr>
    </w:p>
    <w:p>
      <w:pPr>
        <w:jc w:val="both"/>
        <w:ind w:left="-1120" w:firstLine="3752"/>
        <w:spacing w:after="0" w:line="250" w:lineRule="auto"/>
        <w:tabs>
          <w:tab w:leader="none" w:pos="3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any material relationship between such stockholder, such beneficial owner or their respective affiliates or associates or others acting in concert with them, on the one hand, and the Company or any of its officers, directors or affiliates, on the other hand;</w:t>
      </w:r>
    </w:p>
    <w:p>
      <w:pPr>
        <w:spacing w:after="0" w:line="185" w:lineRule="exact"/>
        <w:rPr>
          <w:rFonts w:ascii="Arial" w:cs="Arial" w:eastAsia="Arial" w:hAnsi="Arial"/>
          <w:sz w:val="20"/>
          <w:szCs w:val="20"/>
          <w:color w:val="auto"/>
        </w:rPr>
      </w:pPr>
    </w:p>
    <w:p>
      <w:pPr>
        <w:jc w:val="both"/>
        <w:ind w:left="-1120" w:firstLine="3752"/>
        <w:spacing w:after="0" w:line="243" w:lineRule="auto"/>
        <w:tabs>
          <w:tab w:leader="none" w:pos="30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 representation and undertaking that the stockholder is a holder of record of stock of the Company as of the date of submission of the stockholder’s notice and intends to appear in person or by proxy at the annual meeting to bring such nomination or other business before the annual meeting;</w:t>
      </w:r>
    </w:p>
    <w:p>
      <w:pPr>
        <w:spacing w:after="0" w:line="192" w:lineRule="exact"/>
        <w:rPr>
          <w:rFonts w:ascii="Arial" w:cs="Arial" w:eastAsia="Arial" w:hAnsi="Arial"/>
          <w:sz w:val="20"/>
          <w:szCs w:val="20"/>
          <w:color w:val="auto"/>
        </w:rPr>
      </w:pPr>
    </w:p>
    <w:p>
      <w:pPr>
        <w:jc w:val="both"/>
        <w:ind w:left="-1120" w:firstLine="3752"/>
        <w:spacing w:after="0" w:line="252" w:lineRule="auto"/>
        <w:tabs>
          <w:tab w:leader="none" w:pos="30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a representation and undertaking as to whether such stockholder, such beneficial owner or their respective affiliates or associates or others acting in concert with them intends, or is part of a group that intends, to (x) deliver a proxy statement or form of proxy to holders of at least the percentage of the voting power of the Company’s then-outstanding stock required to approve or adopt the proposal or to elect each such nominee (which representation and undertaking must include a statement as to whether such stockholder, such beneficial owner or their respective affiliates or associates or others acting in concert with them intends to solicit the requisite percentage of the voting power of the Company’s stock under Rule 14a-19 of the 1934 Act); or (y) otherwise solicit proxies from stockholders in support of such proposal or nomination;</w:t>
      </w:r>
    </w:p>
    <w:p>
      <w:pPr>
        <w:spacing w:after="0" w:line="3" w:lineRule="exact"/>
        <w:rPr>
          <w:rFonts w:ascii="Arial" w:cs="Arial" w:eastAsia="Arial" w:hAnsi="Arial"/>
          <w:sz w:val="19"/>
          <w:szCs w:val="19"/>
          <w:color w:val="auto"/>
        </w:rPr>
      </w:pPr>
    </w:p>
    <w:p>
      <w:pPr>
        <w:ind w:left="4460" w:hanging="121"/>
        <w:spacing w:after="0"/>
        <w:tabs>
          <w:tab w:leader="none" w:pos="4460" w:val="left"/>
        </w:tabs>
        <w:numPr>
          <w:ilvl w:val="1"/>
          <w:numId w:val="10"/>
        </w:numPr>
        <w:rPr>
          <w:rFonts w:ascii="Arial" w:cs="Arial" w:eastAsia="Arial" w:hAnsi="Arial"/>
          <w:sz w:val="20"/>
          <w:szCs w:val="20"/>
          <w:color w:val="auto"/>
        </w:rPr>
      </w:pPr>
      <w:r>
        <w:rPr>
          <w:rFonts w:ascii="Arial" w:cs="Arial" w:eastAsia="Arial" w:hAnsi="Arial"/>
          <w:sz w:val="20"/>
          <w:szCs w:val="20"/>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55880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41" w:right="339" w:bottom="1440" w:gutter="0" w:footer="0" w:header="0"/>
        </w:sectPr>
      </w:pPr>
    </w:p>
    <w:bookmarkStart w:id="11" w:name="page12"/>
    <w:bookmarkEnd w:id="11"/>
    <w:p>
      <w:pPr>
        <w:jc w:val="both"/>
        <w:ind w:firstLine="3752"/>
        <w:spacing w:after="0" w:line="263" w:lineRule="auto"/>
        <w:tabs>
          <w:tab w:leader="none" w:pos="4140" w:val="left"/>
        </w:tabs>
        <w:numPr>
          <w:ilvl w:val="2"/>
          <w:numId w:val="11"/>
        </w:numPr>
        <w:rPr>
          <w:rFonts w:ascii="Arial" w:cs="Arial" w:eastAsia="Arial" w:hAnsi="Arial"/>
          <w:sz w:val="19"/>
          <w:szCs w:val="19"/>
          <w:color w:val="auto"/>
        </w:rPr>
      </w:pPr>
      <w:r>
        <w:rPr>
          <w:rFonts w:ascii="Arial" w:cs="Arial" w:eastAsia="Arial" w:hAnsi="Arial"/>
          <w:sz w:val="19"/>
          <w:szCs w:val="19"/>
          <w:color w:val="auto"/>
        </w:rPr>
        <w:t>any other information relating to such stockholder, such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1934 Act; and</w:t>
      </w:r>
    </w:p>
    <w:p>
      <w:pPr>
        <w:spacing w:after="0" w:line="176" w:lineRule="exact"/>
        <w:rPr>
          <w:rFonts w:ascii="Arial" w:cs="Arial" w:eastAsia="Arial" w:hAnsi="Arial"/>
          <w:sz w:val="19"/>
          <w:szCs w:val="19"/>
          <w:color w:val="auto"/>
        </w:rPr>
      </w:pPr>
    </w:p>
    <w:p>
      <w:pPr>
        <w:ind w:left="4140" w:hanging="388"/>
        <w:spacing w:after="0"/>
        <w:tabs>
          <w:tab w:leader="none" w:pos="414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such other information relating to any proposed item of business as the Company may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reasonably require to determine whether such proposed item of business is a proper matter for stockholder action.</w:t>
      </w:r>
    </w:p>
    <w:p>
      <w:pPr>
        <w:spacing w:after="0" w:line="186" w:lineRule="exact"/>
        <w:rPr>
          <w:rFonts w:ascii="Arial" w:cs="Arial" w:eastAsia="Arial" w:hAnsi="Arial"/>
          <w:sz w:val="18"/>
          <w:szCs w:val="18"/>
          <w:color w:val="auto"/>
        </w:rPr>
      </w:pPr>
    </w:p>
    <w:p>
      <w:pPr>
        <w:jc w:val="both"/>
        <w:ind w:firstLine="2254"/>
        <w:spacing w:after="0" w:line="265" w:lineRule="auto"/>
        <w:tabs>
          <w:tab w:leader="none" w:pos="2642"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addition to the requirements of this Section 2.4, to be timely, a stockholder’s notice (and any additional information submitted to the Company in connection therewith) must further be updated and supplemented (1) if necessary, so that the information provided or required to be provided in such notice is true and correct as of the record date(s) for determining the stockholders entitled to notice of, and to vote at, the annual meeting and as of the date that is 10 business days prior to the annual meeting or any adjournment, rescheduling, postponement or other delay thereof; and (2) to provide any additional information that the Company may reasonably request. Any such update and supplement or additional information (including, if requested pursuant to Section 2.4(a)(iii)(3)(P)) must be received by the Secretary at the principal executive offices of the Company (A) in the case of a request for additional information, promptly following a request therefor, which response must be received by the Secretary not later than such reasonable time as is specified in any such request from the Company; or (B) in the case of any other update or supplement of any information, not later than five business days after the record date(s) for the annual meeting (in the case of any update and supplement required to be made as of the record date(s)), and not later than eight business days prior to the date for the annual meeting or any adjournment, rescheduling, postponement or other delay thereof (in the case of any update or supplement required to be made as of 10 business days prior to the annual meeting or any adjournment, rescheduling, postponement) or other delay thereof). No later than five business days prior to the annual meeting or any adjournment, rescheduling, postponement or other delay thereof, a stockholder nominating individuals for election as a director will provide the Company with reasonable evidence that such stockholder has met the requirements of Rule 14a-19. The failure to timely provide such update, supplement, evidence or additional information shall result in the nomination or proposal no longer being eligible for consideration at the annual meeting If the stockholder fails to comply with the requirements of Rule 14a-19 (including because the stockholder fails to provide the Company with all information or notices required by Rule 14a-19), then the director nominees proposed by such stockholder shall be ineligible for election at the annual meeting and any votes or proxies in respect of such nomination shall be disregarded, notwithstanding that such proxies may have been received by the Company and counted for the purposes of determining quorum. For the avoidance of doubt, the obligation to update and supplement, or provide additional information or evidence, as set forth in these bylaws shall not limit the Company’s rights with respect to any deficiencies in any notice provided by a stockholder, extend any applicable deadlines pursuant to these bylaws or enable or be deemed to permit a stockholder who has previously submitted notice pursuant to these bylaws to amend or update any nomination or to submit any new nomination. No disclosure pursuant to these bylaws will be required with respect to the ordinary course business activities of any broker, dealer, commercial bank, trust company or other nominee who is the stockholder submitting a notice pursuant to this Section 2.4 solely because such broker, dealer, commercial bank, trust company or other nominee has been directed to prepare and submit the notice required by these bylaws on behalf of a beneficial owner.</w:t>
      </w:r>
    </w:p>
    <w:p>
      <w:pPr>
        <w:spacing w:after="0" w:line="187" w:lineRule="exact"/>
        <w:rPr>
          <w:rFonts w:ascii="Arial" w:cs="Arial" w:eastAsia="Arial" w:hAnsi="Arial"/>
          <w:sz w:val="18"/>
          <w:szCs w:val="18"/>
          <w:color w:val="auto"/>
        </w:rPr>
      </w:pPr>
    </w:p>
    <w:p>
      <w:pPr>
        <w:jc w:val="both"/>
        <w:ind w:firstLine="1505"/>
        <w:spacing w:after="0" w:line="256" w:lineRule="auto"/>
        <w:tabs>
          <w:tab w:leader="none" w:pos="1893"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auto"/>
        </w:rPr>
        <w:t>Special Meetings of Stockholders</w:t>
      </w:r>
      <w:r>
        <w:rPr>
          <w:rFonts w:ascii="Arial" w:cs="Arial" w:eastAsia="Arial" w:hAnsi="Arial"/>
          <w:sz w:val="19"/>
          <w:szCs w:val="19"/>
          <w:color w:val="auto"/>
        </w:rPr>
        <w:t>. Except to the extent required by the DGCL, and subject to Section 2.3(a), special</w:t>
      </w:r>
      <w:r>
        <w:rPr>
          <w:rFonts w:ascii="Arial" w:cs="Arial" w:eastAsia="Arial" w:hAnsi="Arial"/>
          <w:sz w:val="19"/>
          <w:szCs w:val="19"/>
          <w:i w:val="1"/>
          <w:iCs w:val="1"/>
          <w:color w:val="auto"/>
        </w:rPr>
        <w:t xml:space="preserve"> </w:t>
      </w:r>
      <w:r>
        <w:rPr>
          <w:rFonts w:ascii="Arial" w:cs="Arial" w:eastAsia="Arial" w:hAnsi="Arial"/>
          <w:sz w:val="19"/>
          <w:szCs w:val="19"/>
          <w:color w:val="auto"/>
        </w:rPr>
        <w:t>meetings of stockholders may be called only in accordance with the Company’s certificate of incorporation and these bylaws. Only such business will be conducted at a special meeting of stockholders as has been brought before the special meeting pursuant to the Company’s notice of meeting. If the election of directors is included as business to be brought before a special meeting in the</w:t>
      </w:r>
    </w:p>
    <w:p>
      <w:pPr>
        <w:spacing w:after="0" w:line="1" w:lineRule="exact"/>
        <w:rPr>
          <w:rFonts w:ascii="Arial" w:cs="Arial" w:eastAsia="Arial" w:hAnsi="Arial"/>
          <w:sz w:val="19"/>
          <w:szCs w:val="19"/>
          <w:color w:val="auto"/>
        </w:rPr>
      </w:pPr>
    </w:p>
    <w:p>
      <w:pPr>
        <w:ind w:left="5580" w:hanging="121"/>
        <w:spacing w:after="0"/>
        <w:tabs>
          <w:tab w:leader="none" w:pos="5580" w:val="left"/>
        </w:tabs>
        <w:numPr>
          <w:ilvl w:val="3"/>
          <w:numId w:val="13"/>
        </w:numPr>
        <w:rPr>
          <w:rFonts w:ascii="Arial" w:cs="Arial" w:eastAsia="Arial" w:hAnsi="Arial"/>
          <w:sz w:val="20"/>
          <w:szCs w:val="20"/>
          <w:color w:val="auto"/>
        </w:rPr>
      </w:pPr>
      <w:r>
        <w:rPr>
          <w:rFonts w:ascii="Arial" w:cs="Arial" w:eastAsia="Arial" w:hAnsi="Arial"/>
          <w:sz w:val="20"/>
          <w:szCs w:val="20"/>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2" w:name="page13"/>
    <w:bookmarkEnd w:id="12"/>
    <w:p>
      <w:pPr>
        <w:jc w:val="both"/>
        <w:spacing w:after="0" w:line="267" w:lineRule="auto"/>
        <w:rPr>
          <w:sz w:val="20"/>
          <w:szCs w:val="20"/>
          <w:color w:val="auto"/>
        </w:rPr>
      </w:pPr>
      <w:r>
        <w:rPr>
          <w:rFonts w:ascii="Arial" w:cs="Arial" w:eastAsia="Arial" w:hAnsi="Arial"/>
          <w:sz w:val="18"/>
          <w:szCs w:val="18"/>
          <w:color w:val="auto"/>
        </w:rPr>
        <w:t>Company’s notice of meeting, then nominations of persons for election to the Board of Directors at such special meeting may be made by any stockholder who (i) is a stockholder of record at the time of giving of the notice contemplated by this Section 2.4(b); (ii) is a stockholder of 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 (v) complies with the procedures set forth in this Section 2.4(b) (with such procedures that the Company deems to be applicable to such special meeting). For nominations to be properly brought by a stockholder before a special meeting pursuant to this Section 2.4(b), the stockholder’s notice must be received by the Secretary at the principal executive offices of the Company no earlier than 8:00 a.m., Eastern time, on the 120th day prior to the day of the special meeting and no later than 5:00 p.m., Eastern time, on the 10th day following the day on which public announcement of the date of the special meeting was first made. In no event will any adjournment, rescheduling, postponement or other delay of a special meeting or any announcement thereof commence a new time period (or extend any time period) for the giving of a stockholder’s notice as described above. A stockholder’s notice to the Secretary must comply with the applicable notice requirements of Section 2.4(a)(iii), with references therein to “annual meeting” deemed to mean “special meeting” for the purposes of this final sentence of this Section 2.4(b).</w:t>
      </w:r>
    </w:p>
    <w:p>
      <w:pPr>
        <w:spacing w:after="0" w:line="179" w:lineRule="exact"/>
        <w:rPr>
          <w:sz w:val="20"/>
          <w:szCs w:val="20"/>
          <w:color w:val="auto"/>
        </w:rPr>
      </w:pPr>
    </w:p>
    <w:p>
      <w:pPr>
        <w:ind w:left="1900" w:hanging="395"/>
        <w:spacing w:after="0"/>
        <w:tabs>
          <w:tab w:leader="none" w:pos="1900" w:val="left"/>
        </w:tabs>
        <w:numPr>
          <w:ilvl w:val="1"/>
          <w:numId w:val="14"/>
        </w:numPr>
        <w:rPr>
          <w:rFonts w:ascii="Arial" w:cs="Arial" w:eastAsia="Arial" w:hAnsi="Arial"/>
          <w:sz w:val="20"/>
          <w:szCs w:val="20"/>
          <w:color w:val="auto"/>
        </w:rPr>
      </w:pPr>
      <w:r>
        <w:rPr>
          <w:rFonts w:ascii="Arial" w:cs="Arial" w:eastAsia="Arial" w:hAnsi="Arial"/>
          <w:sz w:val="20"/>
          <w:szCs w:val="20"/>
          <w:i w:val="1"/>
          <w:iCs w:val="1"/>
          <w:color w:val="auto"/>
        </w:rPr>
        <w:t>Other Requirements and Procedures.</w:t>
      </w:r>
    </w:p>
    <w:p>
      <w:pPr>
        <w:spacing w:after="0" w:line="215" w:lineRule="exact"/>
        <w:rPr>
          <w:rFonts w:ascii="Arial" w:cs="Arial" w:eastAsia="Arial" w:hAnsi="Arial"/>
          <w:sz w:val="20"/>
          <w:szCs w:val="20"/>
          <w:color w:val="auto"/>
        </w:rPr>
      </w:pPr>
    </w:p>
    <w:p>
      <w:pPr>
        <w:jc w:val="both"/>
        <w:ind w:right="20" w:firstLine="2254"/>
        <w:spacing w:after="0" w:line="275" w:lineRule="auto"/>
        <w:tabs>
          <w:tab w:leader="none" w:pos="2642" w:val="left"/>
        </w:tabs>
        <w:numPr>
          <w:ilvl w:val="2"/>
          <w:numId w:val="14"/>
        </w:numPr>
        <w:rPr>
          <w:rFonts w:ascii="Arial" w:cs="Arial" w:eastAsia="Arial" w:hAnsi="Arial"/>
          <w:sz w:val="18"/>
          <w:szCs w:val="18"/>
          <w:color w:val="auto"/>
        </w:rPr>
      </w:pPr>
      <w:r>
        <w:rPr>
          <w:rFonts w:ascii="Arial" w:cs="Arial" w:eastAsia="Arial" w:hAnsi="Arial"/>
          <w:sz w:val="18"/>
          <w:szCs w:val="18"/>
          <w:color w:val="auto"/>
        </w:rPr>
        <w:t>To be eligible to be a nominee of any stockholder for election as a director of the Company, the proposed nominee must provide to the Secretary, in accordance with the applicable time periods prescribed for delivery of notice under Section 2.4(a)</w:t>
      </w:r>
    </w:p>
    <w:p>
      <w:pPr>
        <w:ind w:left="300" w:hanging="292"/>
        <w:spacing w:after="0"/>
        <w:tabs>
          <w:tab w:leader="none" w:pos="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or Section 2.4(b):</w:t>
      </w:r>
    </w:p>
    <w:p>
      <w:pPr>
        <w:spacing w:after="0" w:line="199" w:lineRule="exact"/>
        <w:rPr>
          <w:rFonts w:ascii="Arial" w:cs="Arial" w:eastAsia="Arial" w:hAnsi="Arial"/>
          <w:sz w:val="20"/>
          <w:szCs w:val="20"/>
          <w:color w:val="auto"/>
        </w:rPr>
      </w:pPr>
    </w:p>
    <w:p>
      <w:pPr>
        <w:jc w:val="both"/>
        <w:ind w:firstLine="3003"/>
        <w:spacing w:after="0" w:line="241" w:lineRule="auto"/>
        <w:tabs>
          <w:tab w:leader="none" w:pos="3391" w:val="left"/>
        </w:tabs>
        <w:numPr>
          <w:ilvl w:val="3"/>
          <w:numId w:val="15"/>
        </w:numPr>
        <w:rPr>
          <w:rFonts w:ascii="Arial" w:cs="Arial" w:eastAsia="Arial" w:hAnsi="Arial"/>
          <w:sz w:val="20"/>
          <w:szCs w:val="20"/>
          <w:color w:val="auto"/>
        </w:rPr>
      </w:pPr>
      <w:r>
        <w:rPr>
          <w:rFonts w:ascii="Arial" w:cs="Arial" w:eastAsia="Arial" w:hAnsi="Arial"/>
          <w:sz w:val="20"/>
          <w:szCs w:val="20"/>
          <w:color w:val="auto"/>
        </w:rPr>
        <w:t>a signed and completed written questionnaire (in the form provided by the Secretary at the written request of the nominating stockholder, which form will be provided by the Secretary within 10 days of receiving such request) containing information regarding such nominee’s background and qualifications and such other information as may reasonably be required by the Company to determine the eligibility of such nominee to serve as a director of the Company or to serve as an independent director of the Company;</w:t>
      </w:r>
    </w:p>
    <w:p>
      <w:pPr>
        <w:spacing w:after="0" w:line="195" w:lineRule="exact"/>
        <w:rPr>
          <w:rFonts w:ascii="Arial" w:cs="Arial" w:eastAsia="Arial" w:hAnsi="Arial"/>
          <w:sz w:val="20"/>
          <w:szCs w:val="20"/>
          <w:color w:val="auto"/>
        </w:rPr>
      </w:pPr>
    </w:p>
    <w:p>
      <w:pPr>
        <w:jc w:val="both"/>
        <w:ind w:firstLine="3003"/>
        <w:spacing w:after="0" w:line="250" w:lineRule="auto"/>
        <w:tabs>
          <w:tab w:leader="none" w:pos="3391" w:val="left"/>
        </w:tabs>
        <w:numPr>
          <w:ilvl w:val="3"/>
          <w:numId w:val="15"/>
        </w:numPr>
        <w:rPr>
          <w:rFonts w:ascii="Arial" w:cs="Arial" w:eastAsia="Arial" w:hAnsi="Arial"/>
          <w:sz w:val="20"/>
          <w:szCs w:val="20"/>
          <w:color w:val="auto"/>
        </w:rPr>
      </w:pPr>
      <w:r>
        <w:rPr>
          <w:rFonts w:ascii="Arial" w:cs="Arial" w:eastAsia="Arial" w:hAnsi="Arial"/>
          <w:sz w:val="20"/>
          <w:szCs w:val="20"/>
          <w:color w:val="auto"/>
        </w:rPr>
        <w:t>a written representation and undertaking that, unless previously disclosed to the Company, such nominee is not, and will not become, a party to any voting agreement, arrangement, commitment, assurance or understanding with any person or entity as to how such nominee, if elected as a director, will vote on any issue;</w:t>
      </w:r>
    </w:p>
    <w:p>
      <w:pPr>
        <w:spacing w:after="0" w:line="172" w:lineRule="exact"/>
        <w:rPr>
          <w:rFonts w:ascii="Arial" w:cs="Arial" w:eastAsia="Arial" w:hAnsi="Arial"/>
          <w:sz w:val="20"/>
          <w:szCs w:val="20"/>
          <w:color w:val="auto"/>
        </w:rPr>
      </w:pPr>
    </w:p>
    <w:p>
      <w:pPr>
        <w:ind w:right="20" w:firstLine="3003"/>
        <w:spacing w:after="0" w:line="260" w:lineRule="auto"/>
        <w:tabs>
          <w:tab w:leader="none" w:pos="3391" w:val="left"/>
        </w:tabs>
        <w:numPr>
          <w:ilvl w:val="3"/>
          <w:numId w:val="15"/>
        </w:numPr>
        <w:rPr>
          <w:rFonts w:ascii="Arial" w:cs="Arial" w:eastAsia="Arial" w:hAnsi="Arial"/>
          <w:sz w:val="20"/>
          <w:szCs w:val="20"/>
          <w:color w:val="auto"/>
        </w:rPr>
      </w:pPr>
      <w:r>
        <w:rPr>
          <w:rFonts w:ascii="Arial" w:cs="Arial" w:eastAsia="Arial" w:hAnsi="Arial"/>
          <w:sz w:val="20"/>
          <w:szCs w:val="20"/>
          <w:color w:val="auto"/>
        </w:rPr>
        <w:t>a written representation and undertaking that, unless previously disclosed to the Company, such nominee is not, and will not become, a party to any Third-Party Compensation Arrangement;</w:t>
      </w:r>
    </w:p>
    <w:p>
      <w:pPr>
        <w:spacing w:after="0" w:line="176" w:lineRule="exact"/>
        <w:rPr>
          <w:rFonts w:ascii="Arial" w:cs="Arial" w:eastAsia="Arial" w:hAnsi="Arial"/>
          <w:sz w:val="20"/>
          <w:szCs w:val="20"/>
          <w:color w:val="auto"/>
        </w:rPr>
      </w:pPr>
    </w:p>
    <w:p>
      <w:pPr>
        <w:jc w:val="both"/>
        <w:ind w:firstLine="3003"/>
        <w:spacing w:after="0" w:line="241" w:lineRule="auto"/>
        <w:tabs>
          <w:tab w:leader="none" w:pos="3391" w:val="left"/>
        </w:tabs>
        <w:numPr>
          <w:ilvl w:val="3"/>
          <w:numId w:val="15"/>
        </w:numPr>
        <w:rPr>
          <w:rFonts w:ascii="Arial" w:cs="Arial" w:eastAsia="Arial" w:hAnsi="Arial"/>
          <w:sz w:val="20"/>
          <w:szCs w:val="20"/>
          <w:color w:val="auto"/>
        </w:rPr>
      </w:pPr>
      <w:r>
        <w:rPr>
          <w:rFonts w:ascii="Arial" w:cs="Arial" w:eastAsia="Arial" w:hAnsi="Arial"/>
          <w:sz w:val="20"/>
          <w:szCs w:val="20"/>
          <w:color w:val="auto"/>
        </w:rPr>
        <w:t>a written representation and undertaking that, if elected as a director, such nominee would be in compliance, and will continue to comply, with the Company’s corporate governance, conflict of interest, confidentiality, stock ownership and trading guidelines, and other policies and guidelines applicable to directors and in effect during such person’s term in office as a director (and, if requested by any candidate for nomination, the Secretary will provide to such proposed nominee all such policies and guidelines then in effect) ; and</w:t>
      </w:r>
    </w:p>
    <w:p>
      <w:pPr>
        <w:spacing w:after="0" w:line="195" w:lineRule="exact"/>
        <w:rPr>
          <w:rFonts w:ascii="Arial" w:cs="Arial" w:eastAsia="Arial" w:hAnsi="Arial"/>
          <w:sz w:val="20"/>
          <w:szCs w:val="20"/>
          <w:color w:val="auto"/>
        </w:rPr>
      </w:pPr>
    </w:p>
    <w:p>
      <w:pPr>
        <w:ind w:left="3400" w:hanging="397"/>
        <w:spacing w:after="0"/>
        <w:tabs>
          <w:tab w:leader="none" w:pos="3400" w:val="left"/>
        </w:tabs>
        <w:numPr>
          <w:ilvl w:val="3"/>
          <w:numId w:val="15"/>
        </w:numPr>
        <w:rPr>
          <w:rFonts w:ascii="Arial" w:cs="Arial" w:eastAsia="Arial" w:hAnsi="Arial"/>
          <w:sz w:val="18"/>
          <w:szCs w:val="18"/>
          <w:color w:val="auto"/>
        </w:rPr>
      </w:pPr>
      <w:r>
        <w:rPr>
          <w:rFonts w:ascii="Arial" w:cs="Arial" w:eastAsia="Arial" w:hAnsi="Arial"/>
          <w:sz w:val="18"/>
          <w:szCs w:val="18"/>
          <w:color w:val="auto"/>
        </w:rPr>
        <w:t>a written representation and undertaking that such nominee, if elected, intends to serve a full term</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on the Board of Directors.</w:t>
      </w:r>
    </w:p>
    <w:p>
      <w:pPr>
        <w:ind w:left="5580" w:hanging="121"/>
        <w:spacing w:after="0"/>
        <w:tabs>
          <w:tab w:leader="none" w:pos="5580" w:val="left"/>
        </w:tabs>
        <w:numPr>
          <w:ilvl w:val="4"/>
          <w:numId w:val="15"/>
        </w:numPr>
        <w:rPr>
          <w:rFonts w:ascii="Arial" w:cs="Arial" w:eastAsia="Arial" w:hAnsi="Arial"/>
          <w:sz w:val="20"/>
          <w:szCs w:val="20"/>
          <w:color w:val="auto"/>
        </w:rPr>
      </w:pPr>
      <w:r>
        <w:rPr>
          <w:rFonts w:ascii="Arial" w:cs="Arial" w:eastAsia="Arial" w:hAnsi="Arial"/>
          <w:sz w:val="20"/>
          <w:szCs w:val="20"/>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3" w:name="page14"/>
    <w:bookmarkEnd w:id="13"/>
    <w:p>
      <w:pPr>
        <w:jc w:val="both"/>
        <w:ind w:firstLine="2254"/>
        <w:spacing w:after="0" w:line="250" w:lineRule="auto"/>
        <w:tabs>
          <w:tab w:leader="none" w:pos="2642" w:val="left"/>
        </w:tabs>
        <w:numPr>
          <w:ilvl w:val="0"/>
          <w:numId w:val="16"/>
        </w:numPr>
        <w:rPr>
          <w:rFonts w:ascii="Arial" w:cs="Arial" w:eastAsia="Arial" w:hAnsi="Arial"/>
          <w:sz w:val="20"/>
          <w:szCs w:val="20"/>
          <w:color w:val="auto"/>
        </w:rPr>
      </w:pPr>
      <w:r>
        <w:rPr>
          <w:rFonts w:ascii="Arial" w:cs="Arial" w:eastAsia="Arial" w:hAnsi="Arial"/>
          <w:sz w:val="20"/>
          <w:szCs w:val="20"/>
          <w:color w:val="auto"/>
        </w:rPr>
        <w:t>At the request of the Board of Directors, any person nominated by the Board of Directors for election as a director must furnish to the Secretary the information that is required to be set forth in a stockholder’s notice of nomination pertaining to such nominee.</w:t>
      </w:r>
    </w:p>
    <w:p>
      <w:pPr>
        <w:spacing w:after="0" w:line="185" w:lineRule="exact"/>
        <w:rPr>
          <w:rFonts w:ascii="Arial" w:cs="Arial" w:eastAsia="Arial" w:hAnsi="Arial"/>
          <w:sz w:val="20"/>
          <w:szCs w:val="20"/>
          <w:color w:val="auto"/>
        </w:rPr>
      </w:pPr>
    </w:p>
    <w:p>
      <w:pPr>
        <w:jc w:val="both"/>
        <w:ind w:firstLine="2254"/>
        <w:spacing w:after="0" w:line="291" w:lineRule="auto"/>
        <w:tabs>
          <w:tab w:leader="none" w:pos="2642"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person will be eligible to be nominated by a stockholder for election as a director of the Company, or to be seated as a director of the Company, unless nominated and elected in accordance with the procedures set forth in this Section 2.4. No business proposed by a stockholder will be conducted at a stockholder meeting except in accordance with this Section 2.4.</w:t>
      </w:r>
    </w:p>
    <w:p>
      <w:pPr>
        <w:spacing w:after="0" w:line="138" w:lineRule="exact"/>
        <w:rPr>
          <w:rFonts w:ascii="Arial" w:cs="Arial" w:eastAsia="Arial" w:hAnsi="Arial"/>
          <w:sz w:val="18"/>
          <w:szCs w:val="18"/>
          <w:color w:val="auto"/>
        </w:rPr>
      </w:pPr>
    </w:p>
    <w:p>
      <w:pPr>
        <w:jc w:val="both"/>
        <w:ind w:firstLine="2254"/>
        <w:spacing w:after="0" w:line="282" w:lineRule="auto"/>
        <w:tabs>
          <w:tab w:leader="none" w:pos="264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chairperson of the applicable meeting of stockholders will, if the facts warrant, determine and declare to the meeting that a nomination was not made in accordance with the procedures prescribed by these bylaws or that other proposed business was not properly brought before the meeting. If the chairperson of the meeting should so determine, then the chairperson of the meeting will so declare to the meeting and the defective nomination will be disregarded or such business will not be transacted, as the case may be.</w:t>
      </w:r>
    </w:p>
    <w:p>
      <w:pPr>
        <w:spacing w:after="0" w:line="161" w:lineRule="exact"/>
        <w:rPr>
          <w:rFonts w:ascii="Arial" w:cs="Arial" w:eastAsia="Arial" w:hAnsi="Arial"/>
          <w:sz w:val="18"/>
          <w:szCs w:val="18"/>
          <w:color w:val="auto"/>
        </w:rPr>
      </w:pPr>
    </w:p>
    <w:p>
      <w:pPr>
        <w:jc w:val="both"/>
        <w:ind w:firstLine="2254"/>
        <w:spacing w:after="0" w:line="271" w:lineRule="auto"/>
        <w:tabs>
          <w:tab w:leader="none" w:pos="2642"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2.4, unless otherwise required by law, if the stockholder (or a qualified representative of the stockholder) does not appear in person at the meeting to present a nomination or other proposed business, such nomination will be disregarded or such business will not be transacted, as the case may be, notwithstanding that proxies in respect of such nomination or business may have been received by the Company and counted for purposes of determining a quorum. For purposes of this Section 2.4,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spacing w:after="0" w:line="168" w:lineRule="exact"/>
        <w:rPr>
          <w:rFonts w:ascii="Arial" w:cs="Arial" w:eastAsia="Arial" w:hAnsi="Arial"/>
          <w:sz w:val="18"/>
          <w:szCs w:val="18"/>
          <w:color w:val="auto"/>
        </w:rPr>
      </w:pPr>
    </w:p>
    <w:p>
      <w:pPr>
        <w:jc w:val="both"/>
        <w:ind w:firstLine="2254"/>
        <w:spacing w:after="0" w:line="257" w:lineRule="auto"/>
        <w:tabs>
          <w:tab w:leader="none" w:pos="2642" w:val="left"/>
        </w:tabs>
        <w:numPr>
          <w:ilvl w:val="0"/>
          <w:numId w:val="16"/>
        </w:numPr>
        <w:rPr>
          <w:rFonts w:ascii="Arial" w:cs="Arial" w:eastAsia="Arial" w:hAnsi="Arial"/>
          <w:sz w:val="19"/>
          <w:szCs w:val="19"/>
          <w:color w:val="auto"/>
        </w:rPr>
      </w:pPr>
      <w:r>
        <w:rPr>
          <w:rFonts w:ascii="Arial" w:cs="Arial" w:eastAsia="Arial" w:hAnsi="Arial"/>
          <w:sz w:val="19"/>
          <w:szCs w:val="19"/>
          <w:color w:val="auto"/>
        </w:rPr>
        <w:t>Without limiting this Section 2.4, a stockholder must also comply with all applicable requirements of the 1934 Act with respect to the matters set forth in this Section 2.4, it being understood that (1) any references in these bylaws to the 1934 Act are not intended to, and will not, limit any requirements applicable to nominations or proposals as to any other business to be considered pursuant to this Section 2.4; and (2) compliance with clause (4) of Section 2.4(a)(i) and with Section 2.4(b) are the exclusive means for a stockholder to make nominations or submit other business (other than as provided in Section 2.4(c)(vii)).</w:t>
      </w:r>
    </w:p>
    <w:p>
      <w:pPr>
        <w:spacing w:after="0" w:line="180" w:lineRule="exact"/>
        <w:rPr>
          <w:rFonts w:ascii="Arial" w:cs="Arial" w:eastAsia="Arial" w:hAnsi="Arial"/>
          <w:sz w:val="19"/>
          <w:szCs w:val="19"/>
          <w:color w:val="auto"/>
        </w:rPr>
      </w:pPr>
    </w:p>
    <w:p>
      <w:pPr>
        <w:jc w:val="both"/>
        <w:ind w:firstLine="2254"/>
        <w:spacing w:after="0" w:line="230" w:lineRule="exact"/>
        <w:tabs>
          <w:tab w:leader="none" w:pos="2642" w:val="left"/>
        </w:tabs>
        <w:numPr>
          <w:ilvl w:val="0"/>
          <w:numId w:val="16"/>
        </w:numPr>
        <w:rPr>
          <w:rFonts w:ascii="Arial" w:cs="Arial" w:eastAsia="Arial" w:hAnsi="Arial"/>
          <w:sz w:val="20"/>
          <w:szCs w:val="20"/>
          <w:color w:val="auto"/>
        </w:rPr>
      </w:pPr>
      <w:r>
        <w:rPr>
          <w:rFonts w:ascii="Arial" w:cs="Arial" w:eastAsia="Arial" w:hAnsi="Arial"/>
          <w:sz w:val="20"/>
          <w:szCs w:val="20"/>
          <w:color w:val="auto"/>
        </w:rPr>
        <w:t>Notwithstanding anything to the contrary in this Section 2.4, the notice requirements set forth in these bylaws with respect to the proposal of any business pursuant to this Section 2.4 will be deemed to be satisfied by a stockholder if (1) such stockholder has submitted a proposal to the Company in compliance with Rule 14a</w:t>
      </w:r>
      <w:r>
        <w:rPr>
          <w:rFonts w:ascii="MS PGothic" w:cs="MS PGothic" w:eastAsia="MS PGothic" w:hAnsi="MS PGothic"/>
          <w:sz w:val="20"/>
          <w:szCs w:val="20"/>
          <w:color w:val="auto"/>
        </w:rPr>
        <w:t>‑</w:t>
      </w:r>
      <w:r>
        <w:rPr>
          <w:rFonts w:ascii="Arial" w:cs="Arial" w:eastAsia="Arial" w:hAnsi="Arial"/>
          <w:sz w:val="20"/>
          <w:szCs w:val="20"/>
          <w:color w:val="auto"/>
        </w:rPr>
        <w:t>8 under the 1934 Act; and (2) such stockholder’s proposal has been included in a proxy statement that has been prepared by the Company to solicit proxies for the meeting of stockholders. Subject to Rule 14a</w:t>
      </w:r>
      <w:r>
        <w:rPr>
          <w:rFonts w:ascii="MS PGothic" w:cs="MS PGothic" w:eastAsia="MS PGothic" w:hAnsi="MS PGothic"/>
          <w:sz w:val="20"/>
          <w:szCs w:val="20"/>
          <w:color w:val="auto"/>
        </w:rPr>
        <w:t>‑</w:t>
      </w:r>
      <w:r>
        <w:rPr>
          <w:rFonts w:ascii="Arial" w:cs="Arial" w:eastAsia="Arial" w:hAnsi="Arial"/>
          <w:sz w:val="20"/>
          <w:szCs w:val="20"/>
          <w:color w:val="auto"/>
        </w:rPr>
        <w:t>8 and other applicable rules and regulations under the 1934 Act, nothing in these bylaws will be construed to permit any stockholder, or give any stockholder the right, to include or have disseminated or described in the Company’s proxy statement any nomination of a director or any other business proposal.</w:t>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2.5  NOTICE OF STOCKHOLDERS’ MEETINGS</w:t>
      </w:r>
    </w:p>
    <w:p>
      <w:pPr>
        <w:spacing w:after="0" w:line="202"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color w:val="auto"/>
        </w:rPr>
        <w:t>Whenever stockholders are required or permitted to take any action at a meeting, a notice of the meeting shall be given, in accordance with Section 232 of DGCL, and such notice shall state the place, if any, date and hour of the meeting, the means of remote communications, if any, by which stockholders and</w:t>
      </w:r>
    </w:p>
    <w:p>
      <w:pPr>
        <w:jc w:val="center"/>
        <w:spacing w:after="0"/>
        <w:rPr>
          <w:sz w:val="20"/>
          <w:szCs w:val="20"/>
          <w:color w:val="auto"/>
        </w:rPr>
      </w:pPr>
      <w:r>
        <w:rPr>
          <w:rFonts w:ascii="Arial" w:cs="Arial" w:eastAsia="Arial" w:hAnsi="Arial"/>
          <w:sz w:val="20"/>
          <w:szCs w:val="20"/>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4" w:name="page15"/>
    <w:bookmarkEnd w:id="14"/>
    <w:p>
      <w:pPr>
        <w:jc w:val="both"/>
        <w:spacing w:after="0" w:line="243" w:lineRule="auto"/>
        <w:rPr>
          <w:sz w:val="20"/>
          <w:szCs w:val="20"/>
          <w:color w:val="auto"/>
        </w:rPr>
      </w:pPr>
      <w:r>
        <w:rPr>
          <w:rFonts w:ascii="Arial" w:cs="Arial" w:eastAsia="Arial" w:hAnsi="Arial"/>
          <w:sz w:val="20"/>
          <w:szCs w:val="20"/>
          <w:color w:val="auto"/>
        </w:rPr>
        <w:t>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2.6  QUORUM</w:t>
      </w:r>
    </w:p>
    <w:p>
      <w:pPr>
        <w:spacing w:after="0" w:line="21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The holders of a majority of the voting power of the capital stock of the Company issued and outstanding and entitled to vote, present in person or represented by proxy, shall constitute a quorum for the transaction of business at all meetings of the stockholders, unless otherwise required by law, the certificate of incorporation, these bylaws or the rules of any applicable stock exchange on which the Company’s securities are listed.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required by law, the certificate of incorporation or these bylaws or the rules of any applicable stock exchange on which the Company’s securities are listed.</w:t>
      </w:r>
    </w:p>
    <w:p>
      <w:pPr>
        <w:spacing w:after="0" w:line="173"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If, however, such quorum is not present or represented at any meeting of the stockholders, then either (a) the chairperson of the meeting, or (b)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2.7  ADJOURNED MEETING; NOTICE</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8"/>
          <w:szCs w:val="18"/>
          <w:color w:val="auto"/>
        </w:rPr>
        <w:t>Unless these bylaws otherwise require, when a meeting is adjourned to another time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DGCL.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2.8  CONDUCT OF BUSINESS</w:t>
      </w:r>
    </w:p>
    <w:p>
      <w:pPr>
        <w:spacing w:after="0" w:line="21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w:t>
      </w:r>
    </w:p>
    <w:p>
      <w:pPr>
        <w:jc w:val="center"/>
        <w:spacing w:after="0"/>
        <w:rPr>
          <w:sz w:val="20"/>
          <w:szCs w:val="20"/>
          <w:color w:val="auto"/>
        </w:rPr>
      </w:pPr>
      <w:r>
        <w:rPr>
          <w:rFonts w:ascii="Arial" w:cs="Arial" w:eastAsia="Arial" w:hAnsi="Arial"/>
          <w:sz w:val="20"/>
          <w:szCs w:val="20"/>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5" w:name="page16"/>
    <w:bookmarkEnd w:id="15"/>
    <w:p>
      <w:pPr>
        <w:jc w:val="both"/>
        <w:spacing w:after="0" w:line="244" w:lineRule="auto"/>
        <w:rPr>
          <w:sz w:val="20"/>
          <w:szCs w:val="20"/>
          <w:color w:val="auto"/>
        </w:rPr>
      </w:pPr>
      <w:r>
        <w:rPr>
          <w:rFonts w:ascii="Arial" w:cs="Arial" w:eastAsia="Arial" w:hAnsi="Arial"/>
          <w:sz w:val="20"/>
          <w:szCs w:val="20"/>
          <w:color w:val="auto"/>
        </w:rPr>
        <w:t>be designated by the Board of Directors; in the absence of such designation, the chairperson of the Board of Directors, if any, or the chief executive officer (in the absence of the chairperson of the Board of Directors) or the president (in the absence of the chairperson of the Board of Directors and the chief executive officer), or in their absence any other executive officer of the Company, shall serve as chairperson of the stockholder meeting. The chairperson of any meeting of stockholders shall have the power to adjourn the meeting to another place, if any, date or time, whether or not a quorum is present.</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2.9  VOTING</w:t>
      </w:r>
    </w:p>
    <w:p>
      <w:pPr>
        <w:spacing w:after="0" w:line="20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86"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color w:val="auto"/>
        </w:rPr>
        <w:t>Except as may be otherwise provided in the certificate of incorporation, each stockholder shall be entitled to one vote for each share of capital stock held by such stockholder as of the applicable record date that has voting power upon the matter in question.</w:t>
      </w:r>
    </w:p>
    <w:p>
      <w:pPr>
        <w:spacing w:after="0" w:line="13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9"/>
          <w:szCs w:val="19"/>
          <w:color w:val="auto"/>
        </w:rPr>
        <w:t>Except as otherwise provided by law, the certificate of incorporation, these bylaws or the rules of any applicable stock exchange on which the Company’s securities are listed, in all matters other than the election of directors, the affirmative vote of a majority of the voting power of the shares, cast affirmatively or negatively, shall be the act of the stockholders, it being understood that broker non-votes and abstentions will be considered for purposes of establishing a quorum at the meeting but will not be considered as votes cast for or against a proposal. Except as otherwise required by law, the certificate of incorporation or these bylaws, directors shall be elected by a plurality of the voting power of the shares present in person or represented by proxy at the meeting and entitled to vote on the election of directors. Except as otherwise provided by law, the certificate of incorporation, these bylaws or the rules of any applicable stock exchange on which the Company’s securities are listed, where a separate vote by a class or series or classes or series is required, in all matters other than the election of directors, the affirmative vote of the majority of the voting power of the outstanding shares of such class or series or classes or series cast affirmatively or negatively at the meeting and entitled to vote on the subject matter shall be the act of such class or series or classes or series (it being understood that broker non-votes and abstentions will not be considered as votes cast for or against a proposal), except as otherwise provided by law, the certificate of incorporation, these bylaws or the rules of the stock exchange on which the securities of the Company are listed.</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2.10 STOCKHOLDER ACTION BY WRITTEN CONSENT WITHOUT A MEETING</w:t>
      </w:r>
    </w:p>
    <w:p>
      <w:pPr>
        <w:spacing w:after="0" w:line="202"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Unless otherwise provided in the Company’s certificate of incorporation and subject to the rights of holders of preferred stock of the Company,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2.11 RECORD DATES</w:t>
      </w:r>
    </w:p>
    <w:p>
      <w:pPr>
        <w:spacing w:after="0" w:line="216" w:lineRule="exact"/>
        <w:rPr>
          <w:sz w:val="20"/>
          <w:szCs w:val="20"/>
          <w:color w:val="auto"/>
        </w:rPr>
      </w:pPr>
    </w:p>
    <w:p>
      <w:pPr>
        <w:jc w:val="both"/>
        <w:ind w:firstLine="749"/>
        <w:spacing w:after="0"/>
        <w:rPr>
          <w:sz w:val="20"/>
          <w:szCs w:val="20"/>
          <w:color w:val="auto"/>
        </w:rPr>
      </w:pPr>
      <w:r>
        <w:rPr>
          <w:rFonts w:ascii="Arial" w:cs="Arial" w:eastAsia="Arial" w:hAnsi="Arial"/>
          <w:sz w:val="20"/>
          <w:szCs w:val="20"/>
          <w:color w:val="auto"/>
        </w:rPr>
        <w:t>In order that the Company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w:t>
      </w:r>
    </w:p>
    <w:p>
      <w:pPr>
        <w:jc w:val="center"/>
        <w:spacing w:after="0"/>
        <w:rPr>
          <w:sz w:val="20"/>
          <w:szCs w:val="20"/>
          <w:color w:val="auto"/>
        </w:rPr>
      </w:pPr>
      <w:r>
        <w:rPr>
          <w:rFonts w:ascii="Arial" w:cs="Arial" w:eastAsia="Arial" w:hAnsi="Arial"/>
          <w:sz w:val="20"/>
          <w:szCs w:val="20"/>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color w:val="auto"/>
        </w:rPr>
        <w:t>fixes such record date, that a later date on or before the date of the meeting shall be the date for making such determination.</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6"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 xml:space="preserve">A determination of stockholders of record entitled to notice of or to vote at a meeting of stockholders shall apply to any adjournment of the meeting;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95" w:lineRule="exact"/>
        <w:rPr>
          <w:sz w:val="20"/>
          <w:szCs w:val="20"/>
          <w:color w:val="auto"/>
        </w:rPr>
      </w:pPr>
    </w:p>
    <w:p>
      <w:pPr>
        <w:jc w:val="both"/>
        <w:ind w:firstLine="749"/>
        <w:spacing w:after="0"/>
        <w:rPr>
          <w:sz w:val="20"/>
          <w:szCs w:val="20"/>
          <w:color w:val="auto"/>
        </w:rPr>
      </w:pPr>
      <w:r>
        <w:rPr>
          <w:rFonts w:ascii="Arial" w:cs="Arial" w:eastAsia="Arial" w:hAnsi="Arial"/>
          <w:sz w:val="20"/>
          <w:szCs w:val="20"/>
          <w:color w:val="auto"/>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2.12 PROXIES</w:t>
      </w:r>
    </w:p>
    <w:p>
      <w:pPr>
        <w:spacing w:after="0" w:line="216"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auto"/>
        </w:rPr>
        <w:t>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authorization of a person to act as a proxy may be documented, signed and delivered in accordance with Section 116 of the DGCL; provided that such authorization shall set forth, or be delivered with information enabling the Company to determine, the identity of the stockholder granting such authorization. The revocability of a proxy that states on its face that it is irrevocable shall be governed by the provisions of Section 212 of the DGCL.</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2.13 LIST OF STOCKHOLDERS ENTITLED TO VOTE</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9"/>
          <w:szCs w:val="19"/>
          <w:color w:val="auto"/>
        </w:rPr>
        <w:t xml:space="preserve">The Company shall prepare, no later than the tenth day before each meeting of stockholders, a complete list of the stockholders entitled to vote at the meeting;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ten days ending on the day before the meeting date: (a) on a reasonably accessible electronic network,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information required to gain access to such list is provided with the notice of the meeting, or (b)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7" w:name="page18"/>
    <w:bookmarkEnd w:id="17"/>
    <w:p>
      <w:pPr>
        <w:ind w:left="760"/>
        <w:spacing w:after="0"/>
        <w:rPr>
          <w:sz w:val="20"/>
          <w:szCs w:val="20"/>
          <w:color w:val="auto"/>
        </w:rPr>
      </w:pPr>
      <w:r>
        <w:rPr>
          <w:rFonts w:ascii="Arial" w:cs="Arial" w:eastAsia="Arial" w:hAnsi="Arial"/>
          <w:sz w:val="20"/>
          <w:szCs w:val="20"/>
          <w:color w:val="auto"/>
        </w:rPr>
        <w:t>2.14 INSPECTORS OF ELECTION</w:t>
      </w:r>
    </w:p>
    <w:p>
      <w:pPr>
        <w:spacing w:after="0" w:line="216" w:lineRule="exact"/>
        <w:rPr>
          <w:sz w:val="20"/>
          <w:szCs w:val="20"/>
          <w:color w:val="auto"/>
        </w:rPr>
      </w:pPr>
    </w:p>
    <w:p>
      <w:pPr>
        <w:ind w:right="20" w:firstLine="749"/>
        <w:spacing w:after="0" w:line="316" w:lineRule="auto"/>
        <w:rPr>
          <w:sz w:val="20"/>
          <w:szCs w:val="20"/>
          <w:color w:val="auto"/>
        </w:rPr>
      </w:pPr>
      <w:r>
        <w:rPr>
          <w:rFonts w:ascii="Arial" w:cs="Arial" w:eastAsia="Arial" w:hAnsi="Arial"/>
          <w:sz w:val="18"/>
          <w:szCs w:val="18"/>
          <w:color w:val="auto"/>
        </w:rPr>
        <w:t>Before any meeting of stockholders, the Company shall appoint an inspector or inspectors of election to act at the meeting or its adjournment. The Company may designate one or more persons as alternate inspectors to replace any inspector who fails to act.</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Such inspectors shall:</w:t>
      </w:r>
    </w:p>
    <w:p>
      <w:pPr>
        <w:spacing w:after="0" w:line="216" w:lineRule="exact"/>
        <w:rPr>
          <w:sz w:val="20"/>
          <w:szCs w:val="20"/>
          <w:color w:val="auto"/>
        </w:rPr>
      </w:pPr>
    </w:p>
    <w:p>
      <w:pPr>
        <w:ind w:left="1900" w:hanging="395"/>
        <w:spacing w:after="0"/>
        <w:tabs>
          <w:tab w:leader="none" w:pos="19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ascertain the number of shares outstanding and the voting power of each;</w:t>
      </w:r>
    </w:p>
    <w:p>
      <w:pPr>
        <w:spacing w:after="0" w:line="215" w:lineRule="exact"/>
        <w:rPr>
          <w:rFonts w:ascii="Arial" w:cs="Arial" w:eastAsia="Arial" w:hAnsi="Arial"/>
          <w:sz w:val="20"/>
          <w:szCs w:val="20"/>
          <w:color w:val="auto"/>
        </w:rPr>
      </w:pPr>
    </w:p>
    <w:p>
      <w:pPr>
        <w:ind w:left="1900" w:hanging="395"/>
        <w:spacing w:after="0"/>
        <w:tabs>
          <w:tab w:leader="none" w:pos="19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determine the shares represented at the meeting and the validity of proxies and ballots;</w:t>
      </w:r>
    </w:p>
    <w:p>
      <w:pPr>
        <w:spacing w:after="0" w:line="202" w:lineRule="exact"/>
        <w:rPr>
          <w:rFonts w:ascii="Arial" w:cs="Arial" w:eastAsia="Arial" w:hAnsi="Arial"/>
          <w:sz w:val="20"/>
          <w:szCs w:val="20"/>
          <w:color w:val="auto"/>
        </w:rPr>
      </w:pPr>
    </w:p>
    <w:p>
      <w:pPr>
        <w:ind w:left="1900" w:hanging="395"/>
        <w:spacing w:after="0"/>
        <w:tabs>
          <w:tab w:leader="none" w:pos="19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count all votes and ballots;</w:t>
      </w:r>
    </w:p>
    <w:p>
      <w:pPr>
        <w:spacing w:after="0" w:line="215" w:lineRule="exact"/>
        <w:rPr>
          <w:rFonts w:ascii="Arial" w:cs="Arial" w:eastAsia="Arial" w:hAnsi="Arial"/>
          <w:sz w:val="20"/>
          <w:szCs w:val="20"/>
          <w:color w:val="auto"/>
        </w:rPr>
      </w:pPr>
    </w:p>
    <w:p>
      <w:pPr>
        <w:ind w:left="1900" w:hanging="395"/>
        <w:spacing w:after="0"/>
        <w:tabs>
          <w:tab w:leader="none" w:pos="1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determine and retain for a reasonable period a record of the disposition of any challenges made to any determination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by the inspectors; and</w:t>
      </w:r>
    </w:p>
    <w:p>
      <w:pPr>
        <w:spacing w:after="0" w:line="199" w:lineRule="exact"/>
        <w:rPr>
          <w:rFonts w:ascii="Arial" w:cs="Arial" w:eastAsia="Arial" w:hAnsi="Arial"/>
          <w:sz w:val="18"/>
          <w:szCs w:val="18"/>
          <w:color w:val="auto"/>
        </w:rPr>
      </w:pPr>
    </w:p>
    <w:p>
      <w:pPr>
        <w:ind w:left="1900" w:hanging="395"/>
        <w:spacing w:after="0"/>
        <w:tabs>
          <w:tab w:leader="none" w:pos="1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certify their determination of the number of shares represented at the meeting, and their count of all votes and ballots.</w:t>
      </w:r>
    </w:p>
    <w:p>
      <w:pPr>
        <w:spacing w:after="0" w:line="262"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8"/>
          <w:szCs w:val="18"/>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 - DIRECTORS</w:t>
      </w:r>
    </w:p>
    <w:p>
      <w:pPr>
        <w:spacing w:after="0" w:line="22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3.1  POWERS</w:t>
      </w:r>
    </w:p>
    <w:p>
      <w:pPr>
        <w:spacing w:after="0" w:line="216"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20"/>
          <w:szCs w:val="20"/>
          <w:color w:val="auto"/>
        </w:rPr>
        <w:t>The business and affairs of the Company shall be managed by or under the direction of the Board of Directors, except as may be otherwise provided in the DGCL or the certificate of incorporation.</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3.2  NUMBER OF DIRECTORS</w:t>
      </w:r>
    </w:p>
    <w:p>
      <w:pPr>
        <w:spacing w:after="0" w:line="216"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The Board of Directors shall consist of one or more members, each of whom shall be a natural person. Unless the certificate of incorporation fixes the number of directors, the number of directors shall be determined from time to time by resolution of a majority of the Whole Board. No reduction of the authorized number of directors shall have the effect of removing any director before that director’s term of office expires.</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3.3  ELECTION, QUALIFICATION AND TERM OF OFFICE OF DIRECTORS</w:t>
      </w:r>
    </w:p>
    <w:p>
      <w:pPr>
        <w:spacing w:after="0" w:line="21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Except as provided in Section 3.4 of these bylaws, each director, including a director elected to fill a vacancy or newly created directorship,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If so provided in the certificate of incorporation, the directors of the Company shall be divided into three classes.</w:t>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8" w:name="page19"/>
    <w:bookmarkEnd w:id="18"/>
    <w:p>
      <w:pPr>
        <w:ind w:left="760"/>
        <w:spacing w:after="0"/>
        <w:rPr>
          <w:sz w:val="20"/>
          <w:szCs w:val="20"/>
          <w:color w:val="auto"/>
        </w:rPr>
      </w:pPr>
      <w:r>
        <w:rPr>
          <w:rFonts w:ascii="Arial" w:cs="Arial" w:eastAsia="Arial" w:hAnsi="Arial"/>
          <w:sz w:val="20"/>
          <w:szCs w:val="20"/>
          <w:color w:val="auto"/>
        </w:rPr>
        <w:t>3.4  RESIGNATION AND VACANCIES</w:t>
      </w:r>
    </w:p>
    <w:p>
      <w:pPr>
        <w:spacing w:after="0" w:line="216" w:lineRule="exact"/>
        <w:rPr>
          <w:sz w:val="20"/>
          <w:szCs w:val="20"/>
          <w:color w:val="auto"/>
        </w:rPr>
      </w:pPr>
    </w:p>
    <w:p>
      <w:pPr>
        <w:jc w:val="both"/>
        <w:ind w:firstLine="749"/>
        <w:spacing w:after="0"/>
        <w:rPr>
          <w:sz w:val="20"/>
          <w:szCs w:val="20"/>
          <w:color w:val="auto"/>
        </w:rPr>
      </w:pPr>
      <w:r>
        <w:rPr>
          <w:rFonts w:ascii="Arial" w:cs="Arial" w:eastAsia="Arial" w:hAnsi="Arial"/>
          <w:sz w:val="20"/>
          <w:szCs w:val="20"/>
          <w:color w:val="auto"/>
        </w:rPr>
        <w:t>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99" w:lineRule="exact"/>
        <w:rPr>
          <w:sz w:val="20"/>
          <w:szCs w:val="20"/>
          <w:color w:val="auto"/>
        </w:rPr>
      </w:pPr>
    </w:p>
    <w:p>
      <w:pPr>
        <w:jc w:val="both"/>
        <w:ind w:firstLine="749"/>
        <w:spacing w:after="0"/>
        <w:rPr>
          <w:sz w:val="20"/>
          <w:szCs w:val="20"/>
          <w:color w:val="auto"/>
        </w:rPr>
      </w:pPr>
      <w:r>
        <w:rPr>
          <w:rFonts w:ascii="Arial" w:cs="Arial" w:eastAsia="Arial" w:hAnsi="Arial"/>
          <w:sz w:val="20"/>
          <w:szCs w:val="20"/>
          <w:color w:val="auto"/>
        </w:rPr>
        <w:t>Unless otherwise provided in the certificate of incorporation or these bylaws or permitted in the specific case by resolution of the Board of Directors, and subject to the rights of holders of preferred stock of the Company,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chosen to fill a vacancy or newly created directorship shall hold office until the next election of the class for which such director shall have been chosen and until his or her successor shall have been duly elected and qualified.</w:t>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3.5  PLACE OF MEETINGS; MEETINGS BY TELEPHONE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The Board of Directors may hold meetings, both regular and special, either within or outside the State of Delaware.</w:t>
      </w:r>
    </w:p>
    <w:p>
      <w:pPr>
        <w:spacing w:after="0" w:line="216"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3.6  REGULAR MEETINGS</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Regular meetings of the Board of Directors may be held without notice at such time and at such place as shall from time to time be determined by the Board of Directors.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3.7  SPECIAL MEETINGS; NOTICE</w:t>
      </w:r>
    </w:p>
    <w:p>
      <w:pPr>
        <w:spacing w:after="0" w:line="216" w:lineRule="exact"/>
        <w:rPr>
          <w:sz w:val="20"/>
          <w:szCs w:val="20"/>
          <w:color w:val="auto"/>
        </w:rPr>
      </w:pPr>
    </w:p>
    <w:p>
      <w:pPr>
        <w:jc w:val="both"/>
        <w:ind w:firstLine="749"/>
        <w:spacing w:after="0" w:line="283" w:lineRule="auto"/>
        <w:rPr>
          <w:sz w:val="20"/>
          <w:szCs w:val="20"/>
          <w:color w:val="auto"/>
        </w:rPr>
      </w:pPr>
      <w:r>
        <w:rPr>
          <w:rFonts w:ascii="Arial" w:cs="Arial" w:eastAsia="Arial" w:hAnsi="Arial"/>
          <w:sz w:val="18"/>
          <w:szCs w:val="18"/>
          <w:color w:val="auto"/>
        </w:rPr>
        <w:t xml:space="preserve">Special meetings of the Board of Directors for any purpose or purposes may be called at any time by the chairperson of the Board of Directors, the chief executive officer, the president, the Secretary or by a majority of the Whole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person(s) authorized to call a special meeting of the Board of Directors may authorize another person or persons to send notice of such meeting.</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Notice of the time and place of special meetings shall be:</w:t>
      </w:r>
    </w:p>
    <w:p>
      <w:pPr>
        <w:spacing w:after="0" w:line="216" w:lineRule="exact"/>
        <w:rPr>
          <w:sz w:val="20"/>
          <w:szCs w:val="20"/>
          <w:color w:val="auto"/>
        </w:rPr>
      </w:pPr>
    </w:p>
    <w:p>
      <w:pPr>
        <w:ind w:left="1900" w:hanging="395"/>
        <w:spacing w:after="0"/>
        <w:tabs>
          <w:tab w:leader="none" w:pos="19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delivered personally by hand, by courier or by telephone;</w:t>
      </w:r>
    </w:p>
    <w:p>
      <w:pPr>
        <w:spacing w:after="0" w:line="215" w:lineRule="exact"/>
        <w:rPr>
          <w:rFonts w:ascii="Arial" w:cs="Arial" w:eastAsia="Arial" w:hAnsi="Arial"/>
          <w:sz w:val="20"/>
          <w:szCs w:val="20"/>
          <w:color w:val="auto"/>
        </w:rPr>
      </w:pPr>
    </w:p>
    <w:p>
      <w:pPr>
        <w:ind w:left="1900" w:hanging="395"/>
        <w:spacing w:after="0"/>
        <w:tabs>
          <w:tab w:leader="none" w:pos="19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sent by United States first-class mail, postage prepaid;</w:t>
      </w:r>
    </w:p>
    <w:p>
      <w:pPr>
        <w:spacing w:after="0" w:line="215" w:lineRule="exact"/>
        <w:rPr>
          <w:rFonts w:ascii="Arial" w:cs="Arial" w:eastAsia="Arial" w:hAnsi="Arial"/>
          <w:sz w:val="20"/>
          <w:szCs w:val="20"/>
          <w:color w:val="auto"/>
        </w:rPr>
      </w:pPr>
    </w:p>
    <w:p>
      <w:pPr>
        <w:ind w:left="1900" w:hanging="395"/>
        <w:spacing w:after="0"/>
        <w:tabs>
          <w:tab w:leader="none" w:pos="19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sent by facsimile;</w:t>
      </w:r>
    </w:p>
    <w:p>
      <w:pPr>
        <w:spacing w:after="0" w:line="202" w:lineRule="exact"/>
        <w:rPr>
          <w:rFonts w:ascii="Arial" w:cs="Arial" w:eastAsia="Arial" w:hAnsi="Arial"/>
          <w:sz w:val="20"/>
          <w:szCs w:val="20"/>
          <w:color w:val="auto"/>
        </w:rPr>
      </w:pPr>
    </w:p>
    <w:p>
      <w:pPr>
        <w:ind w:left="1900" w:hanging="395"/>
        <w:spacing w:after="0"/>
        <w:tabs>
          <w:tab w:leader="none" w:pos="19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sent by electronic mail; or</w:t>
      </w:r>
    </w:p>
    <w:p>
      <w:pPr>
        <w:spacing w:after="0" w:line="15" w:lineRule="exact"/>
        <w:rPr>
          <w:rFonts w:ascii="Arial" w:cs="Arial" w:eastAsia="Arial" w:hAnsi="Arial"/>
          <w:sz w:val="20"/>
          <w:szCs w:val="20"/>
          <w:color w:val="auto"/>
        </w:rPr>
      </w:pPr>
    </w:p>
    <w:p>
      <w:pPr>
        <w:ind w:left="5520" w:hanging="110"/>
        <w:spacing w:after="0"/>
        <w:tabs>
          <w:tab w:leader="none" w:pos="5520" w:val="left"/>
        </w:tabs>
        <w:numPr>
          <w:ilvl w:val="1"/>
          <w:numId w:val="18"/>
        </w:numPr>
        <w:rPr>
          <w:rFonts w:ascii="Arial" w:cs="Arial" w:eastAsia="Arial" w:hAnsi="Arial"/>
          <w:sz w:val="20"/>
          <w:szCs w:val="20"/>
          <w:color w:val="auto"/>
        </w:rPr>
      </w:pPr>
      <w:r>
        <w:rPr>
          <w:rFonts w:ascii="Arial" w:cs="Arial" w:eastAsia="Arial" w:hAnsi="Arial"/>
          <w:sz w:val="20"/>
          <w:szCs w:val="20"/>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9" w:name="page20"/>
    <w:bookmarkEnd w:id="19"/>
    <w:p>
      <w:pPr>
        <w:ind w:left="1500"/>
        <w:spacing w:after="0"/>
        <w:tabs>
          <w:tab w:leader="none" w:pos="188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18"/>
          <w:szCs w:val="18"/>
          <w:color w:val="auto"/>
        </w:rPr>
        <w:t>otherwise given by electronic transmission (as defined in Section 232 of the DGCL),</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directed to each director at that director’s address, telephone number, facsimile number, electronic mail address or other contact for notice by electronic transmission, as the case may be, as shown on the Company’s records.</w:t>
      </w:r>
    </w:p>
    <w:p>
      <w:pPr>
        <w:spacing w:after="0" w:line="177" w:lineRule="exact"/>
        <w:rPr>
          <w:sz w:val="20"/>
          <w:szCs w:val="20"/>
          <w:color w:val="auto"/>
        </w:rPr>
      </w:pPr>
    </w:p>
    <w:p>
      <w:pPr>
        <w:jc w:val="both"/>
        <w:ind w:firstLine="749"/>
        <w:spacing w:after="0"/>
        <w:rPr>
          <w:sz w:val="20"/>
          <w:szCs w:val="20"/>
          <w:color w:val="auto"/>
        </w:rPr>
      </w:pPr>
      <w:r>
        <w:rPr>
          <w:rFonts w:ascii="Arial" w:cs="Arial" w:eastAsia="Arial" w:hAnsi="Arial"/>
          <w:sz w:val="20"/>
          <w:szCs w:val="20"/>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 unless required by statute.</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3.8  QUORUM; VOTING</w:t>
      </w:r>
    </w:p>
    <w:p>
      <w:pPr>
        <w:spacing w:after="0" w:line="21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19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5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If the certificate of incorporation provides that one or more directors shall have more or less than one vote per director on any matter, except as may otherwise be expressly provided herein or therein and denoted with the phrase “notwithstanding the final paragraph of Section 3.8 of the bylaws” or language to similar effect, every reference in these bylaws to a majority or other proportion of the directors shall refer to a majority or other proportion of the votes of the directors.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3.9  BOARD ACTION BY WRITTEN CONSENT WITHOUT A MEETING</w:t>
      </w:r>
    </w:p>
    <w:p>
      <w:pPr>
        <w:spacing w:after="0" w:line="21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9"/>
          <w:szCs w:val="19"/>
          <w:color w:val="auto"/>
        </w:rPr>
        <w:t>Unless otherwise restricted by the certificate of incorporation or these bylaws, (i)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(ii) a consent may be documented, signed and delivered in any manner permitted by Section 116 of the DGCL.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of Directors, or the committee thereof, in the same paper or electronic form as the minutes are maintained.</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3.10 FEES AND COMPENSATION OF DIRECTORS</w:t>
      </w:r>
    </w:p>
    <w:p>
      <w:pPr>
        <w:spacing w:after="0" w:line="20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0"/>
          <w:szCs w:val="20"/>
          <w:color w:val="auto"/>
        </w:rPr>
        <w:t>Unless otherwise restricted by the certificate of incorporation or these bylaws, the Board of Directors shall have the authority to fix the compensation of directors.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20" w:name="page21"/>
    <w:bookmarkEnd w:id="20"/>
    <w:p>
      <w:pPr>
        <w:ind w:left="760"/>
        <w:spacing w:after="0"/>
        <w:rPr>
          <w:sz w:val="20"/>
          <w:szCs w:val="20"/>
          <w:color w:val="auto"/>
        </w:rPr>
      </w:pPr>
      <w:r>
        <w:rPr>
          <w:rFonts w:ascii="Arial" w:cs="Arial" w:eastAsia="Arial" w:hAnsi="Arial"/>
          <w:sz w:val="20"/>
          <w:szCs w:val="20"/>
          <w:color w:val="auto"/>
        </w:rPr>
        <w:t>3.11 REMOVAL OF DIRECTORS</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Any director or the entire Board of Directors may be removed from office by stockholders of the Company in the manner specified in the certificate of incorporation and applicable law. No reduction of the authorized number of directors shall have the effect of removing any director prior to the expiration of such director’s term of office.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 - COMMITTEES</w:t>
      </w:r>
    </w:p>
    <w:p>
      <w:pPr>
        <w:spacing w:after="0" w:line="22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4.1  COMMITTEES OF DIRECTORS</w:t>
      </w:r>
    </w:p>
    <w:p>
      <w:pPr>
        <w:spacing w:after="0" w:line="20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9"/>
          <w:szCs w:val="19"/>
          <w:color w:val="auto"/>
        </w:rPr>
        <w:t>The Board of Directors may, by resolution passed by a majority of the Whole Board, designate one or more committees, each committee to consist of one or more of the directors of the Company.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Company, and may authorize the seal of the Company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Company.</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4.2  COMMITTEE MINUTES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Each committee and subcommittee shall keep regular minutes of its meetings.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4.3  MEETINGS AND ACTION OF COMMITTEES</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Unless otherwise specified by the Board of Directors, meetings and actions of committees and subcommittees shall be governed by, and held and taken in accordance with, the provisions of:</w:t>
      </w:r>
    </w:p>
    <w:p>
      <w:pPr>
        <w:spacing w:after="0" w:line="177" w:lineRule="exact"/>
        <w:rPr>
          <w:sz w:val="20"/>
          <w:szCs w:val="20"/>
          <w:color w:val="auto"/>
        </w:rPr>
      </w:pPr>
    </w:p>
    <w:p>
      <w:pPr>
        <w:ind w:left="1900" w:hanging="395"/>
        <w:spacing w:after="0"/>
        <w:tabs>
          <w:tab w:leader="none" w:pos="19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Section 3.5 (place of meetings and meetings by telephone);</w:t>
      </w:r>
    </w:p>
    <w:p>
      <w:pPr>
        <w:spacing w:after="0" w:line="215" w:lineRule="exact"/>
        <w:rPr>
          <w:rFonts w:ascii="Arial" w:cs="Arial" w:eastAsia="Arial" w:hAnsi="Arial"/>
          <w:sz w:val="20"/>
          <w:szCs w:val="20"/>
          <w:color w:val="auto"/>
        </w:rPr>
      </w:pPr>
    </w:p>
    <w:p>
      <w:pPr>
        <w:ind w:left="1900" w:hanging="395"/>
        <w:spacing w:after="0"/>
        <w:tabs>
          <w:tab w:leader="none" w:pos="19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Section 3.6 (regular meetings);</w:t>
      </w:r>
    </w:p>
    <w:p>
      <w:pPr>
        <w:spacing w:after="0" w:line="215" w:lineRule="exact"/>
        <w:rPr>
          <w:rFonts w:ascii="Arial" w:cs="Arial" w:eastAsia="Arial" w:hAnsi="Arial"/>
          <w:sz w:val="20"/>
          <w:szCs w:val="20"/>
          <w:color w:val="auto"/>
        </w:rPr>
      </w:pPr>
    </w:p>
    <w:p>
      <w:pPr>
        <w:ind w:left="1900" w:hanging="395"/>
        <w:spacing w:after="0"/>
        <w:tabs>
          <w:tab w:leader="none" w:pos="19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Section 3.7 (special meetings and notice);</w:t>
      </w:r>
    </w:p>
    <w:p>
      <w:pPr>
        <w:spacing w:after="0" w:line="202" w:lineRule="exact"/>
        <w:rPr>
          <w:rFonts w:ascii="Arial" w:cs="Arial" w:eastAsia="Arial" w:hAnsi="Arial"/>
          <w:sz w:val="20"/>
          <w:szCs w:val="20"/>
          <w:color w:val="auto"/>
        </w:rPr>
      </w:pPr>
    </w:p>
    <w:p>
      <w:pPr>
        <w:ind w:left="1900" w:hanging="395"/>
        <w:spacing w:after="0"/>
        <w:tabs>
          <w:tab w:leader="none" w:pos="19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Section 3.8 (quorum; voting);</w:t>
      </w:r>
    </w:p>
    <w:p>
      <w:pPr>
        <w:spacing w:after="0" w:line="215" w:lineRule="exact"/>
        <w:rPr>
          <w:rFonts w:ascii="Arial" w:cs="Arial" w:eastAsia="Arial" w:hAnsi="Arial"/>
          <w:sz w:val="20"/>
          <w:szCs w:val="20"/>
          <w:color w:val="auto"/>
        </w:rPr>
      </w:pPr>
    </w:p>
    <w:p>
      <w:pPr>
        <w:ind w:left="1900" w:hanging="395"/>
        <w:spacing w:after="0"/>
        <w:tabs>
          <w:tab w:leader="none" w:pos="19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Section 3.9 (action without a meeting); and</w:t>
      </w:r>
    </w:p>
    <w:p>
      <w:pPr>
        <w:spacing w:after="0" w:line="215" w:lineRule="exact"/>
        <w:rPr>
          <w:rFonts w:ascii="Arial" w:cs="Arial" w:eastAsia="Arial" w:hAnsi="Arial"/>
          <w:sz w:val="20"/>
          <w:szCs w:val="20"/>
          <w:color w:val="auto"/>
        </w:rPr>
      </w:pPr>
    </w:p>
    <w:p>
      <w:pPr>
        <w:ind w:left="1900" w:hanging="395"/>
        <w:spacing w:after="0"/>
        <w:tabs>
          <w:tab w:leader="none" w:pos="19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Section 7.4 (waiver of notice)</w:t>
      </w:r>
    </w:p>
    <w:p>
      <w:pPr>
        <w:spacing w:after="0" w:line="21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 xml:space="preserve">with such changes in the context of those bylaws as are necessary to substitute the committee or subcommittee and its members for the Board of Directors and its members. </w:t>
      </w:r>
      <w:r>
        <w:rPr>
          <w:rFonts w:ascii="Arial" w:cs="Arial" w:eastAsia="Arial" w:hAnsi="Arial"/>
          <w:sz w:val="16"/>
          <w:szCs w:val="16"/>
          <w:i w:val="1"/>
          <w:iCs w:val="1"/>
          <w:color w:val="auto"/>
        </w:rPr>
        <w:t>However</w:t>
      </w:r>
      <w:r>
        <w:rPr>
          <w:rFonts w:ascii="Arial" w:cs="Arial" w:eastAsia="Arial" w:hAnsi="Arial"/>
          <w:sz w:val="16"/>
          <w:szCs w:val="16"/>
          <w:color w:val="auto"/>
        </w:rPr>
        <w:t>, (i) the time and place of regular meetings of committees or subcommittees may be determined either by resolution of the Board of Directors or by resolution of the committee or subcommittee; (ii) special meetings of committees 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21" w:name="page22"/>
    <w:bookmarkEnd w:id="21"/>
    <w:p>
      <w:pPr>
        <w:jc w:val="both"/>
        <w:spacing w:after="0" w:line="246" w:lineRule="auto"/>
        <w:rPr>
          <w:sz w:val="20"/>
          <w:szCs w:val="20"/>
          <w:color w:val="auto"/>
        </w:rPr>
      </w:pPr>
      <w:r>
        <w:rPr>
          <w:rFonts w:ascii="Arial" w:cs="Arial" w:eastAsia="Arial" w:hAnsi="Arial"/>
          <w:sz w:val="20"/>
          <w:szCs w:val="20"/>
          <w:color w:val="auto"/>
        </w:rPr>
        <w:t>subcommittees may also be called by resolution of the Board of Directors or the committee or the subcommittee; and (iii) notice of special meetings of committees and subcommittees shall also be given to all alternate members who shall have the right to attend all meetings of the committee or subcommittee. The Board of Directors or a committee or subcommittee may also adopt other rules for the government of any committee or subcommittee.</w:t>
      </w:r>
    </w:p>
    <w:p>
      <w:pPr>
        <w:spacing w:after="0" w:line="19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0"/>
          <w:szCs w:val="20"/>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4.4  SUBCOMMITTEES</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 - OFFICERS</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5.1  OFFICERS</w:t>
      </w:r>
    </w:p>
    <w:p>
      <w:pPr>
        <w:spacing w:after="0" w:line="21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The officers of the Company shall be a president and a secretary. The Company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5.2  APPOINTMENT OF OFFICERS</w:t>
      </w:r>
    </w:p>
    <w:p>
      <w:pPr>
        <w:spacing w:after="0" w:line="20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The Board of Directors shall appoint the officers of the Company, except such officers as may be appointed in accordance with the provisions of Section 5.3 of these bylaws, subject to the rights, if any, of an officer under any contract of employment.</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5.3  SUBORDINATE OFFICERS</w:t>
      </w:r>
    </w:p>
    <w:p>
      <w:pPr>
        <w:spacing w:after="0" w:line="216"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The Board of Directors may appoint, or empower any officer to appoint, such other officers as the business of the Company may require. Each of such officers shall hold office for such period, have such authority, and perform such duties as are provided in these bylaws or as determined from time to time by the Board of Directors or, for the avoidance of doubt, any duly authorized committee or subcommittee thereof or by any officer who has been conferred such power of determination.</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5.4  REMOVAL AND RESIGNATION OF OFFICERS</w:t>
      </w:r>
    </w:p>
    <w:p>
      <w:pPr>
        <w:spacing w:after="0" w:line="21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color w:val="auto"/>
        </w:rPr>
        <w:t>Subject to the rights, if any, of an officer under any contract of employment, any officer may be removed, either with or without cause, by the Board of Directors or, for the avoidance of doubt, any duly authorized committee or subcommittee thereof or by any officer who has been conferred such power of removal.</w:t>
      </w:r>
    </w:p>
    <w:p>
      <w:pPr>
        <w:jc w:val="center"/>
        <w:spacing w:after="0"/>
        <w:rPr>
          <w:sz w:val="20"/>
          <w:szCs w:val="20"/>
          <w:color w:val="auto"/>
        </w:rPr>
      </w:pPr>
      <w:r>
        <w:rPr>
          <w:rFonts w:ascii="Arial" w:cs="Arial" w:eastAsia="Arial" w:hAnsi="Arial"/>
          <w:sz w:val="20"/>
          <w:szCs w:val="20"/>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22" w:name="page23"/>
    <w:bookmarkEnd w:id="22"/>
    <w:p>
      <w:pPr>
        <w:jc w:val="both"/>
        <w:ind w:firstLine="749"/>
        <w:spacing w:after="0" w:line="246" w:lineRule="auto"/>
        <w:rPr>
          <w:sz w:val="20"/>
          <w:szCs w:val="20"/>
          <w:color w:val="auto"/>
        </w:rPr>
      </w:pPr>
      <w:r>
        <w:rPr>
          <w:rFonts w:ascii="Arial" w:cs="Arial" w:eastAsia="Arial" w:hAnsi="Arial"/>
          <w:sz w:val="20"/>
          <w:szCs w:val="20"/>
          <w:color w:val="auto"/>
        </w:rPr>
        <w:t>Any officer may resign at any time by giving notice, in writing or by electronic transmission,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5.5  VACANCIES IN OFFICES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Any vacancy occurring in any office of the Company shall be filled by the Board of Directors or as provided in Section 5.3.</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5.6  REPRESENTATION OF SECURITIES OF OTHER ENTITIES</w:t>
      </w:r>
    </w:p>
    <w:p>
      <w:pPr>
        <w:spacing w:after="0" w:line="21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The chairperson of the Board of Directors, the chief executive officer, the president, any vice president, the treasurer, the secretary or assistant secretary of the Company or any other person authorized by the Board of Directors or the chief executive officer, the president or a vice president, is authorized to vote, represent and exercise on behalf of the Company all rights incident to any and all shares or other securities of, or interests in, or issued by, any other entity or entities, and all rights incident to any management authority conferred on the Company in accordance with the governing documents of any entity or entities, standing in the name of the Company,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5.7  AUTHORITY AND DUTIES OF OFFICERS</w:t>
      </w:r>
    </w:p>
    <w:p>
      <w:pPr>
        <w:spacing w:after="0" w:line="21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Each officer of the Company shall have such authority and perform such duties in the management of the business of the Company as may be designated from time to time by the Board of Directors or, for the avoidance of doubt, any duly authorized committee or subcommittee thereof or by any officer who has been conferred such power of designation and, to the extent not so provided, as generally pertain to such office, subject to the control of the Board of Directors.</w:t>
      </w:r>
    </w:p>
    <w:p>
      <w:pPr>
        <w:spacing w:after="0" w:line="388"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ARTICLE VI - STOCK</w:t>
      </w:r>
    </w:p>
    <w:p>
      <w:pPr>
        <w:spacing w:after="0" w:line="22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6.1  STOCK CERTIFICATES; PARTLY PAID SHARES</w:t>
      </w:r>
    </w:p>
    <w:p>
      <w:pPr>
        <w:spacing w:after="0" w:line="21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9"/>
          <w:szCs w:val="19"/>
          <w:color w:val="auto"/>
        </w:rPr>
        <w:t>The shares of the Company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Company. Unless otherwise provided by resolution of the Board of Directors, every holder of stock represented by certificates shall be entitled to have a certificate signed by, or in the name of, the Company 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87" w:lineRule="exact"/>
        <w:rPr>
          <w:sz w:val="20"/>
          <w:szCs w:val="20"/>
          <w:color w:val="auto"/>
        </w:rPr>
      </w:pPr>
    </w:p>
    <w:p>
      <w:pPr>
        <w:jc w:val="both"/>
        <w:ind w:firstLine="749"/>
        <w:spacing w:after="0"/>
        <w:rPr>
          <w:sz w:val="20"/>
          <w:szCs w:val="20"/>
          <w:color w:val="auto"/>
        </w:rPr>
      </w:pPr>
      <w:r>
        <w:rPr>
          <w:rFonts w:ascii="Arial" w:cs="Arial" w:eastAsia="Arial" w:hAnsi="Arial"/>
          <w:sz w:val="20"/>
          <w:szCs w:val="20"/>
          <w:color w:val="auto"/>
        </w:rPr>
        <w:t>The Company may issue the whole or any part of its shares as partly paid and subject to call for the remainder of the consideration to be paid therefor. Upon the face or back of each stock certificate issued to represent any such partly-paid shares, or upon the books and records of the Company in the case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23" w:name="page24"/>
    <w:bookmarkEnd w:id="23"/>
    <w:p>
      <w:pPr>
        <w:jc w:val="both"/>
        <w:ind w:right="20"/>
        <w:spacing w:after="0" w:line="250" w:lineRule="auto"/>
        <w:rPr>
          <w:sz w:val="20"/>
          <w:szCs w:val="20"/>
          <w:color w:val="auto"/>
        </w:rPr>
      </w:pPr>
      <w:r>
        <w:rPr>
          <w:rFonts w:ascii="Arial" w:cs="Arial" w:eastAsia="Arial" w:hAnsi="Arial"/>
          <w:sz w:val="20"/>
          <w:szCs w:val="20"/>
          <w:color w:val="auto"/>
        </w:rPr>
        <w:t>uncertificated partly-paid shares, the total amount of the consideration to be paid therefor and the amount paid thereon shall be stated. Upon the declaration of any dividend on fully-paid shares, the Company shall declare a dividend upon partly-paid shares of the same class, but only upon the basis of the percentage of the consideration actually paid thereon.</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6.2  SPECIAL DESIGNATION ON CERTIFICATES</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8"/>
          <w:szCs w:val="18"/>
          <w:color w:val="auto"/>
        </w:rPr>
        <w:t xml:space="preserve">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Arial" w:cs="Arial" w:eastAsia="Arial" w:hAnsi="Arial"/>
          <w:sz w:val="18"/>
          <w:szCs w:val="18"/>
          <w:i w:val="1"/>
          <w:iCs w:val="1"/>
          <w:color w:val="auto"/>
        </w:rPr>
        <w:t>provided, however</w:t>
      </w:r>
      <w:r>
        <w:rPr>
          <w:rFonts w:ascii="Arial" w:cs="Arial" w:eastAsia="Arial" w:hAnsi="Arial"/>
          <w:sz w:val="18"/>
          <w:szCs w:val="18"/>
          <w:color w:val="auto"/>
        </w:rPr>
        <w:t>,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151, 156, 202(a), 218(a) or 364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6.3  LOST CERTIFICATES</w:t>
      </w:r>
    </w:p>
    <w:p>
      <w:pPr>
        <w:spacing w:after="0" w:line="216" w:lineRule="exact"/>
        <w:rPr>
          <w:sz w:val="20"/>
          <w:szCs w:val="20"/>
          <w:color w:val="auto"/>
        </w:rPr>
      </w:pPr>
    </w:p>
    <w:p>
      <w:pPr>
        <w:jc w:val="both"/>
        <w:ind w:firstLine="749"/>
        <w:spacing w:after="0"/>
        <w:rPr>
          <w:sz w:val="20"/>
          <w:szCs w:val="20"/>
          <w:color w:val="auto"/>
        </w:rPr>
      </w:pPr>
      <w:r>
        <w:rPr>
          <w:rFonts w:ascii="Arial" w:cs="Arial" w:eastAsia="Arial" w:hAnsi="Arial"/>
          <w:sz w:val="20"/>
          <w:szCs w:val="20"/>
          <w:color w:val="auto"/>
        </w:rPr>
        <w:t>Except as provided in this Section 6.3,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6.4  DIVIDENDS</w:t>
      </w:r>
    </w:p>
    <w:p>
      <w:pPr>
        <w:spacing w:after="0" w:line="216"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9"/>
          <w:szCs w:val="19"/>
          <w:color w:val="auto"/>
        </w:rPr>
        <w:t>The Board of Directors,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 The Board of Directors may set apart out of any of the funds of the Company available for dividends a reserve or reserves for any proper purpose and may abolish any such reserve.</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6.5  TRANSFER OF STOCK</w:t>
      </w:r>
    </w:p>
    <w:p>
      <w:pPr>
        <w:spacing w:after="0" w:line="216" w:lineRule="exact"/>
        <w:rPr>
          <w:sz w:val="20"/>
          <w:szCs w:val="20"/>
          <w:color w:val="auto"/>
        </w:rPr>
      </w:pPr>
    </w:p>
    <w:p>
      <w:pPr>
        <w:jc w:val="both"/>
        <w:ind w:right="20" w:firstLine="749"/>
        <w:spacing w:after="0" w:line="247" w:lineRule="auto"/>
        <w:rPr>
          <w:sz w:val="20"/>
          <w:szCs w:val="20"/>
          <w:color w:val="auto"/>
        </w:rPr>
      </w:pPr>
      <w:r>
        <w:rPr>
          <w:rFonts w:ascii="Arial" w:cs="Arial" w:eastAsia="Arial" w:hAnsi="Arial"/>
          <w:sz w:val="20"/>
          <w:szCs w:val="20"/>
          <w:color w:val="auto"/>
        </w:rPr>
        <w:t>Transfers of record of shares of stock of the Company shall be made only upon its books by the holders thereof, in person or by an attorney duly authorized, and, subject to Section 6.3 of these bylaws, if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24" w:name="page25"/>
    <w:bookmarkEnd w:id="24"/>
    <w:p>
      <w:pPr>
        <w:jc w:val="both"/>
        <w:spacing w:after="0" w:line="260" w:lineRule="auto"/>
        <w:rPr>
          <w:sz w:val="20"/>
          <w:szCs w:val="20"/>
          <w:color w:val="auto"/>
        </w:rPr>
      </w:pPr>
      <w:r>
        <w:rPr>
          <w:rFonts w:ascii="Arial" w:cs="Arial" w:eastAsia="Arial" w:hAnsi="Arial"/>
          <w:sz w:val="20"/>
          <w:szCs w:val="20"/>
          <w:color w:val="auto"/>
        </w:rPr>
        <w:t>such stock is certificated, upon the surrender of a certificate or certificates for a like number of shares, properly endorsed or accompanied by proper evidence of succession, assignation or authority to transfer.</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6.6  STOCK TRANSFER AGREEMENTS</w:t>
      </w:r>
    </w:p>
    <w:p>
      <w:pPr>
        <w:spacing w:after="0" w:line="2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0"/>
          <w:szCs w:val="20"/>
          <w:color w:val="auto"/>
        </w:rPr>
        <w:t>The Company shall have power to enter into and perform any agreement with any number of stockholders of any one or more classes or series of stock of the Company to restrict the transfer of shares of stock of the Company of any one or more classes or series owned by such stockholders in any manner not prohibited by the DGCL.</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6.7  REGISTERED STOCKHOLDERS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The Company:</w:t>
      </w:r>
    </w:p>
    <w:p>
      <w:pPr>
        <w:spacing w:after="0" w:line="216" w:lineRule="exact"/>
        <w:rPr>
          <w:sz w:val="20"/>
          <w:szCs w:val="20"/>
          <w:color w:val="auto"/>
        </w:rPr>
      </w:pPr>
    </w:p>
    <w:p>
      <w:pPr>
        <w:ind w:right="20" w:firstLine="1505"/>
        <w:spacing w:after="0" w:line="260" w:lineRule="auto"/>
        <w:tabs>
          <w:tab w:leader="none" w:pos="1893" w:val="left"/>
        </w:tabs>
        <w:numPr>
          <w:ilvl w:val="0"/>
          <w:numId w:val="20"/>
        </w:numPr>
        <w:rPr>
          <w:rFonts w:ascii="Arial" w:cs="Arial" w:eastAsia="Arial" w:hAnsi="Arial"/>
          <w:sz w:val="20"/>
          <w:szCs w:val="20"/>
          <w:color w:val="auto"/>
        </w:rPr>
      </w:pPr>
      <w:r>
        <w:rPr>
          <w:rFonts w:ascii="Arial" w:cs="Arial" w:eastAsia="Arial" w:hAnsi="Arial"/>
          <w:sz w:val="20"/>
          <w:szCs w:val="20"/>
          <w:color w:val="auto"/>
        </w:rPr>
        <w:t>shall be entitled to recognize the exclusive right of a person registered on its books as the owner of shares to receive dividends and notices and to vote as such owner; and</w:t>
      </w:r>
    </w:p>
    <w:p>
      <w:pPr>
        <w:spacing w:after="0" w:line="176" w:lineRule="exact"/>
        <w:rPr>
          <w:rFonts w:ascii="Arial" w:cs="Arial" w:eastAsia="Arial" w:hAnsi="Arial"/>
          <w:sz w:val="20"/>
          <w:szCs w:val="20"/>
          <w:color w:val="auto"/>
        </w:rPr>
      </w:pPr>
    </w:p>
    <w:p>
      <w:pPr>
        <w:ind w:right="40" w:firstLine="1505"/>
        <w:spacing w:after="0" w:line="287" w:lineRule="auto"/>
        <w:tabs>
          <w:tab w:leader="none" w:pos="1893" w:val="left"/>
        </w:tabs>
        <w:numPr>
          <w:ilvl w:val="0"/>
          <w:numId w:val="20"/>
        </w:numPr>
        <w:rPr>
          <w:rFonts w:ascii="Arial" w:cs="Arial" w:eastAsia="Arial" w:hAnsi="Arial"/>
          <w:sz w:val="19"/>
          <w:szCs w:val="19"/>
          <w:color w:val="auto"/>
        </w:rPr>
      </w:pPr>
      <w:r>
        <w:rPr>
          <w:rFonts w:ascii="Arial" w:cs="Arial" w:eastAsia="Arial" w:hAnsi="Arial"/>
          <w:sz w:val="19"/>
          <w:szCs w:val="19"/>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349" w:lineRule="exact"/>
        <w:rPr>
          <w:sz w:val="20"/>
          <w:szCs w:val="20"/>
          <w:color w:val="auto"/>
        </w:rPr>
      </w:pPr>
    </w:p>
    <w:p>
      <w:pPr>
        <w:ind w:left="2820"/>
        <w:spacing w:after="0"/>
        <w:rPr>
          <w:sz w:val="20"/>
          <w:szCs w:val="20"/>
          <w:color w:val="auto"/>
        </w:rPr>
      </w:pPr>
      <w:r>
        <w:rPr>
          <w:rFonts w:ascii="Arial" w:cs="Arial" w:eastAsia="Arial" w:hAnsi="Arial"/>
          <w:sz w:val="20"/>
          <w:szCs w:val="20"/>
          <w:b w:val="1"/>
          <w:bCs w:val="1"/>
          <w:color w:val="auto"/>
        </w:rPr>
        <w:t>ARTICLE VII - MANNER OF GIVING NOTICE AND WAIVER</w:t>
      </w:r>
    </w:p>
    <w:p>
      <w:pPr>
        <w:spacing w:after="0" w:line="22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7.1  NOTICE OF STOCKHOLDERS’ MEETINGS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Notice of any meeting of stockholders shall be given in the manner set forth in the DGCL.</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7.2  NOTICE TO STOCKHOLDERS SHARING AN ADDRESS</w:t>
      </w:r>
    </w:p>
    <w:p>
      <w:pPr>
        <w:spacing w:after="0" w:line="216" w:lineRule="exact"/>
        <w:rPr>
          <w:sz w:val="20"/>
          <w:szCs w:val="20"/>
          <w:color w:val="auto"/>
        </w:rPr>
      </w:pPr>
    </w:p>
    <w:p>
      <w:pPr>
        <w:jc w:val="both"/>
        <w:ind w:firstLine="749"/>
        <w:spacing w:after="0"/>
        <w:rPr>
          <w:sz w:val="20"/>
          <w:szCs w:val="20"/>
          <w:color w:val="auto"/>
        </w:rPr>
      </w:pPr>
      <w:r>
        <w:rPr>
          <w:rFonts w:ascii="Arial" w:cs="Arial" w:eastAsia="Arial" w:hAnsi="Arial"/>
          <w:sz w:val="20"/>
          <w:szCs w:val="20"/>
          <w:color w:val="auto"/>
        </w:rPr>
        <w:t>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 This Section 7.2 shall not apply to Sections 164, 296, 311, 312 or 324 of the DGCL.</w:t>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7.3  NOTICE TO PERSON WITH WHOM COMMUNICATION IS UNLAWFUL</w:t>
      </w:r>
    </w:p>
    <w:p>
      <w:pPr>
        <w:spacing w:after="0" w:line="21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25" w:name="page26"/>
    <w:bookmarkEnd w:id="25"/>
    <w:p>
      <w:pPr>
        <w:ind w:left="760"/>
        <w:spacing w:after="0"/>
        <w:rPr>
          <w:sz w:val="20"/>
          <w:szCs w:val="20"/>
          <w:color w:val="auto"/>
        </w:rPr>
      </w:pPr>
      <w:r>
        <w:rPr>
          <w:rFonts w:ascii="Arial" w:cs="Arial" w:eastAsia="Arial" w:hAnsi="Arial"/>
          <w:sz w:val="20"/>
          <w:szCs w:val="20"/>
          <w:color w:val="auto"/>
        </w:rPr>
        <w:t>7.4  WAIVER OF NOTICE</w:t>
      </w:r>
    </w:p>
    <w:p>
      <w:pPr>
        <w:spacing w:after="0" w:line="21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 - INDEMNIFICATION</w:t>
      </w:r>
    </w:p>
    <w:p>
      <w:pPr>
        <w:spacing w:after="0" w:line="22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8.1  INDEMNIFICATION OF DIRECTORS AND OFFICERS IN THIRD PARTY PROCEEDINGS</w:t>
      </w:r>
    </w:p>
    <w:p>
      <w:pPr>
        <w:spacing w:after="0" w:line="216"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8"/>
          <w:szCs w:val="18"/>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8"/>
          <w:szCs w:val="18"/>
          <w:b w:val="1"/>
          <w:bCs w:val="1"/>
          <w:color w:val="auto"/>
        </w:rPr>
        <w:t>Proceeding</w:t>
      </w:r>
      <w:r>
        <w:rPr>
          <w:rFonts w:ascii="Arial" w:cs="Arial" w:eastAsia="Arial" w:hAnsi="Arial"/>
          <w:sz w:val="18"/>
          <w:szCs w:val="18"/>
          <w:color w:val="auto"/>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8.2  INDEMNIFICATION OF DIRECTORS AND OFFICERS IN ACTIONS BY OR IN THE RIGHT OF THE COMPANY</w:t>
      </w:r>
    </w:p>
    <w:p>
      <w:pPr>
        <w:spacing w:after="0" w:line="216"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18"/>
          <w:szCs w:val="18"/>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Proceeding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26" w:name="page27"/>
    <w:bookmarkEnd w:id="26"/>
    <w:p>
      <w:pPr>
        <w:spacing w:after="0"/>
        <w:rPr>
          <w:sz w:val="20"/>
          <w:szCs w:val="20"/>
          <w:color w:val="auto"/>
        </w:rPr>
      </w:pPr>
      <w:r>
        <w:rPr>
          <w:rFonts w:ascii="Arial" w:cs="Arial" w:eastAsia="Arial" w:hAnsi="Arial"/>
          <w:sz w:val="19"/>
          <w:szCs w:val="19"/>
          <w:color w:val="auto"/>
        </w:rPr>
        <w:t>fairly and reasonably entitled to indemnity for such expenses which the Court of Chancery or such other court shall deem proper.</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8.3  SUCCESSFUL DEFENSE</w:t>
      </w:r>
    </w:p>
    <w:p>
      <w:pPr>
        <w:spacing w:after="0" w:line="216"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auto"/>
        </w:rPr>
        <w:t>To the extent that a present or former director or officer (for purposes of this Section 8.3 only, as such term is defined in Section 145(c)(1) of the DGCL) of the Company has been successful on the merits or otherwise in defense of any Proceeding described in Section 8.1 or Section 8.2, or in defense of any claim, issue or matter therein, such person shall be indemnified against expenses (including attorneys’ fees) actually and reasonably incurred by such person in connection therewith. The Company may indemnify any other person who is not a present or former director or officer of the Company against expenses (including attorneys’ fees) actually and reasonably incurred by such person to the extent he or she has been successful on the merits or otherwise in defense of any Proceeding described in Section 8.1 or Section 8.2, or in defense of any claim, issue or matter therein.</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8.4  INDEMNIFICATION OF OTHERS</w:t>
      </w:r>
    </w:p>
    <w:p>
      <w:pPr>
        <w:spacing w:after="0" w:line="216"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Subject to the other provisions of this Article VIII, the Company shall have power to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8.5  ADVANCED PAYMENT OF EXPENSES</w:t>
      </w:r>
    </w:p>
    <w:p>
      <w:pPr>
        <w:spacing w:after="0" w:line="21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Section 8.6(b) or 8.6(c) prior to a determination that the person is not entitled to be indemnified by the Company.</w:t>
      </w:r>
    </w:p>
    <w:p>
      <w:pPr>
        <w:spacing w:after="0" w:line="164"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color w:val="auto"/>
        </w:rPr>
        <w:t>Notwithstanding the foregoing, unless otherwise determined pursuant to Section 8.8, no advance shall be made by the Company to an officer of the Company (except by reason of the fact that such officer is or was a director of the Company, in which event this paragraph shall not apply) in any Proceeding if a determination is reasonably and promptly made (a) by a vote of the directors who are not parties to such Proceeding, even though less than a quorum, or (b) by a committee of such directors designated by the vote of the majority of such directors, even though less than a quorum, or (c)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27" w:name="page28"/>
    <w:bookmarkEnd w:id="27"/>
    <w:p>
      <w:pPr>
        <w:ind w:left="760"/>
        <w:spacing w:after="0"/>
        <w:rPr>
          <w:sz w:val="20"/>
          <w:szCs w:val="20"/>
          <w:color w:val="auto"/>
        </w:rPr>
      </w:pPr>
      <w:r>
        <w:rPr>
          <w:rFonts w:ascii="Arial" w:cs="Arial" w:eastAsia="Arial" w:hAnsi="Arial"/>
          <w:sz w:val="20"/>
          <w:szCs w:val="20"/>
          <w:color w:val="auto"/>
        </w:rPr>
        <w:t>8.6  LIMITATION ON INDEMNIFICATION</w:t>
      </w:r>
    </w:p>
    <w:p>
      <w:pPr>
        <w:spacing w:after="0" w:line="216"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Subject to the requirements in Section 8.3 and the DGCL, the Company shall not be obligated to indemnify any person pursuant to this Article VIII in connection with any Proceeding (or any part of any Proceeding):</w:t>
      </w:r>
    </w:p>
    <w:p>
      <w:pPr>
        <w:spacing w:after="0" w:line="177" w:lineRule="exact"/>
        <w:rPr>
          <w:sz w:val="20"/>
          <w:szCs w:val="20"/>
          <w:color w:val="auto"/>
        </w:rPr>
      </w:pPr>
    </w:p>
    <w:p>
      <w:pPr>
        <w:ind w:right="40" w:firstLine="1505"/>
        <w:spacing w:after="0" w:line="260" w:lineRule="auto"/>
        <w:tabs>
          <w:tab w:leader="none" w:pos="1893" w:val="left"/>
        </w:tabs>
        <w:numPr>
          <w:ilvl w:val="0"/>
          <w:numId w:val="21"/>
        </w:numPr>
        <w:rPr>
          <w:rFonts w:ascii="Arial" w:cs="Arial" w:eastAsia="Arial" w:hAnsi="Arial"/>
          <w:sz w:val="20"/>
          <w:szCs w:val="20"/>
          <w:color w:val="auto"/>
        </w:rPr>
      </w:pPr>
      <w:r>
        <w:rPr>
          <w:rFonts w:ascii="Arial" w:cs="Arial" w:eastAsia="Arial" w:hAnsi="Arial"/>
          <w:sz w:val="20"/>
          <w:szCs w:val="20"/>
          <w:color w:val="auto"/>
        </w:rPr>
        <w:t>for which payment has actually been made to or on behalf of such person under any statute, insurance policy, indemnity provision, vote or otherwise, except with respect to any excess beyond the amount paid;</w:t>
      </w:r>
    </w:p>
    <w:p>
      <w:pPr>
        <w:spacing w:after="0" w:line="176" w:lineRule="exact"/>
        <w:rPr>
          <w:rFonts w:ascii="Arial" w:cs="Arial" w:eastAsia="Arial" w:hAnsi="Arial"/>
          <w:sz w:val="20"/>
          <w:szCs w:val="20"/>
          <w:color w:val="auto"/>
        </w:rPr>
      </w:pPr>
    </w:p>
    <w:p>
      <w:pPr>
        <w:jc w:val="both"/>
        <w:ind w:right="40" w:firstLine="1505"/>
        <w:spacing w:after="0" w:line="300" w:lineRule="auto"/>
        <w:tabs>
          <w:tab w:leader="none" w:pos="1893"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144" w:lineRule="exact"/>
        <w:rPr>
          <w:rFonts w:ascii="Arial" w:cs="Arial" w:eastAsia="Arial" w:hAnsi="Arial"/>
          <w:sz w:val="18"/>
          <w:szCs w:val="18"/>
          <w:color w:val="auto"/>
        </w:rPr>
      </w:pPr>
    </w:p>
    <w:p>
      <w:pPr>
        <w:jc w:val="both"/>
        <w:ind w:firstLine="1505"/>
        <w:spacing w:after="0"/>
        <w:tabs>
          <w:tab w:leader="none" w:pos="1893" w:val="left"/>
        </w:tabs>
        <w:numPr>
          <w:ilvl w:val="0"/>
          <w:numId w:val="21"/>
        </w:numPr>
        <w:rPr>
          <w:rFonts w:ascii="Arial" w:cs="Arial" w:eastAsia="Arial" w:hAnsi="Arial"/>
          <w:sz w:val="20"/>
          <w:szCs w:val="20"/>
          <w:color w:val="auto"/>
        </w:rPr>
      </w:pPr>
      <w:r>
        <w:rPr>
          <w:rFonts w:ascii="Arial" w:cs="Arial" w:eastAsia="Arial" w:hAnsi="Arial"/>
          <w:sz w:val="20"/>
          <w:szCs w:val="20"/>
          <w:color w:val="auto"/>
        </w:rPr>
        <w:t>for any reimbursement of the Company by such person of any bonus or other incentive-based or equity-based compensation or of any profits realized by such person from the sale of securities of the Company, as required in each case under the 1934 Act (including any such reimbursements that arise from an accounting restatement of the Company pursuant to Section 304 of the Sarbanes-Oxley Act of 2002 (the “</w:t>
      </w:r>
      <w:r>
        <w:rPr>
          <w:rFonts w:ascii="Arial" w:cs="Arial" w:eastAsia="Arial" w:hAnsi="Arial"/>
          <w:sz w:val="20"/>
          <w:szCs w:val="20"/>
          <w:b w:val="1"/>
          <w:bCs w:val="1"/>
          <w:color w:val="auto"/>
        </w:rPr>
        <w:t>Sarbanes-Oxley Act</w:t>
      </w:r>
      <w:r>
        <w:rPr>
          <w:rFonts w:ascii="Arial" w:cs="Arial" w:eastAsia="Arial" w:hAnsi="Arial"/>
          <w:sz w:val="20"/>
          <w:szCs w:val="20"/>
          <w:color w:val="auto"/>
        </w:rPr>
        <w:t>”), or the payment to the Company of profits arising from the purchase and sale by such person of securities in violation of Section 306 of the Sarbanes-Oxley Act), if such person is held liable therefor (including pursuant to any settlement arrangements);</w:t>
      </w:r>
    </w:p>
    <w:p>
      <w:pPr>
        <w:spacing w:after="0" w:line="199" w:lineRule="exact"/>
        <w:rPr>
          <w:rFonts w:ascii="Arial" w:cs="Arial" w:eastAsia="Arial" w:hAnsi="Arial"/>
          <w:sz w:val="20"/>
          <w:szCs w:val="20"/>
          <w:color w:val="auto"/>
        </w:rPr>
      </w:pPr>
    </w:p>
    <w:p>
      <w:pPr>
        <w:jc w:val="both"/>
        <w:ind w:firstLine="1505"/>
        <w:spacing w:after="0" w:line="244" w:lineRule="auto"/>
        <w:tabs>
          <w:tab w:leader="none" w:pos="1893" w:val="left"/>
        </w:tabs>
        <w:numPr>
          <w:ilvl w:val="0"/>
          <w:numId w:val="21"/>
        </w:numPr>
        <w:rPr>
          <w:rFonts w:ascii="Arial" w:cs="Arial" w:eastAsia="Arial" w:hAnsi="Arial"/>
          <w:sz w:val="20"/>
          <w:szCs w:val="20"/>
          <w:color w:val="auto"/>
        </w:rPr>
      </w:pPr>
      <w:r>
        <w:rPr>
          <w:rFonts w:ascii="Arial" w:cs="Arial" w:eastAsia="Arial" w:hAnsi="Arial"/>
          <w:sz w:val="20"/>
          <w:szCs w:val="20"/>
          <w:color w:val="auto"/>
        </w:rPr>
        <w:t>initiated by such person, including any Proceeding (or any part of any Proceeding) initiated by such person against the Company or its directors, officers, employees, agents or other indemnitees, unless (i) the Board of Directors authorized the Proceeding (or the relevant part of the Proceeding) prior to its initiation, (ii) the Company provides the indemnification, in its sole discretion, pursuant to the powers vested in the Company under applicable law, (iii) otherwise required to be made under Section 8.7 or (iv) otherwise required by applicable law; or</w:t>
      </w:r>
    </w:p>
    <w:p>
      <w:pPr>
        <w:spacing w:after="0" w:line="194" w:lineRule="exact"/>
        <w:rPr>
          <w:rFonts w:ascii="Arial" w:cs="Arial" w:eastAsia="Arial" w:hAnsi="Arial"/>
          <w:sz w:val="20"/>
          <w:szCs w:val="20"/>
          <w:color w:val="auto"/>
        </w:rPr>
      </w:pPr>
    </w:p>
    <w:p>
      <w:pPr>
        <w:ind w:left="1900" w:hanging="395"/>
        <w:spacing w:after="0"/>
        <w:tabs>
          <w:tab w:leader="none" w:pos="19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if prohibited by applicable law.</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8.7  DETERMINATION; CLAIM</w:t>
      </w:r>
    </w:p>
    <w:p>
      <w:pPr>
        <w:spacing w:after="0" w:line="216"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9"/>
          <w:szCs w:val="19"/>
          <w:color w:val="auto"/>
        </w:rPr>
        <w:t>If a claim for indemnification or advancement of expenses under this Article VIII is not paid in full within 90 days after receipt by the Company of the written request therefor, the claimant shall be entitled to an adjudication by a court of competent jurisdiction of his or her entitlement to such indemnification or advancement of expenses. The Company shall indemnify such person against any and all expenses that are actually and reasonably incurred by such person in connection with any action for indemnification or advancement of expenses from the Company under this Article VIII, to the extent such person is successful in such action, and to the extent not prohibited by law. In any such suit, the Company shall, to the fullest extent not prohibited by law, have the burden of proving that the claimant is not entitled to the requested indemnification or advancement of expenses.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8.8  NON-EXCLUSIVITY OF RIGHTS</w:t>
      </w:r>
    </w:p>
    <w:p>
      <w:pPr>
        <w:spacing w:after="0" w:line="216" w:lineRule="exact"/>
        <w:rPr>
          <w:sz w:val="20"/>
          <w:szCs w:val="20"/>
          <w:color w:val="auto"/>
        </w:rPr>
      </w:pPr>
    </w:p>
    <w:p>
      <w:pPr>
        <w:jc w:val="both"/>
        <w:ind w:firstLine="749"/>
        <w:spacing w:after="0"/>
        <w:rPr>
          <w:sz w:val="20"/>
          <w:szCs w:val="20"/>
          <w:color w:val="auto"/>
        </w:rPr>
      </w:pPr>
      <w:r>
        <w:rPr>
          <w:rFonts w:ascii="Arial" w:cs="Arial" w:eastAsia="Arial" w:hAnsi="Arial"/>
          <w:sz w:val="20"/>
          <w:szCs w:val="20"/>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w:t>
      </w:r>
    </w:p>
    <w:p>
      <w:pPr>
        <w:jc w:val="center"/>
        <w:spacing w:after="0"/>
        <w:rPr>
          <w:sz w:val="20"/>
          <w:szCs w:val="20"/>
          <w:color w:val="auto"/>
        </w:rPr>
      </w:pPr>
      <w:r>
        <w:rPr>
          <w:rFonts w:ascii="Arial" w:cs="Arial" w:eastAsia="Arial" w:hAnsi="Arial"/>
          <w:sz w:val="20"/>
          <w:szCs w:val="20"/>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28" w:name="page29"/>
    <w:bookmarkEnd w:id="28"/>
    <w:p>
      <w:pPr>
        <w:spacing w:after="0"/>
        <w:rPr>
          <w:sz w:val="20"/>
          <w:szCs w:val="20"/>
          <w:color w:val="auto"/>
        </w:rPr>
      </w:pPr>
      <w:r>
        <w:rPr>
          <w:rFonts w:ascii="Arial" w:cs="Arial" w:eastAsia="Arial" w:hAnsi="Arial"/>
          <w:sz w:val="19"/>
          <w:szCs w:val="19"/>
          <w:color w:val="auto"/>
        </w:rPr>
        <w:t>respecting indemnification and advancement of expenses, to the fullest extent not prohibited by the DGCL or other applicable law.</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8.9  INSURANCE</w:t>
      </w:r>
    </w:p>
    <w:p>
      <w:pPr>
        <w:spacing w:after="0" w:line="216"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8.10 SURVIVAL</w:t>
      </w:r>
    </w:p>
    <w:p>
      <w:pPr>
        <w:spacing w:after="0" w:line="216" w:lineRule="exact"/>
        <w:rPr>
          <w:sz w:val="20"/>
          <w:szCs w:val="20"/>
          <w:color w:val="auto"/>
        </w:rPr>
      </w:pPr>
    </w:p>
    <w:p>
      <w:pPr>
        <w:jc w:val="both"/>
        <w:ind w:firstLine="749"/>
        <w:spacing w:after="0" w:line="316" w:lineRule="auto"/>
        <w:rPr>
          <w:sz w:val="20"/>
          <w:szCs w:val="20"/>
          <w:color w:val="auto"/>
        </w:rPr>
      </w:pPr>
      <w:r>
        <w:rPr>
          <w:rFonts w:ascii="Arial" w:cs="Arial" w:eastAsia="Arial" w:hAnsi="Arial"/>
          <w:sz w:val="18"/>
          <w:szCs w:val="18"/>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8.11 EFFECT OF REPEAL OR MODIFICATION</w:t>
      </w:r>
    </w:p>
    <w:p>
      <w:pPr>
        <w:spacing w:after="0" w:line="216"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Proceeding for which indemnification or advancement of expenses is sought, unless the provision in effect at the time of such act or omission explicitly authorizes such elimination or impairment after such action or omission has occurred.</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8.12 CERTAIN DEFINITIONS</w:t>
      </w:r>
    </w:p>
    <w:p>
      <w:pPr>
        <w:spacing w:after="0" w:line="21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9"/>
          <w:szCs w:val="19"/>
          <w:color w:val="auto"/>
        </w:rPr>
        <w:t>For purposes of this Article VIII, references to the “</w:t>
      </w:r>
      <w:r>
        <w:rPr>
          <w:rFonts w:ascii="Arial" w:cs="Arial" w:eastAsia="Arial" w:hAnsi="Arial"/>
          <w:sz w:val="19"/>
          <w:szCs w:val="19"/>
          <w:b w:val="1"/>
          <w:bCs w:val="1"/>
          <w:color w:val="auto"/>
        </w:rPr>
        <w:t>Company</w:t>
      </w:r>
      <w:r>
        <w:rPr>
          <w:rFonts w:ascii="Arial" w:cs="Arial" w:eastAsia="Arial" w:hAnsi="Arial"/>
          <w:sz w:val="19"/>
          <w:szCs w:val="19"/>
          <w:color w:val="auto"/>
        </w:rPr>
        <w:t>” shall include, in addition to the resulting entity, any constituent company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entity, or is or was serving at the request of such constituent entity as a director, officer, employee or agent of another corporation, partnership, joint venture, trust or other enterprise, shall stand in the same position under the provisions of this Article VIII with respect to the resulting or surviving entity as such person would have with respect to such constituent entity if its separate existence had continued. For purposes of this Article VIII, references to “</w:t>
      </w:r>
      <w:r>
        <w:rPr>
          <w:rFonts w:ascii="Arial" w:cs="Arial" w:eastAsia="Arial" w:hAnsi="Arial"/>
          <w:sz w:val="19"/>
          <w:szCs w:val="19"/>
          <w:b w:val="1"/>
          <w:bCs w:val="1"/>
          <w:color w:val="auto"/>
        </w:rPr>
        <w:t>other enterprises</w:t>
      </w:r>
      <w:r>
        <w:rPr>
          <w:rFonts w:ascii="Arial" w:cs="Arial" w:eastAsia="Arial" w:hAnsi="Arial"/>
          <w:sz w:val="19"/>
          <w:szCs w:val="19"/>
          <w:color w:val="auto"/>
        </w:rPr>
        <w:t>” shall include employee benefit plans; references to “</w:t>
      </w:r>
      <w:r>
        <w:rPr>
          <w:rFonts w:ascii="Arial" w:cs="Arial" w:eastAsia="Arial" w:hAnsi="Arial"/>
          <w:sz w:val="19"/>
          <w:szCs w:val="19"/>
          <w:b w:val="1"/>
          <w:bCs w:val="1"/>
          <w:color w:val="auto"/>
        </w:rPr>
        <w:t>fines</w:t>
      </w:r>
      <w:r>
        <w:rPr>
          <w:rFonts w:ascii="Arial" w:cs="Arial" w:eastAsia="Arial" w:hAnsi="Arial"/>
          <w:sz w:val="19"/>
          <w:szCs w:val="19"/>
          <w:color w:val="auto"/>
        </w:rPr>
        <w:t>” shall include any excise taxes assessed on a person with respect to an employee benefit plan; and references to “</w:t>
      </w:r>
      <w:r>
        <w:rPr>
          <w:rFonts w:ascii="Arial" w:cs="Arial" w:eastAsia="Arial" w:hAnsi="Arial"/>
          <w:sz w:val="19"/>
          <w:szCs w:val="19"/>
          <w:b w:val="1"/>
          <w:bCs w:val="1"/>
          <w:color w:val="auto"/>
        </w:rPr>
        <w:t>serving at the request of the Company</w:t>
      </w:r>
      <w:r>
        <w:rPr>
          <w:rFonts w:ascii="Arial" w:cs="Arial" w:eastAsia="Arial" w:hAnsi="Arial"/>
          <w:sz w:val="19"/>
          <w:szCs w:val="19"/>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9"/>
          <w:szCs w:val="19"/>
          <w:b w:val="1"/>
          <w:bCs w:val="1"/>
          <w:color w:val="auto"/>
        </w:rPr>
        <w:t>not opposed to the best interests of</w:t>
      </w:r>
      <w:r>
        <w:rPr>
          <w:rFonts w:ascii="Arial" w:cs="Arial" w:eastAsia="Arial" w:hAnsi="Arial"/>
          <w:sz w:val="19"/>
          <w:szCs w:val="19"/>
          <w:color w:val="auto"/>
        </w:rPr>
        <w:t xml:space="preserve"> </w:t>
      </w:r>
      <w:r>
        <w:rPr>
          <w:rFonts w:ascii="Arial" w:cs="Arial" w:eastAsia="Arial" w:hAnsi="Arial"/>
          <w:sz w:val="19"/>
          <w:szCs w:val="19"/>
          <w:b w:val="1"/>
          <w:bCs w:val="1"/>
          <w:color w:val="auto"/>
        </w:rPr>
        <w:t>the Company</w:t>
      </w:r>
      <w:r>
        <w:rPr>
          <w:rFonts w:ascii="Arial" w:cs="Arial" w:eastAsia="Arial" w:hAnsi="Arial"/>
          <w:sz w:val="19"/>
          <w:szCs w:val="19"/>
          <w:color w:val="auto"/>
        </w:rPr>
        <w:t>” as referred to in this Article VIII.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29" w:name="page30"/>
    <w:bookmarkEnd w:id="29"/>
    <w:p>
      <w:pPr>
        <w:ind w:left="3960"/>
        <w:spacing w:after="0"/>
        <w:rPr>
          <w:sz w:val="20"/>
          <w:szCs w:val="20"/>
          <w:color w:val="auto"/>
        </w:rPr>
      </w:pPr>
      <w:r>
        <w:rPr>
          <w:rFonts w:ascii="Arial" w:cs="Arial" w:eastAsia="Arial" w:hAnsi="Arial"/>
          <w:sz w:val="20"/>
          <w:szCs w:val="20"/>
          <w:b w:val="1"/>
          <w:bCs w:val="1"/>
          <w:color w:val="auto"/>
        </w:rPr>
        <w:t>ARTICLE IX - GENERAL MATTERS</w:t>
      </w:r>
    </w:p>
    <w:p>
      <w:pPr>
        <w:spacing w:after="0" w:line="22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9.1  EXECUTION OF CORPORATE CONTRACTS AND INSTRUMENTS</w:t>
      </w:r>
    </w:p>
    <w:p>
      <w:pPr>
        <w:spacing w:after="0" w:line="21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8"/>
          <w:szCs w:val="18"/>
          <w:color w:val="auto"/>
        </w:rPr>
        <w:t>Except as otherwise provided by law, the certificate of incorporation or these bylaws, the Board of Directors may authorize any officer or officers, or agent or agents, or employee or employees, to enter into any contract or execute any document or instrument in the name of and on behalf of the Company; such authority may be general or confined to specific instances. Unless so authorized or ratified by the Board of Directors or within the agency power of an officer, agent or employee, no officer, agent or employee shall have any power or authority to bind the Company by any contract or engagement or to pledge its credit or to render it liable for any purpose or for any amount.</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9.2  FISCAL YEAR</w:t>
      </w:r>
    </w:p>
    <w:p>
      <w:pPr>
        <w:spacing w:after="0" w:line="216"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The fiscal year of the Company shall be fixed by resolution of the Board of Directors and may be changed by the Board of Directors.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9.3  SEAL</w:t>
      </w:r>
    </w:p>
    <w:p>
      <w:pPr>
        <w:spacing w:after="0" w:line="216"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8"/>
          <w:szCs w:val="18"/>
          <w:color w:val="auto"/>
        </w:rPr>
        <w:t>The Company may adopt a corporate seal, which shall be adopted and which may be altered by the Board of Directors. The Company may use the corporate seal by causing it or a facsimile thereof to be impressed or affixed or in any other manner reproduced.</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9.4  CONSTRUCTION; DEFINITIONS</w:t>
      </w:r>
    </w:p>
    <w:p>
      <w:pPr>
        <w:spacing w:after="0" w:line="21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Arial" w:cs="Arial" w:eastAsia="Arial" w:hAnsi="Arial"/>
          <w:sz w:val="20"/>
          <w:szCs w:val="20"/>
          <w:b w:val="1"/>
          <w:bCs w:val="1"/>
          <w:color w:val="auto"/>
        </w:rPr>
        <w:t>person</w:t>
      </w:r>
      <w:r>
        <w:rPr>
          <w:rFonts w:ascii="Arial" w:cs="Arial" w:eastAsia="Arial" w:hAnsi="Arial"/>
          <w:sz w:val="20"/>
          <w:szCs w:val="20"/>
          <w:color w:val="auto"/>
        </w:rPr>
        <w:t>”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9.5  FORUM SELECTION</w:t>
      </w:r>
    </w:p>
    <w:p>
      <w:pPr>
        <w:spacing w:after="0" w:line="216"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Unless the Company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(a) any derivative action or proceeding brought on behalf of the Company, (b) any action asserting a claim of breach of a fiduciary duty owed by any director, stockholder, officer or other employee of the Company to the Company or the Company’s stockholders, (c) any action arising pursuant to any provision of the DGCL or the certificate of incorporation or these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178" w:lineRule="exact"/>
        <w:rPr>
          <w:sz w:val="20"/>
          <w:szCs w:val="20"/>
          <w:color w:val="auto"/>
        </w:rPr>
      </w:pPr>
    </w:p>
    <w:p>
      <w:pPr>
        <w:jc w:val="both"/>
        <w:ind w:firstLine="749"/>
        <w:spacing w:after="0"/>
        <w:rPr>
          <w:sz w:val="20"/>
          <w:szCs w:val="20"/>
          <w:color w:val="auto"/>
        </w:rPr>
      </w:pPr>
      <w:r>
        <w:rPr>
          <w:rFonts w:ascii="Arial" w:cs="Arial" w:eastAsia="Arial" w:hAnsi="Arial"/>
          <w:sz w:val="20"/>
          <w:szCs w:val="20"/>
          <w:color w:val="auto"/>
        </w:rPr>
        <w:t>Unless the Company consents in writing to the selection of an alternative forum, the federal district courts of the United States of America shall be the sole and exclusive forum for the resolution of any complaint asserting a cause of action arising under the Securities Act of 1933, as amended, against any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30" w:name="page31"/>
    <w:bookmarkEnd w:id="30"/>
    <w:p>
      <w:pPr>
        <w:jc w:val="both"/>
        <w:spacing w:after="0" w:line="260" w:lineRule="auto"/>
        <w:rPr>
          <w:sz w:val="20"/>
          <w:szCs w:val="20"/>
          <w:color w:val="auto"/>
        </w:rPr>
      </w:pPr>
      <w:r>
        <w:rPr>
          <w:rFonts w:ascii="Arial" w:cs="Arial" w:eastAsia="Arial" w:hAnsi="Arial"/>
          <w:sz w:val="20"/>
          <w:szCs w:val="20"/>
          <w:color w:val="auto"/>
        </w:rPr>
        <w:t>person in connection with any offering of the Company’s securities, including, without limitation and for the avoidance of doubt, any auditor, underwriter, expert, control person or other defendant.</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Any person or entity purchasing, holding or otherwise acquiring any interest in any security of the Company shall be deemed to have notice of and consented to the provisions of this Section 9.5. This provision shall be enforceable by any party to a complaint covered by the provisions of this Section 9.5. For the avoidance of doubt, nothing contained in this Section 9.5 shall apply to any action brought to enforce a duty or liability created by the 1934 Act or any successor thereto.</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 - AMENDMENTS</w:t>
      </w:r>
    </w:p>
    <w:p>
      <w:pPr>
        <w:spacing w:after="0" w:line="22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color w:val="auto"/>
        </w:rPr>
        <w:t>These bylaws may be adopted, amended or repealed by the stockholders entitled to vote; provided, however, that the affirmative vote of the holders of at least 66 2/3% of the total voting power of outstanding voting securities, voting together as a single class, shall be required for the stockholders of the Company to alter, amend or repeal, or adopt any bylaw inconsistent with, the following provisions of these bylaws: Article II, Sections 3.1, 3.2, 3.4 and 3.11 of Article III, Article VIII, Section 9.5 of Article IX or this Article X (including, without limitation, any such Article or Section as renumbered as a result of any amendment, alteration, change, repeal, or adoption of any other Bylaw). The Board of Directors shall also have the power to adopt, amend or repeal bylaws; provided, however, that a bylaw amendment adopted by stockholders which specifies the votes that shall be necessary for the election of directors shall not be further amended or repealed by the Board of Directors.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1"/>
    </w:lvl>
    <w:lvl w:ilvl="1">
      <w:lvlJc w:val="left"/>
      <w:lvlText w:val="-"/>
      <w:numFmt w:val="bullet"/>
      <w:start w:val="1"/>
    </w:lvl>
  </w:abstractNum>
  <w:abstractNum w:abstractNumId="2">
    <w:nsid w:val="66EF438D"/>
    <w:multiLevelType w:val="hybridMultilevel"/>
    <w:lvl w:ilvl="0">
      <w:lvlJc w:val="left"/>
      <w:lvlText w:val="(%1)"/>
      <w:numFmt w:val="lowerLetter"/>
      <w:start w:val="2"/>
    </w:lvl>
  </w:abstractNum>
  <w:abstractNum w:abstractNumId="3">
    <w:nsid w:val="140E0F7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
    <w:nsid w:val="3352255A"/>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5">
    <w:nsid w:val="109CF92E"/>
    <w:multiLevelType w:val="hybridMultilevel"/>
    <w:lvl w:ilvl="0">
      <w:lvlJc w:val="left"/>
      <w:lvlText w:val="%1"/>
      <w:numFmt w:val="decimal"/>
      <w:start w:val="1"/>
    </w:lvl>
    <w:lvl w:ilvl="1">
      <w:lvlJc w:val="left"/>
      <w:lvlText w:val="(%2)"/>
      <w:numFmt w:val="upperLetter"/>
      <w:start w:val="2"/>
    </w:lvl>
    <w:lvl w:ilvl="2">
      <w:lvlJc w:val="left"/>
      <w:lvlText w:val="-"/>
      <w:numFmt w:val="bullet"/>
      <w:start w:val="1"/>
    </w:lvl>
  </w:abstractNum>
  <w:abstractNum w:abstractNumId="6">
    <w:nsid w:val="DED7263"/>
    <w:multiLevelType w:val="hybridMultilevel"/>
    <w:lvl w:ilvl="0">
      <w:lvlJc w:val="left"/>
      <w:lvlText w:val="(%1)"/>
      <w:numFmt w:val="decimal"/>
      <w:start w:val="2"/>
    </w:lvl>
    <w:lvl w:ilvl="1">
      <w:lvlJc w:val="left"/>
      <w:lvlText w:val="(%2)"/>
      <w:numFmt w:val="upperLetter"/>
      <w:start w:val="1"/>
    </w:lvl>
    <w:lvl w:ilvl="2">
      <w:lvlJc w:val="left"/>
      <w:lvlText w:val="-"/>
      <w:numFmt w:val="bullet"/>
      <w:start w:val="1"/>
    </w:lvl>
  </w:abstractNum>
  <w:abstractNum w:abstractNumId="7">
    <w:nsid w:val="7FDCC233"/>
    <w:multiLevelType w:val="hybridMultilevel"/>
    <w:lvl w:ilvl="0">
      <w:lvlJc w:val="left"/>
      <w:lvlText w:val="%1"/>
      <w:numFmt w:val="decimal"/>
      <w:start w:val="1"/>
    </w:lvl>
    <w:lvl w:ilvl="1">
      <w:lvlJc w:val="left"/>
      <w:lvlText w:val="(%2)"/>
      <w:numFmt w:val="upperLetter"/>
      <w:start w:val="2"/>
    </w:lvl>
    <w:lvl w:ilvl="2">
      <w:lvlJc w:val="left"/>
      <w:lvlText w:val="-"/>
      <w:numFmt w:val="bullet"/>
      <w:start w:val="1"/>
    </w:lvl>
  </w:abstractNum>
  <w:abstractNum w:abstractNumId="8">
    <w:nsid w:val="1BEFD79F"/>
    <w:multiLevelType w:val="hybridMultilevel"/>
    <w:lvl w:ilvl="0">
      <w:lvlJc w:val="left"/>
      <w:lvlText w:val="(%1)"/>
      <w:numFmt w:val="decimal"/>
      <w:start w:val="3"/>
    </w:lvl>
    <w:lvl w:ilvl="1">
      <w:lvlJc w:val="left"/>
      <w:lvlText w:val="(%2)"/>
      <w:numFmt w:val="upperLetter"/>
      <w:start w:val="1"/>
    </w:lvl>
    <w:lvl w:ilvl="2">
      <w:lvlJc w:val="left"/>
      <w:lvlText w:val="-"/>
      <w:numFmt w:val="bullet"/>
      <w:start w:val="1"/>
    </w:lvl>
  </w:abstractNum>
  <w:abstractNum w:abstractNumId="9">
    <w:nsid w:val="41A7C4C9"/>
    <w:multiLevelType w:val="hybridMultilevel"/>
    <w:lvl w:ilvl="0">
      <w:lvlJc w:val="left"/>
      <w:lvlText w:val="(%1)"/>
      <w:numFmt w:val="upperLetter"/>
      <w:start w:val="6"/>
    </w:lvl>
    <w:lvl w:ilvl="1">
      <w:lvlJc w:val="left"/>
      <w:lvlText w:val="-"/>
      <w:numFmt w:val="bullet"/>
      <w:start w:val="1"/>
    </w:lvl>
  </w:abstractNum>
  <w:abstractNum w:abstractNumId="10">
    <w:nsid w:val="6B68079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5"/>
    </w:lvl>
    <w:lvl w:ilvl="3">
      <w:lvlJc w:val="left"/>
      <w:lvlText w:val="-"/>
      <w:numFmt w:val="bullet"/>
      <w:start w:val="1"/>
    </w:lvl>
  </w:abstractNum>
  <w:abstractNum w:abstractNumId="11">
    <w:nsid w:val="4E6AFB66"/>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
      <w:numFmt w:val="bullet"/>
      <w:start w:val="1"/>
    </w:lvl>
  </w:abstractNum>
  <w:abstractNum w:abstractNumId="12">
    <w:nsid w:val="25E45D3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3">
    <w:nsid w:val="519B500D"/>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decimal"/>
      <w:start w:val="1"/>
    </w:lvl>
    <w:lvl w:ilvl="4">
      <w:lvlJc w:val="left"/>
      <w:lvlText w:val="-"/>
      <w:numFmt w:val="bullet"/>
      <w:start w:val="1"/>
    </w:lvl>
  </w:abstractNum>
  <w:abstractNum w:abstractNumId="14">
    <w:nsid w:val="431BD7B7"/>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
      <w:numFmt w:val="bullet"/>
      <w:start w:val="1"/>
    </w:lvl>
  </w:abstractNum>
  <w:abstractNum w:abstractNumId="15">
    <w:nsid w:val="3F2DBA31"/>
    <w:multiLevelType w:val="hybridMultilevel"/>
    <w:lvl w:ilvl="0">
      <w:lvlJc w:val="left"/>
      <w:lvlText w:val="(%1)"/>
      <w:numFmt w:val="lowerRoman"/>
      <w:start w:val="2"/>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1"/>
    </w:lvl>
    <w:lvl w:ilvl="1">
      <w:lvlJc w:val="left"/>
      <w:lvlText w:val="-"/>
      <w:numFmt w:val="bullet"/>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2022-11-18T15:16:35Z</dcterms:created>
  <dcterms:modified xsi:type="dcterms:W3CDTF">2022-11-18T15:16:35Z</dcterms:modified>
</cp:coreProperties>
</file>