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Holles Natalie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LeonaBio,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LEONABIO, INC.</w:t>
      </w:r>
    </w:p>
    <w:p>
      <w:pPr>
        <w:spacing w:after="0" w:line="70"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18706 NORTH CREEK PARKWAY, SUITE 104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BOTHELL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Mark Worthington,</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0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Natalie C. Holles</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Mark Worthington, Robert Renninger, Vieng Keophilavanh, Barbara Mery, and each of the responsible attorneys and paralegals of Wilson Sonsini Goodrich &amp; Rosati, Professional Corporation, the undersigned’s true and lawful attorney-in-fact to:</w:t>
      </w:r>
    </w:p>
    <w:p>
      <w:pPr>
        <w:spacing w:after="0" w:line="218" w:lineRule="exact"/>
        <w:rPr>
          <w:sz w:val="20"/>
          <w:szCs w:val="20"/>
          <w:color w:val="auto"/>
        </w:rPr>
      </w:pPr>
    </w:p>
    <w:p>
      <w:pPr>
        <w:jc w:val="both"/>
        <w:ind w:left="1080" w:hanging="360"/>
        <w:spacing w:after="0" w:line="241"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LeonaBio, Inc. (the “Company”), Form ID, Update Passphrase Acknowledgment, Schedules 13D and 13G, Forms 3, 4 and 5 and amendments thereto in accordance with Section 16(a) of the Securities Exchange Act of 1934, as amended (the “Exchange Act”), and the rules thereunder, and Form 144 and amendments thereto in accordance with Rule 144 promulgated under the Securities Act of 1933, as amended (the “Securities Act”);</w:t>
      </w:r>
    </w:p>
    <w:p>
      <w:pPr>
        <w:spacing w:after="0" w:line="228"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ID, Update Passphrase Acknowledgment, Form 144, Schedules 13D and 13G, and Forms 3, 4 and 5 and amendments thereto and timely file such form with the United States Securities and Exchange Commission and any stock exchange or similar authority.</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36"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serve as the undersigned’s “account administrator” pursuant to the Electronic Data Gathering, Analysis, and Retrieval system (“</w:t>
      </w:r>
      <w:r>
        <w:rPr>
          <w:rFonts w:ascii="Times New Roman" w:cs="Times New Roman" w:eastAsia="Times New Roman" w:hAnsi="Times New Roman"/>
          <w:sz w:val="24"/>
          <w:szCs w:val="24"/>
          <w:b w:val="1"/>
          <w:bCs w:val="1"/>
          <w:color w:val="auto"/>
        </w:rPr>
        <w:t>EDGAR</w:t>
      </w:r>
      <w:r>
        <w:rPr>
          <w:rFonts w:ascii="Times New Roman" w:cs="Times New Roman" w:eastAsia="Times New Roman" w:hAnsi="Times New Roman"/>
          <w:sz w:val="24"/>
          <w:szCs w:val="24"/>
          <w:color w:val="auto"/>
        </w:rPr>
        <w:t>”) of the U.S. Securities and Exchange Commission, which role includes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16"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w:t>
      </w:r>
    </w:p>
    <w:p>
      <w:pPr>
        <w:spacing w:after="0" w:line="229" w:lineRule="exact"/>
        <w:rPr>
          <w:sz w:val="20"/>
          <w:szCs w:val="20"/>
          <w:color w:val="auto"/>
        </w:rPr>
      </w:pPr>
    </w:p>
    <w:p>
      <w:pPr>
        <w:jc w:val="both"/>
        <w:ind w:left="360"/>
        <w:spacing w:after="0" w:line="231"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agents, and account administrators shall do or cause to be done by virtue hereof. The undersigned acknowledges that the foregoing attorneys-in-fact, in serving in such capacity at the request of the undersigned, are not assuming (i) any of the undersigned’s responsibilities to comply with the Securities Exchange Act of 1934 (as amended) (the “</w:t>
      </w:r>
      <w:r>
        <w:rPr>
          <w:rFonts w:ascii="Times New Roman" w:cs="Times New Roman" w:eastAsia="Times New Roman" w:hAnsi="Times New Roman"/>
          <w:sz w:val="24"/>
          <w:szCs w:val="24"/>
          <w:b w:val="1"/>
          <w:bCs w:val="1"/>
          <w:color w:val="auto"/>
        </w:rPr>
        <w:t>Exchange Act</w:t>
      </w:r>
      <w:r>
        <w:rPr>
          <w:rFonts w:ascii="Times New Roman" w:cs="Times New Roman" w:eastAsia="Times New Roman" w:hAnsi="Times New Roman"/>
          <w:sz w:val="24"/>
          <w:szCs w:val="24"/>
          <w:color w:val="auto"/>
        </w:rPr>
        <w:t>”), (ii) any liability of the undersigned for failure to comply with such requirements, or</w:t>
      </w:r>
    </w:p>
    <w:p>
      <w:pPr>
        <w:spacing w:after="0" w:line="3" w:lineRule="exact"/>
        <w:rPr>
          <w:sz w:val="20"/>
          <w:szCs w:val="20"/>
          <w:color w:val="auto"/>
        </w:rPr>
      </w:pPr>
    </w:p>
    <w:p>
      <w:pPr>
        <w:ind w:left="360" w:right="20"/>
        <w:spacing w:after="0" w:line="235" w:lineRule="auto"/>
        <w:tabs>
          <w:tab w:leader="none" w:pos="845"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earlier to occur of the following:</w:t>
      </w:r>
    </w:p>
    <w:p>
      <w:pPr>
        <w:spacing w:after="0" w:line="20" w:lineRule="exact"/>
        <w:rPr>
          <w:sz w:val="20"/>
          <w:szCs w:val="20"/>
          <w:color w:val="auto"/>
        </w:rPr>
      </w:pPr>
    </w:p>
    <w:p>
      <w:pPr>
        <w:ind w:right="40"/>
        <w:spacing w:after="0" w:line="237" w:lineRule="auto"/>
        <w:tabs>
          <w:tab w:leader="none" w:pos="287"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date on which the undersigned is no longer required to file Form ID, Update Passphrase Acknowledgment, Form 144, Schedules 13D and 13G, Forms 3, 4 and 5 and amendments thereto with respect to the undersigned’s holdings of and transactions in securities issued by LeonaBio, Inc.; (ii) the date on which the applicable account administrator is removed as an account administrator on the undersigned’s EDGAR account; or (iii) the date on which this Limited Power of Attorney is revoked by the undersigned in a writing delivered to the applicable foregoing attorney-in-fact.</w:t>
      </w:r>
    </w:p>
    <w:p>
      <w:pPr>
        <w:spacing w:after="0" w:line="23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May 6, 2026.</w:t>
      </w:r>
    </w:p>
    <w:p>
      <w:pPr>
        <w:spacing w:after="0" w:line="328" w:lineRule="exact"/>
        <w:rPr>
          <w:sz w:val="20"/>
          <w:szCs w:val="20"/>
          <w:color w:val="auto"/>
        </w:rPr>
      </w:pPr>
    </w:p>
    <w:tbl>
      <w:tblPr>
        <w:tblLayout w:type="fixed"/>
        <w:tblInd w:w="478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Natalie C. Holles</w:t>
            </w:r>
          </w:p>
        </w:tc>
      </w:tr>
      <w:tr>
        <w:trPr>
          <w:trHeight w:val="47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Natalie C. Holles</w:t>
            </w:r>
          </w:p>
        </w:tc>
      </w:tr>
    </w:tbl>
    <w:p>
      <w:pPr>
        <w:spacing w:after="0" w:line="1" w:lineRule="exact"/>
        <w:rPr>
          <w:sz w:val="20"/>
          <w:szCs w:val="20"/>
          <w:color w:val="auto"/>
        </w:rPr>
      </w:pPr>
    </w:p>
    <w:sectPr>
      <w:pgSz w:w="11900" w:h="16838" w:orient="portrait"/>
      <w:cols w:equalWidth="0" w:num="1">
        <w:col w:w="10940"/>
      </w:cols>
      <w:pgMar w:left="480" w:top="644" w:right="479" w:bottom="7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80111"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2026-05-07T19:24:39Z</dcterms:created>
  <dcterms:modified xsi:type="dcterms:W3CDTF">2026-05-07T19:24:39Z</dcterms:modified>
</cp:coreProperties>
</file>