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tha-20240503.htm"/>
      <w:bookmarkStart w:id="1" w:name="ksatha20240503"/>
      <w:bookmarkEnd w:id="0"/>
      <w:bookmarkEnd w:id="1"/>
      <w:r>
        <w:rPr/>
        <w: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bookmarkStart w:id="2" w:name="agm_results"/>
      <w:bookmarkEnd w:id="2"/>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May 3, 2024</w:t>
      </w:r>
    </w:p>
    <w:p>
      <w:pPr>
        <w:pStyle w:val="TextBody"/>
        <w:pBdr>
          <w:bottom w:val="single" w:sz="4" w:space="1" w:color="000000"/>
        </w:pBdr>
        <w:bidi w:val="0"/>
        <w:jc w:val="center"/>
        <w:rPr/>
      </w:pPr>
      <w:r>
        <w:rPr/>
        <w:t> </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Athira Pharma,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4623" w:type="dxa"/>
        <w:jc w:val="left"/>
        <w:tblInd w:w="0" w:type="dxa"/>
        <w:tblLayout w:type="fixed"/>
        <w:tblCellMar>
          <w:top w:w="28" w:type="dxa"/>
          <w:left w:w="28" w:type="dxa"/>
          <w:bottom w:w="28" w:type="dxa"/>
          <w:right w:w="28" w:type="dxa"/>
        </w:tblCellMar>
      </w:tblPr>
      <w:tblGrid>
        <w:gridCol w:w="2071"/>
        <w:gridCol w:w="106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Delaware</w:t>
            </w:r>
          </w:p>
        </w:tc>
        <w:tc>
          <w:tcPr>
            <w:tcW w:w="106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001-39503</w:t>
            </w:r>
          </w:p>
        </w:tc>
        <w:tc>
          <w:tcPr>
            <w:tcW w:w="1486" w:type="dxa"/>
            <w:tcBorders/>
            <w:tcMar>
              <w:top w:w="0" w:type="dxa"/>
              <w:left w:w="0" w:type="dxa"/>
              <w:bottom w:w="0" w:type="dxa"/>
              <w:righ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45-3368487</w:t>
            </w:r>
          </w:p>
        </w:tc>
      </w:tr>
      <w:tr>
        <w:trPr/>
        <w:tc>
          <w:tcPr>
            <w:tcW w:w="2071"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4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18706 North Creek Parkway, Suite 104</w:t>
        <w:br/>
        <w:t>Bothell, WA</w:t>
      </w:r>
      <w:r>
        <w:rPr>
          <w:rFonts w:ascii="Times New Roman" w:hAnsi="Times New Roman"/>
          <w:color w:val="000000"/>
          <w:sz w:val="20"/>
        </w:rPr>
        <w:t xml:space="preserve"> </w:t>
      </w:r>
      <w:r>
        <w:rPr>
          <w:rFonts w:ascii="Times New Roman" w:hAnsi="Times New Roman"/>
          <w:b/>
          <w:color w:val="000000"/>
          <w:sz w:val="20"/>
        </w:rPr>
        <w:t>98011</w:t>
      </w:r>
    </w:p>
    <w:p>
      <w:pPr>
        <w:pStyle w:val="TextBody"/>
        <w:bidi w:val="0"/>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(425) 620-8501</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058" w:type="dxa"/>
        <w:jc w:val="left"/>
        <w:tblInd w:w="0" w:type="dxa"/>
        <w:tblLayout w:type="fixed"/>
        <w:tblCellMar>
          <w:top w:w="28" w:type="dxa"/>
          <w:left w:w="28" w:type="dxa"/>
          <w:bottom w:w="28" w:type="dxa"/>
          <w:right w:w="28" w:type="dxa"/>
        </w:tblCellMar>
      </w:tblPr>
      <w:tblGrid>
        <w:gridCol w:w="3286"/>
        <w:gridCol w:w="145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ATHA</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The Nasdaq Stock Market LLC</w:t>
            </w:r>
            <w:r>
              <w:rPr>
                <w:rFonts w:ascii="Times New Roman" w:hAnsi="Times New Roman"/>
                <w:color w:val="000000"/>
                <w:sz w:val="20"/>
              </w:rPr>
              <w:t> </w:t>
            </w:r>
            <w:r>
              <w:rPr>
                <w:rFonts w:ascii="Times New Roman" w:hAnsi="Times New Roman"/>
                <w:color w:val="000000"/>
                <w:sz w:val="18"/>
              </w:rPr>
              <w:br/>
              <w:t>(The Nasdaq Global Select Market)</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2762" w:type="dxa"/>
        <w:jc w:val="left"/>
        <w:tblInd w:w="0" w:type="dxa"/>
        <w:tblLayout w:type="fixed"/>
        <w:tblCellMar>
          <w:top w:w="28" w:type="dxa"/>
          <w:left w:w="28" w:type="dxa"/>
          <w:bottom w:w="28" w:type="dxa"/>
          <w:right w:w="28" w:type="dxa"/>
        </w:tblCellMar>
      </w:tblPr>
      <w:tblGrid>
        <w:gridCol w:w="2401"/>
        <w:gridCol w:w="361"/>
      </w:tblGrid>
      <w:tr>
        <w:trPr/>
        <w:tc>
          <w:tcPr>
            <w:tcW w:w="24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3, 2024, the United States District Court for the Western District of Washington (the “Court”) issued an order (the “Order”) providing for preliminary approval of a proposed settlement of the claims asserted nominally on behalf of Athira Pharma, Inc. (the “Company”) against the individual defendants named in the previously disclosed stockholder derivative actions entitled Bushansky v. Kawas et al., No. 2:22-cv-497 and Houlihan v. Kawas et al., No. 2:22-cv-620, pending before the Court in accordance with the Stipulation of Settlement and Release Agreement, dated March 15, 2024 (the “Stipulation”). The proposed settlement calls for the Company to adopt certain corporate governance reforms and pay lead plaintiffs’ attorney’s fees, litigation expenses, and lead plaintiff service awards. The Order set a final approval hearing for Thursday, July 18, 2024, at 10:30 am.</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required by the Order, the Company issued a press release providing notice of the Order, a copy of which is attached as Exhibit 99.1. The Company has also posted the (i) Zoom meeting information for the final approval hearing scheduled for July 18, 2024 at 10:30 a.m., (ii) a copy of the Stipulation, (iii) the Summary Notice of Proposed Settlement of Stockholder Derivative Action, and (iv) the Notice of Proposed Settlement of Derivative Actions, Final Approval Hearing, and Right to Appear, to the Investor Relations section of the Company’s website, which can be found at </w:t>
      </w:r>
      <w:r>
        <w:rPr>
          <w:rFonts w:ascii="Times New Roman" w:hAnsi="Times New Roman"/>
          <w:sz w:val="20"/>
        </w:rPr>
        <w:t>http://investors.athira.com/</w:t>
      </w:r>
      <w:r>
        <w:rPr>
          <w:rFonts w:ascii="Times New Roman" w:hAnsi="Times New Roman"/>
          <w:color w:val="000000"/>
          <w:sz w:val="20"/>
        </w:rPr>
        <w: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t> </w:t>
      </w:r>
    </w:p>
    <w:tbl>
      <w:tblPr>
        <w:tblW w:w="6118" w:type="dxa"/>
        <w:jc w:val="left"/>
        <w:tblInd w:w="0" w:type="dxa"/>
        <w:tblLayout w:type="fixed"/>
        <w:tblCellMar>
          <w:top w:w="28" w:type="dxa"/>
          <w:left w:w="28" w:type="dxa"/>
          <w:bottom w:w="28" w:type="dxa"/>
          <w:right w:w="28" w:type="dxa"/>
        </w:tblCellMar>
      </w:tblPr>
      <w:tblGrid>
        <w:gridCol w:w="946"/>
        <w:gridCol w:w="146"/>
        <w:gridCol w:w="5026"/>
      </w:tblGrid>
      <w:tr>
        <w:trPr/>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9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502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pPr>
            <w:hyperlink w:anchor="atha-ex99_1.htm">
              <w:r>
                <w:rPr>
                  <w:rStyle w:val="InternetLink"/>
                  <w:rFonts w:ascii="Times New Roman" w:hAnsi="Times New Roman"/>
                  <w:color w:val="0000FF"/>
                  <w:sz w:val="20"/>
                  <w:u w:val="single"/>
                </w:rPr>
                <w:t>Athira Pharma, Inc. press release dated May 17, 2024</w:t>
              </w:r>
            </w:hyperlink>
          </w:p>
        </w:tc>
      </w:tr>
      <w:tr>
        <w:trPr/>
        <w:tc>
          <w:tcPr>
            <w:tcW w:w="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2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w:t>
            </w:r>
          </w:p>
        </w:tc>
      </w:tr>
    </w:tbl>
    <w:p>
      <w:pPr>
        <w:pStyle w:val="TextBody"/>
        <w:bidi w:val="0"/>
        <w:jc w:val="left"/>
        <w:rPr/>
      </w:pPr>
      <w:r>
        <w:rPr/>
        <w:t> </w:t>
      </w:r>
    </w:p>
    <w:p>
      <w:pPr>
        <w:pStyle w:val="TextBody"/>
        <w:bidi w:val="0"/>
        <w:spacing w:before="40" w:after="283"/>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419" w:type="dxa"/>
        <w:jc w:val="left"/>
        <w:tblInd w:w="0" w:type="dxa"/>
        <w:tblLayout w:type="fixed"/>
        <w:tblCellMar>
          <w:top w:w="28" w:type="dxa"/>
          <w:left w:w="28" w:type="dxa"/>
          <w:bottom w:w="28" w:type="dxa"/>
          <w:right w:w="28" w:type="dxa"/>
        </w:tblCellMar>
      </w:tblPr>
      <w:tblGrid>
        <w:gridCol w:w="556"/>
        <w:gridCol w:w="1246"/>
        <w:gridCol w:w="406"/>
        <w:gridCol w:w="321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Athira Pharma,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May 17, 2024</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Calibri;sans-serif" w:hAnsi="Calibri;sans-serif"/>
          <w:b/>
          <w:color w:val="000000"/>
          <w:sz w:val="22"/>
        </w:rPr>
      </w:pPr>
      <w:bookmarkStart w:id="3" w:name="atha-ex99_1.htm"/>
      <w:bookmarkStart w:id="4" w:name="ksathaex99_1"/>
      <w:bookmarkEnd w:id="3"/>
      <w:bookmarkEnd w:id="4"/>
      <w:r>
        <w:rPr>
          <w:rFonts w:ascii="Calibri;sans-serif" w:hAnsi="Calibri;sans-serif"/>
          <w:b/>
          <w:color w:val="000000"/>
          <w:sz w:val="22"/>
        </w:rPr>
        <w:t>Exhibit 99.1</w:t>
      </w:r>
      <w:r>
        <w:br w:type="page"/>
      </w:r>
    </w:p>
    <w:p>
      <w:pPr>
        <w:pStyle w:val="TextBody"/>
        <w:bidi w:val="0"/>
        <w:jc w:val="center"/>
        <w:rPr/>
      </w:pPr>
      <w:r>
        <w:rPr/>
        <w:drawing>
          <wp:inline distT="0" distB="0" distL="0" distR="0">
            <wp:extent cx="1657350"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819150"/>
                    </a:xfrm>
                    <a:prstGeom prst="rect">
                      <a:avLst/>
                    </a:prstGeom>
                  </pic:spPr>
                </pic:pic>
              </a:graphicData>
            </a:graphic>
          </wp:inline>
        </w:drawing>
      </w:r>
      <w:r>
        <w:rPr/>
        <w:t> </w:t>
      </w:r>
    </w:p>
    <w:p>
      <w:pPr>
        <w:pStyle w:val="TextBody"/>
        <w:bidi w:val="0"/>
        <w:jc w:val="center"/>
        <w:rPr/>
      </w:pPr>
      <w:r>
        <w:rPr/>
        <w:t> </w:t>
      </w:r>
    </w:p>
    <w:p>
      <w:pPr>
        <w:pStyle w:val="TextBody"/>
        <w:bidi w:val="0"/>
        <w:jc w:val="center"/>
        <w:rPr>
          <w:rFonts w:ascii="Times New Roman" w:hAnsi="Times New Roman"/>
          <w:sz w:val="20"/>
        </w:rPr>
      </w:pPr>
      <w:r>
        <w:rPr>
          <w:rFonts w:ascii="Calibri;sans-serif" w:hAnsi="Calibri;sans-serif"/>
          <w:b/>
          <w:color w:val="000000"/>
          <w:sz w:val="28"/>
        </w:rPr>
        <w:t>Athira Pharma Announces Proposed Settlement of Stockholder Derivative Action</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Calibri;sans-serif" w:hAnsi="Calibri;sans-serif"/>
          <w:b/>
          <w:color w:val="000000"/>
          <w:sz w:val="22"/>
        </w:rPr>
        <w:t>BOTHELL, WA, May 17, 2024</w:t>
      </w:r>
      <w:r>
        <w:rPr>
          <w:rFonts w:ascii="Times New Roman" w:hAnsi="Times New Roman"/>
          <w:color w:val="000000"/>
          <w:sz w:val="20"/>
        </w:rPr>
        <w:t xml:space="preserve"> — </w:t>
      </w:r>
      <w:r>
        <w:rPr>
          <w:rFonts w:ascii="Calibri;sans-serif" w:hAnsi="Calibri;sans-serif"/>
          <w:sz w:val="22"/>
        </w:rPr>
        <w:t>Athira Pharma, Inc.</w:t>
      </w:r>
      <w:r>
        <w:rPr>
          <w:rFonts w:ascii="Times New Roman" w:hAnsi="Times New Roman"/>
          <w:color w:val="000000"/>
          <w:sz w:val="20"/>
        </w:rPr>
        <w:t xml:space="preserve"> </w:t>
      </w:r>
      <w:r>
        <w:rPr>
          <w:rFonts w:ascii="Calibri;sans-serif" w:hAnsi="Calibri;sans-serif"/>
          <w:color w:val="000000"/>
          <w:sz w:val="22"/>
        </w:rPr>
        <w:t xml:space="preserve">(NASDAQ: ATHA), a late clinical-stage biopharmaceutical company focused on developing small molecules to restore neuronal health and slow neurodegeneration, today announced that the U.S. District Court for the Western District of Washington issued an order providing for preliminary approval of a proposed settlement of the claims asserted nominally on behalf of Athira against the individual defendants named in the previously disclosed stockholder derivative actions entitled </w:t>
      </w:r>
      <w:r>
        <w:rPr>
          <w:rFonts w:ascii="Calibri;sans-serif" w:hAnsi="Calibri;sans-serif"/>
          <w:i/>
          <w:color w:val="000000"/>
          <w:sz w:val="22"/>
        </w:rPr>
        <w:t>Bushansky v. Kawas et al.</w:t>
      </w:r>
      <w:r>
        <w:rPr>
          <w:rFonts w:ascii="Calibri;sans-serif" w:hAnsi="Calibri;sans-serif"/>
          <w:color w:val="000000"/>
          <w:sz w:val="22"/>
        </w:rPr>
        <w:t xml:space="preserve">, No. 2:22-cv-497 and </w:t>
      </w:r>
      <w:r>
        <w:rPr>
          <w:rFonts w:ascii="Calibri;sans-serif" w:hAnsi="Calibri;sans-serif"/>
          <w:i/>
          <w:color w:val="000000"/>
          <w:sz w:val="22"/>
        </w:rPr>
        <w:t>Houlihan v. Kawas et al</w:t>
      </w:r>
      <w:r>
        <w:rPr>
          <w:rFonts w:ascii="Calibri;sans-serif" w:hAnsi="Calibri;sans-serif"/>
          <w:color w:val="000000"/>
          <w:sz w:val="22"/>
        </w:rPr>
        <w:t>., No. 2:22-cv-620, pending before the court. The proposed settlement calls for Athira to adopt certain corporate governance reforms and pay lead plaintiffs’ attorney’s fees, litigation expenses, and lead plaintiff service awards.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color w:val="000000"/>
          <w:sz w:val="22"/>
        </w:rPr>
        <w:t>The order set a final approval hearing for Thursday, July 18, 2024, at 10:30 am. As required by the order, the following materials have been posted to the Investor Relations section of Athira’s website (</w:t>
      </w:r>
      <w:r>
        <w:rPr>
          <w:rFonts w:ascii="Calibri;sans-serif" w:hAnsi="Calibri;sans-serif"/>
          <w:sz w:val="22"/>
        </w:rPr>
        <w:t>http://investors.athira.com/</w:t>
      </w:r>
      <w:r>
        <w:rPr>
          <w:rFonts w:ascii="Calibri;sans-serif" w:hAnsi="Calibri;sans-serif"/>
          <w:color w:val="000000"/>
          <w:sz w:val="22"/>
        </w:rPr>
        <w:t>): the Zoom meeting information for the final approval hearing, the Stipulation of Settlement, a Summary Notice of Proposed Settlement of Stockholder Derivative Action, and a Notice of Proposed Settlement of Derivative Actions, Final Approval Hearing, and Right to Appear.</w:t>
      </w:r>
    </w:p>
    <w:p>
      <w:pPr>
        <w:pStyle w:val="TextBody"/>
        <w:bidi w:val="0"/>
        <w:jc w:val="left"/>
        <w:rPr/>
      </w:pPr>
      <w:r>
        <w:rPr/>
        <w:t> </w:t>
      </w:r>
    </w:p>
    <w:p>
      <w:pPr>
        <w:pStyle w:val="TextBody"/>
        <w:bidi w:val="0"/>
        <w:jc w:val="left"/>
        <w:rPr>
          <w:rFonts w:ascii="Times New Roman" w:hAnsi="Times New Roman"/>
          <w:sz w:val="20"/>
        </w:rPr>
      </w:pPr>
      <w:r>
        <w:rPr>
          <w:rFonts w:ascii="Calibri;sans-serif" w:hAnsi="Calibri;sans-serif"/>
          <w:b/>
          <w:color w:val="000000"/>
          <w:sz w:val="22"/>
        </w:rPr>
        <w:t>About Athira Pharma, Inc.</w:t>
      </w:r>
      <w:r>
        <w:rPr>
          <w:rFonts w:ascii="Calibri;sans-serif" w:hAnsi="Calibri;sans-serif"/>
          <w:color w:val="000000"/>
          <w:sz w:val="22"/>
        </w:rPr>
        <w:br/>
        <w:t>Athira Pharma, Inc., headquartered in the Seattle, Washington area, is a late clinical-stage biopharmaceutical company focused on developing small molecules to restore neuronal health and slow neurodegeneration. Athira aims to alter the course of neurological diseases by advancing its pipeline of therapeutic candidates that modulate the neurotrophic HGF system, including fosgonimeton, which is being evaluated for the potential treatment of mild-to-moderate Alzheimer’s disease in the Phase 2/3 LIFT-AD trial that is expected to report topline data in the second half of 2024. For more information, visit www.athira.com. You can also follow Athira on Facebook, LinkedIn and @athirapharma on X, (formerly known as Twitter</w:t>
      </w:r>
      <w:r>
        <w:rPr>
          <w:rFonts w:ascii="Calibri;sans-serif" w:hAnsi="Calibri;sans-serif"/>
          <w:color w:val="000000"/>
          <w:sz w:val="22"/>
          <w:u w:val="single"/>
        </w:rPr>
        <w:t>)</w:t>
      </w:r>
      <w:r>
        <w:rPr>
          <w:rFonts w:ascii="Calibri;sans-serif" w:hAnsi="Calibri;sans-serif"/>
          <w:color w:val="000000"/>
          <w:sz w:val="22"/>
        </w:rPr>
        <w:t>, and Instagram.</w:t>
      </w:r>
    </w:p>
    <w:p>
      <w:pPr>
        <w:pStyle w:val="TextBody"/>
        <w:bidi w:val="0"/>
        <w:jc w:val="left"/>
        <w:rPr/>
      </w:pPr>
      <w:r>
        <w:rPr/>
        <w:t> </w:t>
      </w:r>
    </w:p>
    <w:p>
      <w:pPr>
        <w:pStyle w:val="TextBody"/>
        <w:bidi w:val="0"/>
        <w:jc w:val="left"/>
        <w:rPr>
          <w:rFonts w:ascii="Calibri;sans-serif" w:hAnsi="Calibri;sans-serif"/>
          <w:b/>
          <w:color w:val="000000"/>
          <w:sz w:val="22"/>
        </w:rPr>
      </w:pPr>
      <w:r>
        <w:rPr>
          <w:rFonts w:ascii="Calibri;sans-serif" w:hAnsi="Calibri;sans-serif"/>
          <w:b/>
          <w:color w:val="000000"/>
          <w:sz w:val="22"/>
        </w:rPr>
        <w:t>Investor &amp; Media Contact:</w:t>
      </w:r>
    </w:p>
    <w:p>
      <w:pPr>
        <w:pStyle w:val="TextBody"/>
        <w:bidi w:val="0"/>
        <w:jc w:val="left"/>
        <w:rPr>
          <w:rFonts w:ascii="Times New Roman" w:hAnsi="Times New Roman"/>
          <w:sz w:val="20"/>
        </w:rPr>
      </w:pPr>
      <w:r>
        <w:rPr>
          <w:rFonts w:ascii="Calibri;sans-serif" w:hAnsi="Calibri;sans-serif"/>
          <w:color w:val="000000"/>
          <w:sz w:val="22"/>
        </w:rPr>
        <w:t>Julie Rathbun</w:t>
        <w:br/>
        <w:t>Athira Pharma</w:t>
        <w:br/>
      </w:r>
      <w:r>
        <w:rPr>
          <w:rFonts w:ascii="Calibri;sans-serif" w:hAnsi="Calibri;sans-serif"/>
          <w:sz w:val="22"/>
        </w:rPr>
        <w:t>Julie.rathbun@athira.com</w:t>
      </w:r>
      <w:r>
        <w:rPr>
          <w:rFonts w:ascii="Calibri;sans-serif" w:hAnsi="Calibri;sans-serif"/>
          <w:color w:val="000000"/>
          <w:sz w:val="22"/>
        </w:rPr>
        <w:br/>
        <w:t>206-769-9219</w:t>
      </w:r>
    </w:p>
    <w:p>
      <w:pPr>
        <w:pStyle w:val="TextBody"/>
        <w:bidi w:val="0"/>
        <w:spacing w:before="27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948</Words>
  <Characters>5403</Characters>
  <CharactersWithSpaces>6343</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